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626B4" w14:textId="77777777" w:rsidR="00683098" w:rsidRPr="00A75270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A75270">
        <w:rPr>
          <w:rFonts w:cstheme="minorHAnsi"/>
          <w:b/>
          <w:sz w:val="24"/>
          <w:szCs w:val="24"/>
        </w:rPr>
        <w:t>South African National Essential Medicines List</w:t>
      </w:r>
    </w:p>
    <w:p w14:paraId="3E97CFFC" w14:textId="1F9C1533" w:rsidR="00683098" w:rsidRDefault="004776F2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Budget Impact</w:t>
      </w:r>
      <w:r w:rsidR="00683098">
        <w:rPr>
          <w:rFonts w:cstheme="minorHAnsi"/>
          <w:b/>
          <w:sz w:val="24"/>
          <w:szCs w:val="24"/>
        </w:rPr>
        <w:t xml:space="preserve"> Analysis</w:t>
      </w:r>
    </w:p>
    <w:p w14:paraId="6112D57B" w14:textId="354A315B" w:rsidR="00683098" w:rsidRDefault="00683098" w:rsidP="00683098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Name of STG </w:t>
      </w:r>
      <w:r w:rsidR="0085074F">
        <w:rPr>
          <w:rFonts w:cstheme="minorHAnsi"/>
          <w:b/>
          <w:sz w:val="24"/>
          <w:szCs w:val="24"/>
        </w:rPr>
        <w:t>ERC</w:t>
      </w:r>
    </w:p>
    <w:p w14:paraId="239E8EB1" w14:textId="77777777" w:rsidR="00F1414C" w:rsidRDefault="00F1414C" w:rsidP="00F1414C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Component: STG chapter and section</w:t>
      </w:r>
    </w:p>
    <w:p w14:paraId="14D4E43C" w14:textId="77777777" w:rsidR="00F1414C" w:rsidRDefault="00F1414C" w:rsidP="00F1414C">
      <w:pPr>
        <w:pStyle w:val="NoSpacing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Generic name of health technology and relevant indication (e.g. x for treating x)</w:t>
      </w:r>
    </w:p>
    <w:p w14:paraId="3436F353" w14:textId="77777777" w:rsidR="00683098" w:rsidRPr="002E186A" w:rsidRDefault="00683098" w:rsidP="00F1414C">
      <w:pPr>
        <w:pStyle w:val="NoSpacing"/>
        <w:pBdr>
          <w:bottom w:val="single" w:sz="4" w:space="1" w:color="auto"/>
        </w:pBdr>
        <w:spacing w:after="12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</w:t>
      </w:r>
    </w:p>
    <w:p w14:paraId="6958C23E" w14:textId="77777777" w:rsidR="00683098" w:rsidRPr="003655A9" w:rsidRDefault="00683098" w:rsidP="00683098">
      <w:pPr>
        <w:pStyle w:val="Heading1"/>
        <w:rPr>
          <w:b w:val="0"/>
        </w:rPr>
      </w:pPr>
      <w:bookmarkStart w:id="1" w:name="_Toc55659835"/>
      <w:r w:rsidRPr="00D668E2">
        <w:t>EXECUTIVE SUMMARY</w:t>
      </w:r>
      <w:bookmarkEnd w:id="1"/>
    </w:p>
    <w:tbl>
      <w:tblPr>
        <w:tblStyle w:val="TableGrid"/>
        <w:tblW w:w="5170" w:type="pct"/>
        <w:tblLook w:val="04A0" w:firstRow="1" w:lastRow="0" w:firstColumn="1" w:lastColumn="0" w:noHBand="0" w:noVBand="1"/>
      </w:tblPr>
      <w:tblGrid>
        <w:gridCol w:w="9668"/>
      </w:tblGrid>
      <w:tr w:rsidR="00683098" w:rsidRPr="00905ACE" w14:paraId="3352C2B5" w14:textId="77777777" w:rsidTr="00B561C4">
        <w:trPr>
          <w:trHeight w:val="3521"/>
        </w:trPr>
        <w:tc>
          <w:tcPr>
            <w:tcW w:w="5000" w:type="pct"/>
          </w:tcPr>
          <w:p w14:paraId="3C44CF76" w14:textId="77777777" w:rsidR="00683098" w:rsidRPr="00F91484" w:rsidRDefault="00683098" w:rsidP="00683098">
            <w:pPr>
              <w:pStyle w:val="NoSpacing"/>
              <w:spacing w:before="20" w:after="20"/>
              <w:rPr>
                <w:rFonts w:cstheme="minorHAnsi"/>
              </w:rPr>
            </w:pPr>
            <w:r>
              <w:rPr>
                <w:rFonts w:cstheme="minorHAnsi"/>
                <w:b/>
              </w:rPr>
              <w:t>Medicine</w:t>
            </w:r>
            <w:r w:rsidRPr="00F91484">
              <w:rPr>
                <w:rFonts w:cstheme="minorHAnsi"/>
                <w:b/>
              </w:rPr>
              <w:t xml:space="preserve">: </w:t>
            </w:r>
          </w:p>
          <w:p w14:paraId="36D7A78D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 xml:space="preserve">Indication: </w:t>
            </w:r>
          </w:p>
          <w:p w14:paraId="0A43A338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564C22">
              <w:rPr>
                <w:rFonts w:cstheme="minorHAnsi"/>
                <w:b/>
              </w:rPr>
              <w:t>Research question:</w:t>
            </w:r>
          </w:p>
          <w:p w14:paraId="2E080798" w14:textId="5790ACE6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 xml:space="preserve">Patient population: </w:t>
            </w:r>
          </w:p>
          <w:p w14:paraId="05181236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564C22">
              <w:rPr>
                <w:rFonts w:cstheme="minorHAnsi"/>
                <w:b/>
              </w:rPr>
              <w:t xml:space="preserve">Level of Care:  </w:t>
            </w:r>
          </w:p>
          <w:p w14:paraId="077F59BE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 xml:space="preserve">Prescriber level: </w:t>
            </w:r>
          </w:p>
          <w:p w14:paraId="3BA2835F" w14:textId="77777777" w:rsidR="00683098" w:rsidRPr="00564C22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564C22">
              <w:rPr>
                <w:rFonts w:cstheme="minorHAnsi"/>
                <w:b/>
                <w:color w:val="000000" w:themeColor="text1"/>
              </w:rPr>
              <w:t xml:space="preserve">Current Standard of Care/ Comparator(s): </w:t>
            </w:r>
          </w:p>
          <w:p w14:paraId="056811A5" w14:textId="77777777" w:rsidR="00683098" w:rsidRPr="00564C22" w:rsidRDefault="00683098" w:rsidP="00683098">
            <w:pPr>
              <w:pStyle w:val="NoSpacing"/>
              <w:spacing w:before="20" w:after="20"/>
              <w:jc w:val="both"/>
              <w:rPr>
                <w:b/>
                <w:color w:val="000000" w:themeColor="text1"/>
              </w:rPr>
            </w:pPr>
            <w:r w:rsidRPr="00564C22">
              <w:rPr>
                <w:b/>
                <w:color w:val="000000" w:themeColor="text1"/>
              </w:rPr>
              <w:t>Methods:</w:t>
            </w:r>
          </w:p>
          <w:p w14:paraId="47CF906C" w14:textId="77777777" w:rsidR="00683098" w:rsidRPr="00564C22" w:rsidRDefault="00683098" w:rsidP="00683098">
            <w:pPr>
              <w:pStyle w:val="NoSpacing"/>
              <w:spacing w:before="20" w:after="20"/>
              <w:jc w:val="both"/>
              <w:rPr>
                <w:bCs/>
                <w:color w:val="000000" w:themeColor="text1"/>
              </w:rPr>
            </w:pPr>
            <w:r w:rsidRPr="00564C22">
              <w:rPr>
                <w:b/>
                <w:color w:val="000000" w:themeColor="text1"/>
              </w:rPr>
              <w:t xml:space="preserve">Findings: </w:t>
            </w:r>
            <w:r w:rsidRPr="00564C22">
              <w:rPr>
                <w:bCs/>
                <w:color w:val="000000" w:themeColor="text1"/>
              </w:rPr>
              <w:t xml:space="preserve"> </w:t>
            </w:r>
          </w:p>
          <w:p w14:paraId="00E4612B" w14:textId="2E685A94" w:rsidR="00683098" w:rsidRPr="00564C22" w:rsidRDefault="00683098" w:rsidP="00683098">
            <w:pPr>
              <w:spacing w:before="20" w:after="20" w:line="240" w:lineRule="auto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>Recommendations:</w:t>
            </w:r>
          </w:p>
          <w:p w14:paraId="5470719B" w14:textId="4848C62C" w:rsidR="00683098" w:rsidRPr="00524A55" w:rsidRDefault="00683098" w:rsidP="00683098">
            <w:pPr>
              <w:spacing w:before="20" w:after="20" w:line="240" w:lineRule="auto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>Reviewer</w:t>
            </w:r>
            <w:r w:rsidR="00524A55">
              <w:rPr>
                <w:rFonts w:cstheme="minorHAnsi"/>
                <w:b/>
              </w:rPr>
              <w:t>s</w:t>
            </w:r>
            <w:r w:rsidRPr="00564C22">
              <w:rPr>
                <w:rFonts w:cstheme="minorHAnsi"/>
                <w:b/>
              </w:rPr>
              <w:t xml:space="preserve">: </w:t>
            </w:r>
          </w:p>
          <w:p w14:paraId="78C32FFB" w14:textId="77777777" w:rsidR="00683098" w:rsidRPr="00564C22" w:rsidRDefault="00683098" w:rsidP="00683098">
            <w:pPr>
              <w:pStyle w:val="NoSpacing"/>
              <w:spacing w:before="20" w:after="20"/>
              <w:rPr>
                <w:rFonts w:cstheme="minorHAnsi"/>
                <w:color w:val="000000" w:themeColor="text1"/>
              </w:rPr>
            </w:pPr>
            <w:r w:rsidRPr="00564C22">
              <w:rPr>
                <w:rFonts w:cstheme="minorHAnsi"/>
                <w:b/>
                <w:color w:val="000000" w:themeColor="text1"/>
              </w:rPr>
              <w:t xml:space="preserve">PTC affiliation: </w:t>
            </w:r>
          </w:p>
          <w:p w14:paraId="7314B255" w14:textId="77777777" w:rsidR="00683098" w:rsidRPr="00564C22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</w:rPr>
            </w:pPr>
            <w:r w:rsidRPr="00564C22">
              <w:rPr>
                <w:rFonts w:cstheme="minorHAnsi"/>
                <w:b/>
              </w:rPr>
              <w:t xml:space="preserve">Disclosures: </w:t>
            </w:r>
          </w:p>
          <w:p w14:paraId="7C0A5459" w14:textId="77777777" w:rsidR="00683098" w:rsidRPr="00905ACE" w:rsidRDefault="00683098" w:rsidP="00683098">
            <w:pPr>
              <w:pStyle w:val="ListParagraph"/>
              <w:spacing w:before="20" w:after="20" w:line="240" w:lineRule="auto"/>
              <w:ind w:left="0"/>
              <w:rPr>
                <w:rFonts w:cstheme="minorHAnsi"/>
                <w:b/>
              </w:rPr>
            </w:pPr>
            <w:r w:rsidRPr="00564C22">
              <w:rPr>
                <w:rFonts w:cstheme="minorHAnsi"/>
                <w:b/>
              </w:rPr>
              <w:t>Funding support:</w:t>
            </w:r>
            <w:r w:rsidRPr="00564C22">
              <w:rPr>
                <w:rFonts w:cstheme="minorHAnsi"/>
                <w:b/>
                <w:sz w:val="20"/>
              </w:rPr>
              <w:t xml:space="preserve"> </w:t>
            </w:r>
          </w:p>
        </w:tc>
      </w:tr>
    </w:tbl>
    <w:p w14:paraId="72C9730B" w14:textId="2422D903" w:rsidR="00D568B1" w:rsidRDefault="00D568B1"/>
    <w:p w14:paraId="3F4F9DB3" w14:textId="02B034AF" w:rsidR="00524A55" w:rsidRDefault="00F1414C" w:rsidP="00683098">
      <w:pPr>
        <w:pStyle w:val="NoSpacing"/>
        <w:rPr>
          <w:b/>
          <w:bCs/>
        </w:rPr>
      </w:pPr>
      <w:r>
        <w:rPr>
          <w:b/>
          <w:bCs/>
        </w:rPr>
        <w:t>NAME</w:t>
      </w:r>
      <w:r w:rsidR="00524A55">
        <w:rPr>
          <w:b/>
          <w:bCs/>
        </w:rPr>
        <w:t>S</w:t>
      </w:r>
      <w:r>
        <w:rPr>
          <w:b/>
          <w:bCs/>
        </w:rPr>
        <w:t xml:space="preserve"> OF </w:t>
      </w:r>
      <w:r w:rsidR="00564C22">
        <w:rPr>
          <w:b/>
          <w:bCs/>
        </w:rPr>
        <w:t>REVIEWER</w:t>
      </w:r>
      <w:r w:rsidR="00524A55">
        <w:rPr>
          <w:b/>
          <w:bCs/>
        </w:rPr>
        <w:t>S</w:t>
      </w:r>
    </w:p>
    <w:p w14:paraId="197D87EC" w14:textId="3CF16405" w:rsidR="00683098" w:rsidRPr="002259D3" w:rsidRDefault="00507CCC" w:rsidP="00683098">
      <w:pPr>
        <w:pStyle w:val="NoSpacing"/>
        <w:rPr>
          <w:b/>
          <w:bCs/>
        </w:rPr>
      </w:pPr>
      <w:r>
        <w:rPr>
          <w:b/>
          <w:bCs/>
        </w:rPr>
        <w:t xml:space="preserve"> </w:t>
      </w:r>
    </w:p>
    <w:p w14:paraId="7FD42CB1" w14:textId="77777777" w:rsidR="00683098" w:rsidRDefault="00683098" w:rsidP="00683098">
      <w:pPr>
        <w:pStyle w:val="NoSpacing"/>
        <w:rPr>
          <w:rFonts w:cstheme="minorHAnsi"/>
        </w:rPr>
      </w:pPr>
    </w:p>
    <w:p w14:paraId="2AFF915F" w14:textId="77777777" w:rsidR="00683098" w:rsidRPr="00F1414C" w:rsidRDefault="00683098" w:rsidP="00683098">
      <w:pPr>
        <w:rPr>
          <w:b/>
          <w:bCs/>
        </w:rPr>
      </w:pPr>
      <w:r w:rsidRPr="00F1414C">
        <w:rPr>
          <w:b/>
          <w:bCs/>
        </w:rPr>
        <w:t>AFFILIATION AND CONFLICT OF INTEREST</w:t>
      </w:r>
    </w:p>
    <w:p w14:paraId="0509B27C" w14:textId="77777777" w:rsidR="00F1414C" w:rsidRPr="00D73FEB" w:rsidRDefault="00F1414C" w:rsidP="00F1414C">
      <w:r>
        <w:t>Potential conflict of interest s</w:t>
      </w:r>
      <w:r w:rsidRPr="00D73FEB">
        <w:t xml:space="preserve">tatement included here. </w:t>
      </w:r>
    </w:p>
    <w:p w14:paraId="67EC06A7" w14:textId="40C79256" w:rsidR="00683098" w:rsidRDefault="00F1414C" w:rsidP="00F1414C">
      <w:r>
        <w:t>Official f</w:t>
      </w:r>
      <w:r w:rsidRPr="00D73FEB">
        <w:t xml:space="preserve">orm should be completed </w:t>
      </w:r>
      <w:r>
        <w:t xml:space="preserve">and sent to EDP </w:t>
      </w:r>
      <w:r w:rsidRPr="00D73FEB">
        <w:t xml:space="preserve">prior to undertaking the review: </w:t>
      </w:r>
    </w:p>
    <w:p w14:paraId="554548FB" w14:textId="77777777" w:rsidR="00683098" w:rsidRDefault="00683098" w:rsidP="00683098">
      <w:pPr>
        <w:pStyle w:val="Heading1"/>
      </w:pPr>
      <w:bookmarkStart w:id="2" w:name="_Toc55659836"/>
      <w:r w:rsidRPr="00905ACE">
        <w:t>INTRODUCTION</w:t>
      </w:r>
      <w:bookmarkEnd w:id="2"/>
    </w:p>
    <w:p w14:paraId="5AD18E86" w14:textId="3442C105" w:rsidR="00683098" w:rsidRPr="00C54F46" w:rsidRDefault="00683098" w:rsidP="00F1414C">
      <w:bookmarkStart w:id="3" w:name="_Toc35873526"/>
      <w:r w:rsidRPr="00C54F46">
        <w:t xml:space="preserve">Brief description of the </w:t>
      </w:r>
      <w:bookmarkEnd w:id="3"/>
      <w:r w:rsidRPr="00C54F46">
        <w:t>following:</w:t>
      </w:r>
    </w:p>
    <w:p w14:paraId="6F8F7862" w14:textId="77032F98" w:rsidR="00683098" w:rsidRPr="00C54F46" w:rsidRDefault="00683098" w:rsidP="00F1414C">
      <w:pPr>
        <w:pStyle w:val="ListParagraph"/>
        <w:numPr>
          <w:ilvl w:val="0"/>
          <w:numId w:val="9"/>
        </w:numPr>
      </w:pPr>
      <w:r w:rsidRPr="00C54F46">
        <w:t xml:space="preserve">Rationale for why this type of analysis has been selected </w:t>
      </w:r>
    </w:p>
    <w:p w14:paraId="093CD570" w14:textId="502B4971" w:rsidR="00683098" w:rsidRPr="00C54F46" w:rsidRDefault="00C54F46" w:rsidP="00F1414C">
      <w:pPr>
        <w:pStyle w:val="ListParagraph"/>
        <w:numPr>
          <w:ilvl w:val="0"/>
          <w:numId w:val="9"/>
        </w:numPr>
      </w:pPr>
      <w:r w:rsidRPr="00C54F46">
        <w:t xml:space="preserve">Brief description of </w:t>
      </w:r>
      <w:r w:rsidR="00683098" w:rsidRPr="00C54F46">
        <w:t xml:space="preserve">the condition, the current care pathway and treatment alternatives already  available in the South African public health </w:t>
      </w:r>
      <w:r w:rsidR="00683098" w:rsidRPr="00457BC2">
        <w:t>sector</w:t>
      </w:r>
      <w:r w:rsidR="007B10CF" w:rsidRPr="00457BC2">
        <w:t xml:space="preserve"> </w:t>
      </w:r>
      <w:r w:rsidR="00524A55" w:rsidRPr="00457BC2">
        <w:t>(reference Standard Treatment Guidelines and other Department of Health clinical guidelines, if relevant).</w:t>
      </w:r>
    </w:p>
    <w:p w14:paraId="3ACED52E" w14:textId="703544C1" w:rsidR="00683098" w:rsidRPr="00C54F46" w:rsidRDefault="00683098" w:rsidP="00F1414C">
      <w:pPr>
        <w:pStyle w:val="ListParagraph"/>
        <w:numPr>
          <w:ilvl w:val="0"/>
          <w:numId w:val="9"/>
        </w:numPr>
      </w:pPr>
      <w:r w:rsidRPr="00C54F46">
        <w:t>Identify the main resource use associated with the technology under review and its comparators</w:t>
      </w:r>
    </w:p>
    <w:p w14:paraId="7925FA71" w14:textId="77777777" w:rsidR="00301FC0" w:rsidRDefault="00301FC0">
      <w:pPr>
        <w:spacing w:after="0" w:line="240" w:lineRule="auto"/>
        <w:rPr>
          <w:rFonts w:eastAsiaTheme="majorEastAsia" w:cs="Times New Roman (Headings CS)"/>
          <w:b/>
          <w:caps/>
          <w:sz w:val="28"/>
          <w:szCs w:val="32"/>
        </w:rPr>
      </w:pPr>
      <w:r>
        <w:br w:type="page"/>
      </w:r>
    </w:p>
    <w:p w14:paraId="1155D309" w14:textId="77777777" w:rsidR="00867725" w:rsidRDefault="00867725" w:rsidP="00867725">
      <w:pPr>
        <w:pStyle w:val="Heading1"/>
      </w:pPr>
      <w:r>
        <w:lastRenderedPageBreak/>
        <w:t>technology under review</w:t>
      </w:r>
    </w:p>
    <w:tbl>
      <w:tblPr>
        <w:tblStyle w:val="GridTable1Light"/>
        <w:tblW w:w="9351" w:type="dxa"/>
        <w:tblLook w:val="0620" w:firstRow="1" w:lastRow="0" w:firstColumn="0" w:lastColumn="0" w:noHBand="1" w:noVBand="1"/>
      </w:tblPr>
      <w:tblGrid>
        <w:gridCol w:w="3726"/>
        <w:gridCol w:w="2277"/>
        <w:gridCol w:w="3348"/>
      </w:tblGrid>
      <w:tr w:rsidR="00867725" w:rsidRPr="00867725" w14:paraId="53F2E61C" w14:textId="77777777" w:rsidTr="005B43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26" w:type="dxa"/>
          </w:tcPr>
          <w:p w14:paraId="248DADC1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A4F8267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sz w:val="20"/>
                <w:szCs w:val="20"/>
              </w:rPr>
              <w:t>Cost (ZAR)</w:t>
            </w:r>
          </w:p>
        </w:tc>
        <w:tc>
          <w:tcPr>
            <w:tcW w:w="3348" w:type="dxa"/>
          </w:tcPr>
          <w:p w14:paraId="074A9997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sz w:val="20"/>
                <w:szCs w:val="20"/>
              </w:rPr>
              <w:t>Source</w:t>
            </w:r>
          </w:p>
        </w:tc>
      </w:tr>
      <w:tr w:rsidR="00867725" w:rsidRPr="00867725" w14:paraId="15A1D33A" w14:textId="77777777" w:rsidTr="005B4320">
        <w:tc>
          <w:tcPr>
            <w:tcW w:w="3726" w:type="dxa"/>
            <w:hideMark/>
          </w:tcPr>
          <w:p w14:paraId="2872991D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Acquisition cost </w:t>
            </w:r>
          </w:p>
        </w:tc>
        <w:tc>
          <w:tcPr>
            <w:tcW w:w="2277" w:type="dxa"/>
          </w:tcPr>
          <w:p w14:paraId="4F68B850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8" w:type="dxa"/>
          </w:tcPr>
          <w:p w14:paraId="7F73B98A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725" w:rsidRPr="00867725" w14:paraId="00A76152" w14:textId="77777777" w:rsidTr="005B4320">
        <w:tc>
          <w:tcPr>
            <w:tcW w:w="3726" w:type="dxa"/>
            <w:hideMark/>
          </w:tcPr>
          <w:p w14:paraId="7C3127B7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Method of administration </w:t>
            </w:r>
          </w:p>
        </w:tc>
        <w:tc>
          <w:tcPr>
            <w:tcW w:w="2277" w:type="dxa"/>
          </w:tcPr>
          <w:p w14:paraId="04CD9AE9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8" w:type="dxa"/>
          </w:tcPr>
          <w:p w14:paraId="5EBC80D5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725" w:rsidRPr="00867725" w14:paraId="301210F1" w14:textId="77777777" w:rsidTr="005B4320">
        <w:tc>
          <w:tcPr>
            <w:tcW w:w="3726" w:type="dxa"/>
            <w:hideMark/>
          </w:tcPr>
          <w:p w14:paraId="304D3685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Dosage </w:t>
            </w:r>
          </w:p>
        </w:tc>
        <w:tc>
          <w:tcPr>
            <w:tcW w:w="2277" w:type="dxa"/>
          </w:tcPr>
          <w:p w14:paraId="1D315AD8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8" w:type="dxa"/>
          </w:tcPr>
          <w:p w14:paraId="0976DD3D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725" w:rsidRPr="00867725" w14:paraId="6B80D908" w14:textId="77777777" w:rsidTr="005B4320">
        <w:tc>
          <w:tcPr>
            <w:tcW w:w="3726" w:type="dxa"/>
            <w:hideMark/>
          </w:tcPr>
          <w:p w14:paraId="4020A9FB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>Average length of a course of treatment</w:t>
            </w:r>
          </w:p>
        </w:tc>
        <w:tc>
          <w:tcPr>
            <w:tcW w:w="2277" w:type="dxa"/>
          </w:tcPr>
          <w:p w14:paraId="4025DBC3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8" w:type="dxa"/>
          </w:tcPr>
          <w:p w14:paraId="076C9445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725" w:rsidRPr="00867725" w14:paraId="52F976C5" w14:textId="77777777" w:rsidTr="005B4320">
        <w:tc>
          <w:tcPr>
            <w:tcW w:w="3726" w:type="dxa"/>
            <w:hideMark/>
          </w:tcPr>
          <w:p w14:paraId="4912EA10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Anticipated average interval between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courses of </w:t>
            </w: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>treatments</w:t>
            </w:r>
          </w:p>
        </w:tc>
        <w:tc>
          <w:tcPr>
            <w:tcW w:w="2277" w:type="dxa"/>
          </w:tcPr>
          <w:p w14:paraId="75AA3FDA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8" w:type="dxa"/>
          </w:tcPr>
          <w:p w14:paraId="1F607872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725" w:rsidRPr="00867725" w14:paraId="31DDCC96" w14:textId="77777777" w:rsidTr="005B4320">
        <w:tc>
          <w:tcPr>
            <w:tcW w:w="3726" w:type="dxa"/>
            <w:hideMark/>
          </w:tcPr>
          <w:p w14:paraId="474E36BD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Anticipated number of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repeat </w:t>
            </w: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treatments </w:t>
            </w:r>
          </w:p>
        </w:tc>
        <w:tc>
          <w:tcPr>
            <w:tcW w:w="2277" w:type="dxa"/>
          </w:tcPr>
          <w:p w14:paraId="1E96BBF7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8" w:type="dxa"/>
          </w:tcPr>
          <w:p w14:paraId="17B5BB44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725" w:rsidRPr="00867725" w14:paraId="1BDB30C9" w14:textId="77777777" w:rsidTr="005B4320">
        <w:tc>
          <w:tcPr>
            <w:tcW w:w="3726" w:type="dxa"/>
            <w:hideMark/>
          </w:tcPr>
          <w:p w14:paraId="24FE68C4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7725">
              <w:rPr>
                <w:rFonts w:asciiTheme="minorHAnsi" w:hAnsiTheme="minorHAnsi" w:cstheme="minorHAnsi"/>
                <w:b/>
                <w:sz w:val="20"/>
                <w:szCs w:val="20"/>
              </w:rPr>
              <w:t>Dose adjustments</w:t>
            </w:r>
          </w:p>
        </w:tc>
        <w:tc>
          <w:tcPr>
            <w:tcW w:w="2277" w:type="dxa"/>
          </w:tcPr>
          <w:p w14:paraId="4F05EB9D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8" w:type="dxa"/>
          </w:tcPr>
          <w:p w14:paraId="312CB9A8" w14:textId="77777777" w:rsidR="00867725" w:rsidRPr="00867725" w:rsidRDefault="00867725" w:rsidP="005B4320">
            <w:pPr>
              <w:pStyle w:val="Tabletex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EB3ED3" w14:textId="77777777" w:rsidR="00867725" w:rsidRPr="00A315A6" w:rsidRDefault="00867725" w:rsidP="00867725">
      <w:pPr>
        <w:spacing w:before="40" w:after="0"/>
        <w:rPr>
          <w:sz w:val="20"/>
          <w:szCs w:val="20"/>
        </w:rPr>
      </w:pPr>
      <w:r w:rsidRPr="001174A5">
        <w:rPr>
          <w:sz w:val="20"/>
          <w:szCs w:val="20"/>
        </w:rPr>
        <w:t xml:space="preserve">Table adapted from the NICE </w:t>
      </w:r>
      <w:r>
        <w:rPr>
          <w:sz w:val="20"/>
          <w:szCs w:val="20"/>
        </w:rPr>
        <w:t>budget impact analysis</w:t>
      </w:r>
      <w:r w:rsidRPr="001174A5">
        <w:rPr>
          <w:sz w:val="20"/>
          <w:szCs w:val="20"/>
        </w:rPr>
        <w:t xml:space="preserve"> template </w:t>
      </w:r>
    </w:p>
    <w:p w14:paraId="2364B21F" w14:textId="77777777" w:rsidR="00DB39AE" w:rsidRDefault="00DB39AE" w:rsidP="00DB39AE">
      <w:pPr>
        <w:pStyle w:val="Heading1"/>
      </w:pPr>
      <w:r>
        <w:t>Uptake and market share</w:t>
      </w:r>
    </w:p>
    <w:p w14:paraId="69121E89" w14:textId="01A6D7C6" w:rsidR="00DB39AE" w:rsidRDefault="00DB39AE" w:rsidP="00DB39AE">
      <w:r>
        <w:t>Provide information to support estimates of market share for the current treatment options and for the technology for the next 5 years</w:t>
      </w:r>
      <w:r w:rsidR="004776F2">
        <w:t xml:space="preserve"> (presented for the following scenarios: status quo, rapid adoption of the new technology, and slow adoption of the technology).</w:t>
      </w:r>
    </w:p>
    <w:p w14:paraId="2D0CB1B5" w14:textId="400E50C6" w:rsidR="00DB39AE" w:rsidRDefault="00DB39AE" w:rsidP="00DB39AE">
      <w:r>
        <w:t xml:space="preserve">Adapt the table below to show how the full eligible population of each year is split across the different treatment options. </w:t>
      </w:r>
    </w:p>
    <w:p w14:paraId="5B0A2C84" w14:textId="77777777" w:rsidR="00DB39AE" w:rsidRPr="00DB39AE" w:rsidRDefault="00DB39AE" w:rsidP="00DB39AE">
      <w:pPr>
        <w:spacing w:before="120"/>
        <w:rPr>
          <w:b/>
          <w:bCs/>
        </w:rPr>
      </w:pPr>
      <w:r w:rsidRPr="00DB39AE">
        <w:rPr>
          <w:b/>
          <w:bCs/>
        </w:rPr>
        <w:t>Uptake and market share</w:t>
      </w:r>
    </w:p>
    <w:tbl>
      <w:tblPr>
        <w:tblStyle w:val="TableGrid"/>
        <w:tblW w:w="9610" w:type="dxa"/>
        <w:tblInd w:w="-5" w:type="dxa"/>
        <w:tblLook w:val="04A0" w:firstRow="1" w:lastRow="0" w:firstColumn="1" w:lastColumn="0" w:noHBand="0" w:noVBand="1"/>
      </w:tblPr>
      <w:tblGrid>
        <w:gridCol w:w="1985"/>
        <w:gridCol w:w="1712"/>
        <w:gridCol w:w="1265"/>
        <w:gridCol w:w="1134"/>
        <w:gridCol w:w="1275"/>
        <w:gridCol w:w="1134"/>
        <w:gridCol w:w="1105"/>
      </w:tblGrid>
      <w:tr w:rsidR="00DB39AE" w:rsidRPr="00867725" w14:paraId="2133C278" w14:textId="77777777" w:rsidTr="00566B67">
        <w:trPr>
          <w:trHeight w:val="320"/>
        </w:trPr>
        <w:tc>
          <w:tcPr>
            <w:tcW w:w="1985" w:type="dxa"/>
            <w:noWrap/>
            <w:hideMark/>
          </w:tcPr>
          <w:p w14:paraId="305AB3E6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Scenario</w:t>
            </w:r>
          </w:p>
        </w:tc>
        <w:tc>
          <w:tcPr>
            <w:tcW w:w="1712" w:type="dxa"/>
            <w:noWrap/>
            <w:hideMark/>
          </w:tcPr>
          <w:p w14:paraId="22B44045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Treatment</w:t>
            </w:r>
          </w:p>
        </w:tc>
        <w:tc>
          <w:tcPr>
            <w:tcW w:w="1265" w:type="dxa"/>
            <w:noWrap/>
            <w:hideMark/>
          </w:tcPr>
          <w:p w14:paraId="78125601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 1</w:t>
            </w:r>
          </w:p>
        </w:tc>
        <w:tc>
          <w:tcPr>
            <w:tcW w:w="1134" w:type="dxa"/>
            <w:noWrap/>
            <w:hideMark/>
          </w:tcPr>
          <w:p w14:paraId="727A5461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 2</w:t>
            </w:r>
          </w:p>
        </w:tc>
        <w:tc>
          <w:tcPr>
            <w:tcW w:w="1275" w:type="dxa"/>
            <w:noWrap/>
            <w:hideMark/>
          </w:tcPr>
          <w:p w14:paraId="5A03FC5B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 3</w:t>
            </w:r>
          </w:p>
        </w:tc>
        <w:tc>
          <w:tcPr>
            <w:tcW w:w="1134" w:type="dxa"/>
            <w:noWrap/>
            <w:hideMark/>
          </w:tcPr>
          <w:p w14:paraId="65F51748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 4</w:t>
            </w:r>
          </w:p>
        </w:tc>
        <w:tc>
          <w:tcPr>
            <w:tcW w:w="1105" w:type="dxa"/>
            <w:noWrap/>
            <w:hideMark/>
          </w:tcPr>
          <w:p w14:paraId="068B1866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Year 5</w:t>
            </w:r>
          </w:p>
        </w:tc>
      </w:tr>
      <w:tr w:rsidR="00DB39AE" w:rsidRPr="00867725" w14:paraId="503BBE72" w14:textId="77777777" w:rsidTr="00566B67">
        <w:trPr>
          <w:trHeight w:val="320"/>
        </w:trPr>
        <w:tc>
          <w:tcPr>
            <w:tcW w:w="1985" w:type="dxa"/>
            <w:vMerge w:val="restart"/>
            <w:hideMark/>
          </w:tcPr>
          <w:p w14:paraId="59B83F06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 xml:space="preserve">Status Quo: </w:t>
            </w:r>
            <w:r w:rsidRPr="00867725">
              <w:rPr>
                <w:rFonts w:cstheme="minorHAnsi"/>
                <w:color w:val="000000"/>
                <w:sz w:val="20"/>
                <w:szCs w:val="20"/>
              </w:rPr>
              <w:br/>
              <w:t>Market share of existing treatment(s) only</w:t>
            </w:r>
          </w:p>
        </w:tc>
        <w:tc>
          <w:tcPr>
            <w:tcW w:w="1712" w:type="dxa"/>
            <w:noWrap/>
            <w:hideMark/>
          </w:tcPr>
          <w:p w14:paraId="0C56A352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 xml:space="preserve">Technology </w:t>
            </w:r>
          </w:p>
        </w:tc>
        <w:tc>
          <w:tcPr>
            <w:tcW w:w="1265" w:type="dxa"/>
            <w:noWrap/>
            <w:hideMark/>
          </w:tcPr>
          <w:p w14:paraId="72C447F8" w14:textId="16811401" w:rsidR="00DB39AE" w:rsidRPr="00867725" w:rsidRDefault="00170CAD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0.00</w:t>
            </w:r>
            <w:r w:rsidR="00DB39AE"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6F09E45C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275" w:type="dxa"/>
            <w:noWrap/>
            <w:hideMark/>
          </w:tcPr>
          <w:p w14:paraId="698A9395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34" w:type="dxa"/>
            <w:noWrap/>
            <w:hideMark/>
          </w:tcPr>
          <w:p w14:paraId="044CA635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105" w:type="dxa"/>
            <w:noWrap/>
            <w:hideMark/>
          </w:tcPr>
          <w:p w14:paraId="0B90E206" w14:textId="7777777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0,00%</w:t>
            </w:r>
          </w:p>
        </w:tc>
      </w:tr>
      <w:tr w:rsidR="00DB39AE" w:rsidRPr="00867725" w14:paraId="44D8A3EA" w14:textId="77777777" w:rsidTr="00566B67">
        <w:trPr>
          <w:trHeight w:val="320"/>
        </w:trPr>
        <w:tc>
          <w:tcPr>
            <w:tcW w:w="1985" w:type="dxa"/>
            <w:vMerge/>
            <w:hideMark/>
          </w:tcPr>
          <w:p w14:paraId="1F05F315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noWrap/>
            <w:hideMark/>
          </w:tcPr>
          <w:p w14:paraId="424B3409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Comparator A</w:t>
            </w:r>
          </w:p>
        </w:tc>
        <w:tc>
          <w:tcPr>
            <w:tcW w:w="1265" w:type="dxa"/>
            <w:noWrap/>
            <w:hideMark/>
          </w:tcPr>
          <w:p w14:paraId="5A181B14" w14:textId="7EEFDE8A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69D3B7FD" w14:textId="70E9245B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7A464A0F" w14:textId="3B24A78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759429E4" w14:textId="083BB240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50180730" w14:textId="7531EA4F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DB39AE" w:rsidRPr="00867725" w14:paraId="2613DE7C" w14:textId="77777777" w:rsidTr="00566B67">
        <w:trPr>
          <w:trHeight w:val="320"/>
        </w:trPr>
        <w:tc>
          <w:tcPr>
            <w:tcW w:w="1985" w:type="dxa"/>
            <w:vMerge/>
            <w:hideMark/>
          </w:tcPr>
          <w:p w14:paraId="46151BED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noWrap/>
            <w:hideMark/>
          </w:tcPr>
          <w:p w14:paraId="32DD3DB9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Comparator B</w:t>
            </w:r>
          </w:p>
        </w:tc>
        <w:tc>
          <w:tcPr>
            <w:tcW w:w="1265" w:type="dxa"/>
            <w:noWrap/>
            <w:hideMark/>
          </w:tcPr>
          <w:p w14:paraId="6C95A7E3" w14:textId="533962B8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4456ACD2" w14:textId="28ACA940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4C30C9C8" w14:textId="4413312E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06B9E12A" w14:textId="00DD47AC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23FFC421" w14:textId="16F6C739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DB39AE" w:rsidRPr="00867725" w14:paraId="056B50DF" w14:textId="77777777" w:rsidTr="00566B67">
        <w:trPr>
          <w:trHeight w:val="320"/>
        </w:trPr>
        <w:tc>
          <w:tcPr>
            <w:tcW w:w="1985" w:type="dxa"/>
            <w:vMerge w:val="restart"/>
            <w:hideMark/>
          </w:tcPr>
          <w:p w14:paraId="634B133C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Rapid Adoption Scenario</w:t>
            </w:r>
          </w:p>
        </w:tc>
        <w:tc>
          <w:tcPr>
            <w:tcW w:w="1712" w:type="dxa"/>
            <w:noWrap/>
            <w:hideMark/>
          </w:tcPr>
          <w:p w14:paraId="522DDCFB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Intervention A</w:t>
            </w:r>
          </w:p>
        </w:tc>
        <w:tc>
          <w:tcPr>
            <w:tcW w:w="1265" w:type="dxa"/>
            <w:noWrap/>
            <w:hideMark/>
          </w:tcPr>
          <w:p w14:paraId="44837082" w14:textId="5B8D2028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01801794" w14:textId="1C3497B5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2A152EE8" w14:textId="2F52852F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09B53F38" w14:textId="58383F32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09470A85" w14:textId="14458630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DB39AE" w:rsidRPr="00867725" w14:paraId="130A75F5" w14:textId="77777777" w:rsidTr="00566B67">
        <w:trPr>
          <w:trHeight w:val="320"/>
        </w:trPr>
        <w:tc>
          <w:tcPr>
            <w:tcW w:w="1985" w:type="dxa"/>
            <w:vMerge/>
            <w:hideMark/>
          </w:tcPr>
          <w:p w14:paraId="010A2DDB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noWrap/>
            <w:hideMark/>
          </w:tcPr>
          <w:p w14:paraId="7E8DD42E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Comparator A</w:t>
            </w:r>
          </w:p>
        </w:tc>
        <w:tc>
          <w:tcPr>
            <w:tcW w:w="1265" w:type="dxa"/>
            <w:noWrap/>
            <w:hideMark/>
          </w:tcPr>
          <w:p w14:paraId="2211D1F3" w14:textId="02E5B7B6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20B02DD2" w14:textId="30FE05E3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21DAA343" w14:textId="0BCC285B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5BB6103D" w14:textId="1B424405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7299D843" w14:textId="4A39A6EB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DB39AE" w:rsidRPr="00867725" w14:paraId="4B3804BB" w14:textId="77777777" w:rsidTr="00566B67">
        <w:trPr>
          <w:trHeight w:val="320"/>
        </w:trPr>
        <w:tc>
          <w:tcPr>
            <w:tcW w:w="1985" w:type="dxa"/>
            <w:vMerge/>
            <w:hideMark/>
          </w:tcPr>
          <w:p w14:paraId="135BF5F9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noWrap/>
            <w:hideMark/>
          </w:tcPr>
          <w:p w14:paraId="49F80D40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Comparator B</w:t>
            </w:r>
          </w:p>
        </w:tc>
        <w:tc>
          <w:tcPr>
            <w:tcW w:w="1265" w:type="dxa"/>
            <w:noWrap/>
            <w:hideMark/>
          </w:tcPr>
          <w:p w14:paraId="4C212824" w14:textId="41C56678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2F0DC964" w14:textId="01A1A32F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3EF3D2C7" w14:textId="3234DB1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2AE9E0C7" w14:textId="0273459D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69610CE1" w14:textId="20C56A27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DB39AE" w:rsidRPr="00867725" w14:paraId="5FE24566" w14:textId="77777777" w:rsidTr="00566B67">
        <w:trPr>
          <w:trHeight w:val="320"/>
        </w:trPr>
        <w:tc>
          <w:tcPr>
            <w:tcW w:w="1985" w:type="dxa"/>
            <w:vMerge w:val="restart"/>
            <w:hideMark/>
          </w:tcPr>
          <w:p w14:paraId="3F1A507A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Slow Adoption Scenario</w:t>
            </w:r>
          </w:p>
        </w:tc>
        <w:tc>
          <w:tcPr>
            <w:tcW w:w="1712" w:type="dxa"/>
            <w:noWrap/>
            <w:hideMark/>
          </w:tcPr>
          <w:p w14:paraId="6F8E2A4A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Intervention A</w:t>
            </w:r>
          </w:p>
        </w:tc>
        <w:tc>
          <w:tcPr>
            <w:tcW w:w="1265" w:type="dxa"/>
            <w:noWrap/>
            <w:hideMark/>
          </w:tcPr>
          <w:p w14:paraId="3BF94E25" w14:textId="4CF8E545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6637C59E" w14:textId="333E8C85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04A538FC" w14:textId="30C5C564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5187D551" w14:textId="6D58CB11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630F5FFD" w14:textId="50861968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DB39AE" w:rsidRPr="00867725" w14:paraId="5684C98D" w14:textId="77777777" w:rsidTr="00566B67">
        <w:trPr>
          <w:trHeight w:val="320"/>
        </w:trPr>
        <w:tc>
          <w:tcPr>
            <w:tcW w:w="1985" w:type="dxa"/>
            <w:vMerge/>
            <w:hideMark/>
          </w:tcPr>
          <w:p w14:paraId="068D47C1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noWrap/>
            <w:hideMark/>
          </w:tcPr>
          <w:p w14:paraId="75066797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Comparator A</w:t>
            </w:r>
          </w:p>
        </w:tc>
        <w:tc>
          <w:tcPr>
            <w:tcW w:w="1265" w:type="dxa"/>
            <w:noWrap/>
            <w:hideMark/>
          </w:tcPr>
          <w:p w14:paraId="11C0F9B4" w14:textId="03806ECC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33382CF5" w14:textId="33789024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0D21802F" w14:textId="2E326479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593F41FF" w14:textId="5D06EA56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6AD3B2F1" w14:textId="4389904F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DB39AE" w:rsidRPr="00867725" w14:paraId="4B964C3E" w14:textId="77777777" w:rsidTr="00566B67">
        <w:trPr>
          <w:trHeight w:val="320"/>
        </w:trPr>
        <w:tc>
          <w:tcPr>
            <w:tcW w:w="1985" w:type="dxa"/>
            <w:vMerge/>
            <w:hideMark/>
          </w:tcPr>
          <w:p w14:paraId="3F3505C2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noWrap/>
            <w:hideMark/>
          </w:tcPr>
          <w:p w14:paraId="702AADA7" w14:textId="77777777" w:rsidR="00DB39AE" w:rsidRPr="00867725" w:rsidRDefault="00DB39AE" w:rsidP="00566B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Comparator B</w:t>
            </w:r>
          </w:p>
        </w:tc>
        <w:tc>
          <w:tcPr>
            <w:tcW w:w="1265" w:type="dxa"/>
            <w:noWrap/>
            <w:hideMark/>
          </w:tcPr>
          <w:p w14:paraId="3054D921" w14:textId="71273CB5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421A8B66" w14:textId="1FC06893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5" w:type="dxa"/>
            <w:noWrap/>
            <w:hideMark/>
          </w:tcPr>
          <w:p w14:paraId="0F629BAE" w14:textId="5E4532F2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noWrap/>
            <w:hideMark/>
          </w:tcPr>
          <w:p w14:paraId="54FB0A99" w14:textId="244097A9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noWrap/>
            <w:hideMark/>
          </w:tcPr>
          <w:p w14:paraId="3DD265C0" w14:textId="0F720543" w:rsidR="00DB39AE" w:rsidRPr="00867725" w:rsidRDefault="00DB39AE" w:rsidP="00566B67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67725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</w:tbl>
    <w:p w14:paraId="6B811A9D" w14:textId="77777777" w:rsidR="00867725" w:rsidRDefault="00867725" w:rsidP="00867725">
      <w:pPr>
        <w:pStyle w:val="Heading1"/>
      </w:pPr>
      <w:r>
        <w:t>Eligible population</w:t>
      </w:r>
    </w:p>
    <w:p w14:paraId="52E6EB74" w14:textId="77777777" w:rsidR="00867725" w:rsidRDefault="00867725" w:rsidP="00867725">
      <w:r>
        <w:t>Describe the following:</w:t>
      </w:r>
    </w:p>
    <w:p w14:paraId="7FE399A1" w14:textId="77777777" w:rsidR="00867725" w:rsidRDefault="00867725" w:rsidP="00867725">
      <w:pPr>
        <w:pStyle w:val="ListParagraph"/>
        <w:numPr>
          <w:ilvl w:val="0"/>
          <w:numId w:val="12"/>
        </w:numPr>
      </w:pPr>
      <w:r>
        <w:t>whether it is an incident population, prevalent population or both that is anticipated would use the technology</w:t>
      </w:r>
    </w:p>
    <w:p w14:paraId="5989A32F" w14:textId="77777777" w:rsidR="00867725" w:rsidRDefault="00867725" w:rsidP="00867725">
      <w:pPr>
        <w:pStyle w:val="ListParagraph"/>
        <w:numPr>
          <w:ilvl w:val="0"/>
          <w:numId w:val="12"/>
        </w:numPr>
      </w:pPr>
      <w:r>
        <w:t>how many people are eligible for treatment with the technology</w:t>
      </w:r>
      <w:r w:rsidRPr="00667F4F">
        <w:t xml:space="preserve"> </w:t>
      </w:r>
      <w:r>
        <w:t>for the licenced indication and for any subgroups considered for the next 5 years</w:t>
      </w:r>
      <w:r w:rsidRPr="00667F4F">
        <w:t xml:space="preserve"> </w:t>
      </w:r>
    </w:p>
    <w:p w14:paraId="104618EB" w14:textId="77777777" w:rsidR="00867725" w:rsidRDefault="00867725" w:rsidP="00867725">
      <w:pPr>
        <w:pStyle w:val="ListParagraph"/>
        <w:numPr>
          <w:ilvl w:val="0"/>
          <w:numId w:val="12"/>
        </w:numPr>
      </w:pPr>
      <w:r>
        <w:t>details of any assumptions used and describe all steps taken to calculate the eligible population</w:t>
      </w:r>
    </w:p>
    <w:p w14:paraId="38D9EAB8" w14:textId="77777777" w:rsidR="00326347" w:rsidRDefault="00326347">
      <w:pPr>
        <w:spacing w:after="0" w:line="240" w:lineRule="auto"/>
        <w:rPr>
          <w:rFonts w:eastAsiaTheme="majorEastAsia" w:cs="Times New Roman (Headings CS)"/>
          <w:b/>
          <w:caps/>
          <w:sz w:val="28"/>
          <w:szCs w:val="32"/>
        </w:rPr>
      </w:pPr>
      <w:r>
        <w:br w:type="page"/>
      </w:r>
    </w:p>
    <w:p w14:paraId="0F2A6C6D" w14:textId="133A263F" w:rsidR="00667F4F" w:rsidRDefault="00867725" w:rsidP="00ED44F7">
      <w:pPr>
        <w:pStyle w:val="Heading1"/>
      </w:pPr>
      <w:r>
        <w:lastRenderedPageBreak/>
        <w:t>Resources</w:t>
      </w:r>
    </w:p>
    <w:p w14:paraId="2F6CF8DA" w14:textId="56742608" w:rsidR="00667F4F" w:rsidRDefault="00667F4F" w:rsidP="00667F4F">
      <w:r>
        <w:t>Describe the following:</w:t>
      </w:r>
    </w:p>
    <w:p w14:paraId="59BCEDA9" w14:textId="4BBC43D3" w:rsidR="00667F4F" w:rsidRDefault="00667F4F" w:rsidP="00667F4F">
      <w:pPr>
        <w:pStyle w:val="ListParagraph"/>
        <w:numPr>
          <w:ilvl w:val="0"/>
          <w:numId w:val="13"/>
        </w:numPr>
      </w:pPr>
      <w:r>
        <w:t>Healthcare resource use associated with the technology under review and specify whether this is different to current clinical practice.</w:t>
      </w:r>
      <w:r w:rsidRPr="00667F4F">
        <w:t xml:space="preserve"> </w:t>
      </w:r>
      <w:r>
        <w:t>This may include administration costs, staff costs and costs of monitoring and tests associated with the technology, additional tests or investigations needed</w:t>
      </w:r>
      <w:r w:rsidR="004776F2">
        <w:t xml:space="preserve"> etc</w:t>
      </w:r>
      <w:r>
        <w:t>.</w:t>
      </w:r>
    </w:p>
    <w:p w14:paraId="3E84BA81" w14:textId="77777777" w:rsidR="00C66BBC" w:rsidRDefault="00C66BBC" w:rsidP="00C66BBC">
      <w:pPr>
        <w:pStyle w:val="ListParagraph"/>
        <w:numPr>
          <w:ilvl w:val="0"/>
          <w:numId w:val="13"/>
        </w:numPr>
      </w:pPr>
      <w:r>
        <w:t>Adverse events associated with the technology if this is different to current standard of care</w:t>
      </w:r>
    </w:p>
    <w:p w14:paraId="31EAF9D6" w14:textId="1082D830" w:rsidR="00667F4F" w:rsidRDefault="00667F4F" w:rsidP="00667F4F">
      <w:pPr>
        <w:pStyle w:val="ListParagraph"/>
        <w:numPr>
          <w:ilvl w:val="0"/>
          <w:numId w:val="13"/>
        </w:numPr>
      </w:pPr>
      <w:r>
        <w:t>Location or setting of care (that is, primary and/or secondary care/homecare</w:t>
      </w:r>
      <w:r w:rsidR="004776F2">
        <w:t>)</w:t>
      </w:r>
      <w:r>
        <w:t>.</w:t>
      </w:r>
    </w:p>
    <w:p w14:paraId="451FAECE" w14:textId="613E64F6" w:rsidR="00667F4F" w:rsidRDefault="00667F4F" w:rsidP="00667F4F">
      <w:pPr>
        <w:pStyle w:val="ListParagraph"/>
        <w:numPr>
          <w:ilvl w:val="0"/>
          <w:numId w:val="13"/>
        </w:numPr>
      </w:pPr>
      <w:r>
        <w:t xml:space="preserve">Any concomitant therapies </w:t>
      </w:r>
    </w:p>
    <w:p w14:paraId="31B4244F" w14:textId="6221FEF4" w:rsidR="007F47CF" w:rsidRDefault="007F47CF" w:rsidP="00667F4F">
      <w:pPr>
        <w:pStyle w:val="ListParagraph"/>
        <w:numPr>
          <w:ilvl w:val="0"/>
          <w:numId w:val="13"/>
        </w:numPr>
      </w:pPr>
      <w:r>
        <w:t>Any anticipated savings (or events avoided) associated with the technology</w:t>
      </w:r>
    </w:p>
    <w:p w14:paraId="4D3ECC34" w14:textId="1CA3781F" w:rsidR="00C66BBC" w:rsidRDefault="004776F2" w:rsidP="00667F4F">
      <w:pPr>
        <w:pStyle w:val="ListParagraph"/>
        <w:numPr>
          <w:ilvl w:val="0"/>
          <w:numId w:val="13"/>
        </w:numPr>
      </w:pPr>
      <w:r>
        <w:t>D</w:t>
      </w:r>
      <w:r w:rsidR="00C66BBC">
        <w:t>etails of any assumptions used</w:t>
      </w:r>
    </w:p>
    <w:p w14:paraId="4B53F3CB" w14:textId="77777777" w:rsidR="00A315A6" w:rsidRDefault="00A315A6" w:rsidP="00A315A6">
      <w:pPr>
        <w:pStyle w:val="ListParagraph"/>
        <w:ind w:left="360"/>
      </w:pPr>
    </w:p>
    <w:p w14:paraId="33042EB6" w14:textId="41BEF097" w:rsidR="007F47CF" w:rsidRDefault="00A315A6" w:rsidP="007F47CF">
      <w:r>
        <w:t xml:space="preserve">Adapt the table below to set out all relevant </w:t>
      </w:r>
      <w:r w:rsidR="004776F2">
        <w:t xml:space="preserve">summary </w:t>
      </w:r>
      <w:r>
        <w:t>costs for the technology</w:t>
      </w:r>
      <w:r w:rsidR="002F1F5D">
        <w:t xml:space="preserve"> under review</w:t>
      </w:r>
      <w:r w:rsidR="004776F2">
        <w:t xml:space="preserve"> and its comparators</w:t>
      </w:r>
      <w:r>
        <w:t>.</w:t>
      </w:r>
      <w:r w:rsidR="00C66BBC" w:rsidRPr="00C66BBC">
        <w:t xml:space="preserve"> </w:t>
      </w:r>
      <w:r w:rsidR="00C66BBC">
        <w:t xml:space="preserve">All costs should be presented separately with itemised unit costs in the accompanying excel spreadsheet. </w:t>
      </w:r>
    </w:p>
    <w:p w14:paraId="4153680B" w14:textId="77777777" w:rsidR="00DB39AE" w:rsidRDefault="00DB39AE" w:rsidP="007F47CF">
      <w:pPr>
        <w:rPr>
          <w:b/>
          <w:bCs/>
        </w:rPr>
      </w:pPr>
    </w:p>
    <w:p w14:paraId="6E1DE249" w14:textId="2CAB43C3" w:rsidR="007F47CF" w:rsidRPr="007F47CF" w:rsidRDefault="007F47CF" w:rsidP="007F47CF">
      <w:pPr>
        <w:rPr>
          <w:b/>
          <w:bCs/>
        </w:rPr>
      </w:pPr>
      <w:r w:rsidRPr="007F47CF">
        <w:rPr>
          <w:b/>
          <w:bCs/>
        </w:rPr>
        <w:t>Unit costs for technology</w:t>
      </w:r>
      <w:r w:rsidR="00C66BBC">
        <w:rPr>
          <w:b/>
          <w:bCs/>
        </w:rPr>
        <w:t xml:space="preserve"> and comparator technologies</w:t>
      </w:r>
    </w:p>
    <w:tbl>
      <w:tblPr>
        <w:tblStyle w:val="GridTable1Light"/>
        <w:tblW w:w="9072" w:type="dxa"/>
        <w:tblLook w:val="04A0" w:firstRow="1" w:lastRow="0" w:firstColumn="1" w:lastColumn="0" w:noHBand="0" w:noVBand="1"/>
      </w:tblPr>
      <w:tblGrid>
        <w:gridCol w:w="3137"/>
        <w:gridCol w:w="1568"/>
        <w:gridCol w:w="4367"/>
      </w:tblGrid>
      <w:tr w:rsidR="007F47CF" w:rsidRPr="00C66BBC" w14:paraId="042C4FA4" w14:textId="77777777" w:rsidTr="00477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0B7F0388" w14:textId="77777777" w:rsidR="007F47CF" w:rsidRPr="00C66BBC" w:rsidRDefault="007F47CF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Cost type</w:t>
            </w:r>
          </w:p>
        </w:tc>
        <w:tc>
          <w:tcPr>
            <w:tcW w:w="1568" w:type="dxa"/>
          </w:tcPr>
          <w:p w14:paraId="22B7395F" w14:textId="6DFE233E" w:rsidR="007F47CF" w:rsidRPr="00C66BBC" w:rsidRDefault="007F47CF" w:rsidP="00C66BBC">
            <w:pPr>
              <w:pStyle w:val="Tabletext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Cost (ZAR)</w:t>
            </w:r>
          </w:p>
        </w:tc>
        <w:tc>
          <w:tcPr>
            <w:tcW w:w="4367" w:type="dxa"/>
          </w:tcPr>
          <w:p w14:paraId="6A20B77E" w14:textId="77777777" w:rsidR="007F47CF" w:rsidRPr="00C66BBC" w:rsidRDefault="007F47CF" w:rsidP="00C66BBC">
            <w:pPr>
              <w:pStyle w:val="Tabletext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Unit</w:t>
            </w:r>
          </w:p>
        </w:tc>
      </w:tr>
      <w:tr w:rsidR="00C66BBC" w:rsidRPr="00C66BBC" w14:paraId="525F0D44" w14:textId="77777777" w:rsidTr="004776F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22AC9865" w14:textId="0048E830" w:rsidR="00C66BBC" w:rsidRPr="00C66BBC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Technology </w:t>
            </w:r>
          </w:p>
        </w:tc>
      </w:tr>
      <w:tr w:rsidR="00C66BBC" w:rsidRPr="00C66BBC" w14:paraId="4B53CE94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62F2AF90" w14:textId="143B8827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Acquisition cots</w:t>
            </w:r>
          </w:p>
        </w:tc>
        <w:tc>
          <w:tcPr>
            <w:tcW w:w="1568" w:type="dxa"/>
          </w:tcPr>
          <w:p w14:paraId="13460E1E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01985078" w14:textId="0229A2DB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course of treatment</w:t>
            </w:r>
            <w:r w:rsidR="004776F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2F1F5D" w:rsidRPr="00C66BBC" w14:paraId="6C5003DA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1A4B156C" w14:textId="46B76BF7" w:rsidR="002F1F5D" w:rsidRPr="004776F2" w:rsidRDefault="002F1F5D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Health care resource use</w:t>
            </w:r>
          </w:p>
        </w:tc>
        <w:tc>
          <w:tcPr>
            <w:tcW w:w="1568" w:type="dxa"/>
          </w:tcPr>
          <w:p w14:paraId="4D81865F" w14:textId="77777777" w:rsidR="002F1F5D" w:rsidRPr="00C66BBC" w:rsidRDefault="002F1F5D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7D0CBA32" w14:textId="0D612EBC" w:rsidR="002F1F5D" w:rsidRPr="00C66BBC" w:rsidRDefault="002F1F5D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year</w:t>
            </w:r>
            <w:r w:rsidR="00C66BBC"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7F47CF" w:rsidRPr="00C66BBC" w14:paraId="31F81460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238CDAD9" w14:textId="77777777" w:rsidR="007F47CF" w:rsidRPr="004776F2" w:rsidRDefault="007F47CF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Adverse events</w:t>
            </w:r>
          </w:p>
        </w:tc>
        <w:tc>
          <w:tcPr>
            <w:tcW w:w="1568" w:type="dxa"/>
          </w:tcPr>
          <w:p w14:paraId="6DB474F2" w14:textId="562601CA" w:rsidR="007F47CF" w:rsidRPr="00C66BBC" w:rsidRDefault="007F47CF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3EF75802" w14:textId="77777777" w:rsidR="007F47CF" w:rsidRPr="00C66BBC" w:rsidRDefault="007F47CF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event (x many per person per year)</w:t>
            </w:r>
          </w:p>
        </w:tc>
      </w:tr>
      <w:tr w:rsidR="007F47CF" w:rsidRPr="00C66BBC" w14:paraId="684EBEBB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5480C31E" w14:textId="77777777" w:rsidR="007F47CF" w:rsidRPr="004776F2" w:rsidRDefault="007F47CF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Events avoided</w:t>
            </w:r>
          </w:p>
        </w:tc>
        <w:tc>
          <w:tcPr>
            <w:tcW w:w="1568" w:type="dxa"/>
          </w:tcPr>
          <w:p w14:paraId="6ACA2D6A" w14:textId="4F1008E4" w:rsidR="007F47CF" w:rsidRPr="00C66BBC" w:rsidRDefault="007F47CF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693D1B57" w14:textId="77777777" w:rsidR="007F47CF" w:rsidRPr="00C66BBC" w:rsidRDefault="007F47CF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year</w:t>
            </w:r>
          </w:p>
        </w:tc>
      </w:tr>
      <w:tr w:rsidR="00C66BBC" w:rsidRPr="00C66BBC" w14:paraId="51D36386" w14:textId="77777777" w:rsidTr="004776F2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692BD691" w14:textId="744E21C9" w:rsidR="00C66BBC" w:rsidRPr="00C66BBC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Comparator 1</w:t>
            </w:r>
          </w:p>
        </w:tc>
      </w:tr>
      <w:tr w:rsidR="00C66BBC" w:rsidRPr="00C66BBC" w14:paraId="3D1C52C7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564FEA6A" w14:textId="60B1CAAD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Acquisition cots</w:t>
            </w:r>
          </w:p>
        </w:tc>
        <w:tc>
          <w:tcPr>
            <w:tcW w:w="1568" w:type="dxa"/>
          </w:tcPr>
          <w:p w14:paraId="52E0D234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15ECEBBC" w14:textId="712DC6D6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course of treatment</w:t>
            </w:r>
          </w:p>
        </w:tc>
      </w:tr>
      <w:tr w:rsidR="00C66BBC" w:rsidRPr="00C66BBC" w14:paraId="388604C8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778856F0" w14:textId="0880C95B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Health care resource use</w:t>
            </w:r>
          </w:p>
        </w:tc>
        <w:tc>
          <w:tcPr>
            <w:tcW w:w="1568" w:type="dxa"/>
          </w:tcPr>
          <w:p w14:paraId="447C1C5D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6858FA45" w14:textId="1466CF0A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year</w:t>
            </w:r>
          </w:p>
        </w:tc>
      </w:tr>
      <w:tr w:rsidR="00C66BBC" w:rsidRPr="00C66BBC" w14:paraId="472CC13A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359DE645" w14:textId="77777777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Adverse events</w:t>
            </w:r>
          </w:p>
        </w:tc>
        <w:tc>
          <w:tcPr>
            <w:tcW w:w="1568" w:type="dxa"/>
          </w:tcPr>
          <w:p w14:paraId="0597AFB3" w14:textId="2BB5BE29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273C1635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event (x many per person per year)</w:t>
            </w:r>
          </w:p>
        </w:tc>
      </w:tr>
      <w:tr w:rsidR="00C66BBC" w:rsidRPr="00C66BBC" w14:paraId="79D5B2DB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229037AE" w14:textId="77777777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Events avoided</w:t>
            </w:r>
          </w:p>
        </w:tc>
        <w:tc>
          <w:tcPr>
            <w:tcW w:w="1568" w:type="dxa"/>
          </w:tcPr>
          <w:p w14:paraId="11B4E368" w14:textId="0C66DB03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6384D469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year</w:t>
            </w:r>
          </w:p>
        </w:tc>
      </w:tr>
      <w:tr w:rsidR="00C66BBC" w:rsidRPr="00C66BBC" w14:paraId="3F37D8C3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6CE8EF79" w14:textId="4888A464" w:rsidR="00C66BBC" w:rsidRPr="00C66BBC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Comparator 2</w:t>
            </w:r>
          </w:p>
        </w:tc>
      </w:tr>
      <w:tr w:rsidR="00C66BBC" w:rsidRPr="00C66BBC" w14:paraId="5B4F8BB8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163B7F49" w14:textId="678DA7B9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Acquisition costs</w:t>
            </w:r>
          </w:p>
        </w:tc>
        <w:tc>
          <w:tcPr>
            <w:tcW w:w="1568" w:type="dxa"/>
          </w:tcPr>
          <w:p w14:paraId="038ED396" w14:textId="60ECA980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1957E096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course of treatment</w:t>
            </w:r>
          </w:p>
        </w:tc>
      </w:tr>
      <w:tr w:rsidR="00C66BBC" w:rsidRPr="00C66BBC" w14:paraId="5B366274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3E8A912B" w14:textId="183D7F9B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Health care resource use</w:t>
            </w:r>
          </w:p>
        </w:tc>
        <w:tc>
          <w:tcPr>
            <w:tcW w:w="1568" w:type="dxa"/>
          </w:tcPr>
          <w:p w14:paraId="64EFF0F7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63FC2578" w14:textId="0955D2DB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year</w:t>
            </w:r>
          </w:p>
        </w:tc>
      </w:tr>
      <w:tr w:rsidR="00C66BBC" w:rsidRPr="00C66BBC" w14:paraId="628CC118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15AFF8A6" w14:textId="77777777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Adverse events</w:t>
            </w:r>
          </w:p>
        </w:tc>
        <w:tc>
          <w:tcPr>
            <w:tcW w:w="1568" w:type="dxa"/>
          </w:tcPr>
          <w:p w14:paraId="1AE2B3E0" w14:textId="722F8DAB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061B5B5D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event (x many per person per year)</w:t>
            </w:r>
          </w:p>
        </w:tc>
      </w:tr>
      <w:tr w:rsidR="00C66BBC" w:rsidRPr="00C66BBC" w14:paraId="6BBE0771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7" w:type="dxa"/>
          </w:tcPr>
          <w:p w14:paraId="173B49F5" w14:textId="77777777" w:rsidR="00C66BBC" w:rsidRPr="004776F2" w:rsidRDefault="00C66BBC" w:rsidP="00C66BBC">
            <w:pPr>
              <w:pStyle w:val="Tabletext"/>
              <w:spacing w:before="40" w:after="4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</w:pPr>
            <w:r w:rsidRPr="004776F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US"/>
              </w:rPr>
              <w:t>Events avoided</w:t>
            </w:r>
          </w:p>
        </w:tc>
        <w:tc>
          <w:tcPr>
            <w:tcW w:w="1568" w:type="dxa"/>
          </w:tcPr>
          <w:p w14:paraId="589106C8" w14:textId="577FBABD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</w:tcPr>
          <w:p w14:paraId="4EBE0B22" w14:textId="77777777" w:rsidR="00C66BBC" w:rsidRPr="00C66BBC" w:rsidRDefault="00C66BBC" w:rsidP="00C66BBC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66BB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Per person per year</w:t>
            </w:r>
          </w:p>
        </w:tc>
      </w:tr>
      <w:tr w:rsidR="00C66BBC" w:rsidRPr="00C66BBC" w14:paraId="4AF920BA" w14:textId="77777777" w:rsidTr="004776F2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</w:tcPr>
          <w:p w14:paraId="2FCF9E50" w14:textId="0E707024" w:rsidR="00C66BBC" w:rsidRPr="00C66BBC" w:rsidRDefault="00C66BBC" w:rsidP="00C66BBC">
            <w:pPr>
              <w:spacing w:before="40" w:after="4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C66BBC">
              <w:rPr>
                <w:rFonts w:cstheme="minorHAnsi"/>
                <w:i/>
                <w:iCs/>
                <w:sz w:val="20"/>
                <w:szCs w:val="20"/>
              </w:rPr>
              <w:t>Add further rows as needed</w:t>
            </w:r>
          </w:p>
        </w:tc>
      </w:tr>
    </w:tbl>
    <w:p w14:paraId="0ECA44B5" w14:textId="1AB26080" w:rsidR="00DB39AE" w:rsidRPr="00326347" w:rsidRDefault="00C66BBC" w:rsidP="00326347">
      <w:pPr>
        <w:spacing w:before="40" w:after="0"/>
        <w:rPr>
          <w:sz w:val="20"/>
          <w:szCs w:val="20"/>
        </w:rPr>
      </w:pPr>
      <w:r w:rsidRPr="001174A5">
        <w:rPr>
          <w:sz w:val="20"/>
          <w:szCs w:val="20"/>
        </w:rPr>
        <w:t xml:space="preserve">Table adapted from the NICE </w:t>
      </w:r>
      <w:r>
        <w:rPr>
          <w:sz w:val="20"/>
          <w:szCs w:val="20"/>
        </w:rPr>
        <w:t>budget impact analysis</w:t>
      </w:r>
      <w:r w:rsidRPr="001174A5">
        <w:rPr>
          <w:sz w:val="20"/>
          <w:szCs w:val="20"/>
        </w:rPr>
        <w:t xml:space="preserve"> template </w:t>
      </w:r>
    </w:p>
    <w:p w14:paraId="7CD1AF2C" w14:textId="77777777" w:rsidR="00326347" w:rsidRDefault="00326347">
      <w:pPr>
        <w:spacing w:after="0" w:line="240" w:lineRule="auto"/>
        <w:rPr>
          <w:rFonts w:eastAsiaTheme="majorEastAsia" w:cs="Times New Roman (Headings CS)"/>
          <w:b/>
          <w:caps/>
          <w:sz w:val="28"/>
          <w:szCs w:val="32"/>
        </w:rPr>
      </w:pPr>
      <w:r>
        <w:br w:type="page"/>
      </w:r>
    </w:p>
    <w:p w14:paraId="40E373C3" w14:textId="482CE172" w:rsidR="000C30BA" w:rsidRDefault="00DB39AE" w:rsidP="000C30BA">
      <w:pPr>
        <w:pStyle w:val="Heading1"/>
      </w:pPr>
      <w:r>
        <w:lastRenderedPageBreak/>
        <w:t>Estimates of annual budget impact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44"/>
        <w:gridCol w:w="1247"/>
        <w:gridCol w:w="1247"/>
        <w:gridCol w:w="1248"/>
        <w:gridCol w:w="1247"/>
        <w:gridCol w:w="1248"/>
      </w:tblGrid>
      <w:tr w:rsidR="00D95030" w:rsidRPr="00D95030" w14:paraId="61616DE5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CE653C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E83D7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Year 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4AF2A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Year 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B2DA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Year 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31CF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Year 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59929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Year 5</w:t>
            </w:r>
          </w:p>
        </w:tc>
      </w:tr>
      <w:tr w:rsidR="00D95030" w:rsidRPr="00D95030" w14:paraId="5B9C31A9" w14:textId="77777777" w:rsidTr="00D95030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C647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Patient population that will receive the new technology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074B3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C7E1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5B5D7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CE4E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0279B" w14:textId="777777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D95030" w:rsidRPr="00D95030" w14:paraId="09EBA734" w14:textId="77777777" w:rsidTr="00D95030">
        <w:trPr>
          <w:trHeight w:val="2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2A0939" w14:textId="2D90CBD0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Status quo implementation scenario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0879A" w14:textId="02E507F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4F0C1E" w14:textId="276EF1BC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0A767" w14:textId="663C87D2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72DF5B" w14:textId="3B3381E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EF5DBB" w14:textId="420BED2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5410F043" w14:textId="77777777" w:rsidTr="00D95030">
        <w:trPr>
          <w:trHeight w:val="1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2852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Pharmaceutical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8EA1" w14:textId="2ECB859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A336" w14:textId="4F23169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F179A" w14:textId="1025FCB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91F47" w14:textId="1C5BCC5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1A056" w14:textId="08BC299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6919C7CC" w14:textId="77777777" w:rsidTr="00D95030">
        <w:trPr>
          <w:trHeight w:val="1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1F45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Healthcare resource use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673D" w14:textId="50CFBAA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92D0" w14:textId="23592AC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EE95" w14:textId="0EDC67D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ACBD" w14:textId="548F0C6C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83A2" w14:textId="3594278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1DDBE8E8" w14:textId="77777777" w:rsidTr="00D95030">
        <w:trPr>
          <w:trHeight w:val="2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D752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Adverse events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B2214" w14:textId="4C38949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496F" w14:textId="10A0669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8FE04" w14:textId="3888B6C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BF5D" w14:textId="6DC00CC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1972" w14:textId="0FBC225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39BF5902" w14:textId="77777777" w:rsidTr="00D95030">
        <w:trPr>
          <w:trHeight w:val="1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D27E" w14:textId="09248253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Other costs/savings not captured elsewhere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1E6D1" w14:textId="31A99C0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0BEDD" w14:textId="76540713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6DD28" w14:textId="6FD93DB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1C33" w14:textId="0F6340F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9B41B" w14:textId="3F7DDFA2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302A9A00" w14:textId="77777777" w:rsidTr="00D95030">
        <w:trPr>
          <w:trHeight w:val="3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7C76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Total cost of current treatment pathway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B9CB" w14:textId="52D4A332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19590" w14:textId="580C98F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36F9C" w14:textId="7C22A47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D7349" w14:textId="2500164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C9986" w14:textId="5AF9320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6A181894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62B030" w14:textId="5CA51B1E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Rapid adoption implementation scenario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E187F" w14:textId="5E96211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CEB219" w14:textId="4080A8C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9373EC" w14:textId="22D8AFD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314E8" w14:textId="6DDDBB9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D5B89C" w14:textId="6E737C4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7815D5EC" w14:textId="77777777" w:rsidTr="00D95030">
        <w:trPr>
          <w:trHeight w:val="2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3D2C9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Pharmaceutical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A4DE0" w14:textId="4285946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A5096" w14:textId="575DCDE2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24589" w14:textId="30D5F7C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277B5" w14:textId="44EFA80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138E" w14:textId="338BFE7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168062D3" w14:textId="77777777" w:rsidTr="00170CAD">
        <w:trPr>
          <w:trHeight w:val="25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A66F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Healthcare resource use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9D925" w14:textId="199AE1B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C6524" w14:textId="5FF8659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0E3EF" w14:textId="4A3D684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F0BC" w14:textId="390E440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43CE0" w14:textId="0DF2B81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2B436340" w14:textId="77777777" w:rsidTr="00D95030">
        <w:trPr>
          <w:trHeight w:val="1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FF75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Adverse events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1E4C" w14:textId="65D259C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B0792" w14:textId="608EC3B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E748F" w14:textId="5681BD0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69FD" w14:textId="73548373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F929" w14:textId="03BD3DA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2FB714BF" w14:textId="77777777" w:rsidTr="00D95030">
        <w:trPr>
          <w:trHeight w:val="2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616B" w14:textId="52249F15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Other costs/savings not captured elsewhere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D3789" w14:textId="51CB5D3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871AA" w14:textId="6469DA7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D5A00" w14:textId="51842B6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AAA3" w14:textId="1CAE5ECC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8F39F" w14:textId="4A8FA51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79B28C0C" w14:textId="77777777" w:rsidTr="00D9503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B224" w14:textId="4C96D472" w:rsidR="00D95030" w:rsidRPr="00D95030" w:rsidRDefault="00D95030" w:rsidP="00D95030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Total cost of rapid adoption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of 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5BEE2" w14:textId="01C4081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8B999" w14:textId="5876E63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DFBA" w14:textId="44B03F4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79E71" w14:textId="1B8F8FE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60D8D" w14:textId="6D900EA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070FCE31" w14:textId="77777777" w:rsidTr="00170CAD">
        <w:trPr>
          <w:trHeight w:val="1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3A08B" w14:textId="450E379F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Slow adoption implementation scenario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2DBD2" w14:textId="5F74A95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7F3A3" w14:textId="1991ECF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A80DF" w14:textId="0E3D731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E9785" w14:textId="6674F04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279F1C" w14:textId="2F32B31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11F1A780" w14:textId="77777777" w:rsidTr="00D95030">
        <w:trPr>
          <w:trHeight w:val="1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D930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Pharmaceutical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C06E" w14:textId="7B967FE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82C6D" w14:textId="4153528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4417" w14:textId="79918AA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9EECF" w14:textId="2EFECDC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B6DD7" w14:textId="72FF5F8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2B53A62B" w14:textId="77777777" w:rsidTr="00D95030">
        <w:trPr>
          <w:trHeight w:val="2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9D88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Healthcare resource use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67E9" w14:textId="57B5383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23914" w14:textId="2DD0E0F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4692A" w14:textId="2EA57E7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533E" w14:textId="2734C88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22FA" w14:textId="23D6657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24798C82" w14:textId="77777777" w:rsidTr="00D95030">
        <w:trPr>
          <w:trHeight w:val="1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85D4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Adverse events costs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CF76C" w14:textId="5E3AE03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C92C" w14:textId="7B48AAE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55DC" w14:textId="3BDD2A1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0873A" w14:textId="2F7E9C0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09FA7" w14:textId="00C1BF5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709355AD" w14:textId="77777777" w:rsidTr="00D95030">
        <w:trPr>
          <w:trHeight w:val="1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0B99" w14:textId="77E992E7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>Other costs/savings not captured elsewhere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9EB84" w14:textId="13B85AF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CEE3" w14:textId="3492B78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9D38D" w14:textId="1DF2757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9014" w14:textId="4A01509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53087" w14:textId="2CF9A87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13FC840F" w14:textId="77777777" w:rsidTr="00D9503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B540" w14:textId="4F6C162E" w:rsidR="00D95030" w:rsidRPr="00D95030" w:rsidRDefault="00D95030" w:rsidP="00D95030">
            <w:pPr>
              <w:spacing w:after="0" w:line="240" w:lineRule="auto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Total cost of slow adoption</w:t>
            </w:r>
            <w:r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of 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30BD" w14:textId="0053E15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B05B" w14:textId="5C27DCF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469E7" w14:textId="0BD0966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8A66" w14:textId="55B13F2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4FD5" w14:textId="1B137D0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4E6C197C" w14:textId="77777777" w:rsidTr="00D9503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2F995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NET BUDGET IMPACT</w:t>
            </w: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D95030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(future  - current treatment pathway costs)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0DA391" w14:textId="470DC81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8D4BB" w14:textId="76C1AD1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5E8B9" w14:textId="7F1A0E9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8DAC10" w14:textId="25ADA7F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0EDE1F" w14:textId="1211A01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6CC48B75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9C2A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Net pharmaceutical costs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C33D" w14:textId="4937B21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B5AE" w14:textId="78B8732C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A8BB" w14:textId="5727561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E393" w14:textId="1B1FB5E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6FD8" w14:textId="2A926C8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95030" w:rsidRPr="00D95030" w14:paraId="51AC55BB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E71D" w14:textId="50B593B0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rapid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14AF" w14:textId="2286D6C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F4C8D" w14:textId="7AB504A2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81F0" w14:textId="0D7FBA1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D76F5" w14:textId="78127B9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5345" w14:textId="781C200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576D64AA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D4B4" w14:textId="62BB9230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slow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DB33" w14:textId="29E96AD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B1D41" w14:textId="1F772A3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E0568" w14:textId="325FC78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2227F" w14:textId="387317A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2596C" w14:textId="6A05942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27D43333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C532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Net healthcare resource use costs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D72C" w14:textId="4E5A82C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37BD1" w14:textId="015829A6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1C9AE" w14:textId="2E42638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3005C" w14:textId="43F0070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1B5B1" w14:textId="6A4B9C7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05E585ED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F496" w14:textId="18E048A3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rapid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FD5C9" w14:textId="108258A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822B" w14:textId="399A559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39917" w14:textId="70D2801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4EFBB" w14:textId="5C154E8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DB3C0" w14:textId="7312178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57FCEE52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78EA" w14:textId="328EBC29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slow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E7C1A" w14:textId="738EA67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DC25" w14:textId="762BFC7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94418" w14:textId="56898E7C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61F97" w14:textId="612B7AD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6B9A7" w14:textId="181E6593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654FC849" w14:textId="77777777" w:rsidTr="00D95030">
        <w:trPr>
          <w:trHeight w:val="3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918A" w14:textId="77777777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Net adverse events costs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F1521" w14:textId="71BE1A1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5D17" w14:textId="24FC635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22DD8" w14:textId="017BB8E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5A649" w14:textId="0270530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93129" w14:textId="2A2DEB5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4689D571" w14:textId="77777777" w:rsidTr="00D9503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82EB" w14:textId="663A4625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rapid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4884" w14:textId="4296551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4ACF2" w14:textId="1C4A3BA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B9436" w14:textId="66DE49C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19C5A" w14:textId="78C163A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267F" w14:textId="2E181FDC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408890D3" w14:textId="77777777" w:rsidTr="00D95030">
        <w:trPr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1AE8" w14:textId="3B6F0D4C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slow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AFB5D" w14:textId="70A45D0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A0AC1" w14:textId="5647C78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8492" w14:textId="59F63B2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DBE9" w14:textId="6B0D8E3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651B0" w14:textId="6E8B04E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2D78AA8A" w14:textId="77777777" w:rsidTr="00D95030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B7DB" w14:textId="59E1BEB0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Net costs not captured elsewhere (savings)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3827" w14:textId="3EAB407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2A13" w14:textId="4AD5C39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0920" w14:textId="05BDD85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CB84" w14:textId="5F2162F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67E50" w14:textId="1EDD692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0B2BAF41" w14:textId="77777777" w:rsidTr="00D95030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440E" w14:textId="7C70A0A2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rapid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69159" w14:textId="23AE4BF3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2C903" w14:textId="1ABEF5D1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67572" w14:textId="1CEA0CB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46BE8" w14:textId="5B12608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86C9" w14:textId="6646E9E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2C24D2BC" w14:textId="77777777" w:rsidTr="00D9503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091C" w14:textId="46BC3A3D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slow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D4F5C" w14:textId="6BEDFA75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A749B" w14:textId="2AE90FFE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845A3" w14:textId="68BFB0A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4446" w14:textId="45A80D48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C04E7" w14:textId="4989204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6244C600" w14:textId="77777777" w:rsidTr="00D95030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2E59" w14:textId="59F95A05" w:rsidR="00D95030" w:rsidRPr="00D95030" w:rsidRDefault="00D95030" w:rsidP="00D95030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Net total costs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FBAB7" w14:textId="2F17E073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AC2AB" w14:textId="420A691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D8D5" w14:textId="246EF5A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D64DA" w14:textId="4FD3783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2FA99" w14:textId="7EB6A5D2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028180D3" w14:textId="77777777" w:rsidTr="00D95030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E91C" w14:textId="3B487F43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rapid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79B5C" w14:textId="62F1A90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FD723" w14:textId="4A175E89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D34D3" w14:textId="1CA45E3B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07E0F" w14:textId="08D099C7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0E581" w14:textId="2CA9502A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D95030" w:rsidRPr="00D95030" w14:paraId="35086977" w14:textId="77777777" w:rsidTr="00D95030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D4E7" w14:textId="7C5F5115" w:rsidR="00D95030" w:rsidRPr="00D95030" w:rsidRDefault="00D95030" w:rsidP="00D95030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95030">
              <w:rPr>
                <w:rFonts w:cstheme="minorHAnsi"/>
                <w:color w:val="000000"/>
                <w:sz w:val="18"/>
                <w:szCs w:val="18"/>
              </w:rPr>
              <w:t xml:space="preserve">&gt; In a market with slow adoption of the new </w:t>
            </w:r>
            <w:r>
              <w:rPr>
                <w:rFonts w:cstheme="minorHAnsi"/>
                <w:color w:val="000000"/>
                <w:sz w:val="18"/>
                <w:szCs w:val="18"/>
              </w:rPr>
              <w:t>technology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F68E1" w14:textId="7AC7ED90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74ABD" w14:textId="7D9290BF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B2E0B" w14:textId="2B5FFE1D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23FBA" w14:textId="021644F4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39358" w14:textId="76753073" w:rsidR="00D95030" w:rsidRPr="00D95030" w:rsidRDefault="00D95030" w:rsidP="00D95030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122FCE16" w14:textId="2D0F0A16" w:rsidR="00DB39AE" w:rsidRDefault="00DB39AE" w:rsidP="00457BC2">
      <w:pPr>
        <w:pStyle w:val="Heading1"/>
        <w:rPr>
          <w:lang w:val="en-US"/>
        </w:rPr>
      </w:pPr>
      <w:r>
        <w:rPr>
          <w:lang w:val="en-US"/>
        </w:rPr>
        <w:lastRenderedPageBreak/>
        <w:t>Limitations of the budget impact assessment</w:t>
      </w:r>
    </w:p>
    <w:p w14:paraId="2EF4748F" w14:textId="00BA9D43" w:rsidR="00E13B0B" w:rsidRPr="00457BC2" w:rsidRDefault="00457BC2" w:rsidP="00457BC2">
      <w:pPr>
        <w:pStyle w:val="Heading1"/>
        <w:rPr>
          <w:lang w:val="en-US"/>
        </w:rPr>
      </w:pPr>
      <w:r w:rsidRPr="00457BC2">
        <w:rPr>
          <w:lang w:val="en-US"/>
        </w:rPr>
        <w:t>REFERENCES</w:t>
      </w:r>
    </w:p>
    <w:p w14:paraId="0E2137E7" w14:textId="4D9B450C" w:rsidR="00B1405B" w:rsidRPr="00457BC2" w:rsidRDefault="00457BC2" w:rsidP="00457BC2">
      <w:r w:rsidRPr="00457BC2">
        <w:t>Vancouver style format</w:t>
      </w:r>
    </w:p>
    <w:sectPr w:rsidR="00B1405B" w:rsidRPr="00457BC2" w:rsidSect="00D95030">
      <w:footerReference w:type="even" r:id="rId7"/>
      <w:footerReference w:type="default" r:id="rId8"/>
      <w:pgSz w:w="12240" w:h="15840"/>
      <w:pgMar w:top="1244" w:right="1440" w:bottom="11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7349C" w14:textId="77777777" w:rsidR="00A962E7" w:rsidRDefault="00A962E7" w:rsidP="00C35FE5">
      <w:pPr>
        <w:spacing w:after="0" w:line="240" w:lineRule="auto"/>
      </w:pPr>
      <w:r>
        <w:separator/>
      </w:r>
    </w:p>
  </w:endnote>
  <w:endnote w:type="continuationSeparator" w:id="0">
    <w:p w14:paraId="2912435E" w14:textId="77777777" w:rsidR="00A962E7" w:rsidRDefault="00A962E7" w:rsidP="00C3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4436506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118869" w14:textId="42073EF0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605840" w14:textId="77777777" w:rsidR="00C35FE5" w:rsidRDefault="00C35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482076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A93513" w14:textId="5B8CCE33" w:rsidR="00C35FE5" w:rsidRDefault="00C35FE5" w:rsidP="00F91B6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F29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7E0156" w14:textId="7A480C1F" w:rsidR="00C35FE5" w:rsidRPr="00C35FE5" w:rsidRDefault="004776F2">
    <w:pPr>
      <w:pStyle w:val="Footer"/>
      <w:rPr>
        <w:lang w:val="en-US"/>
      </w:rPr>
    </w:pPr>
    <w:r>
      <w:rPr>
        <w:lang w:val="en-US"/>
      </w:rPr>
      <w:t>Budget Impact</w:t>
    </w:r>
    <w:r w:rsidR="00C35FE5">
      <w:rPr>
        <w:lang w:val="en-US"/>
      </w:rPr>
      <w:t xml:space="preserve"> Analysis template_v1.0</w:t>
    </w:r>
    <w:r w:rsidR="00C35FE5">
      <w:rPr>
        <w:lang w:val="en-US"/>
      </w:rPr>
      <w:tab/>
    </w:r>
    <w:r w:rsidR="00C35FE5">
      <w:rPr>
        <w:lang w:val="en-US"/>
      </w:rPr>
      <w:tab/>
      <w:t>1</w:t>
    </w:r>
    <w:r w:rsidR="00F1414C">
      <w:rPr>
        <w:lang w:val="en-US"/>
      </w:rPr>
      <w:t>7</w:t>
    </w:r>
    <w:r w:rsidR="00C35FE5">
      <w:rPr>
        <w:lang w:val="en-US"/>
      </w:rPr>
      <w:t xml:space="preserve"> </w:t>
    </w:r>
    <w:r w:rsidR="00F1414C">
      <w:rPr>
        <w:lang w:val="en-US"/>
      </w:rPr>
      <w:t>June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27166" w14:textId="77777777" w:rsidR="00A962E7" w:rsidRDefault="00A962E7" w:rsidP="00C35FE5">
      <w:pPr>
        <w:spacing w:after="0" w:line="240" w:lineRule="auto"/>
      </w:pPr>
      <w:r>
        <w:separator/>
      </w:r>
    </w:p>
  </w:footnote>
  <w:footnote w:type="continuationSeparator" w:id="0">
    <w:p w14:paraId="7B83ABDD" w14:textId="77777777" w:rsidR="00A962E7" w:rsidRDefault="00A962E7" w:rsidP="00C35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365"/>
    <w:multiLevelType w:val="hybridMultilevel"/>
    <w:tmpl w:val="51E662AE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70589"/>
    <w:multiLevelType w:val="hybridMultilevel"/>
    <w:tmpl w:val="1F22AB92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048F7"/>
    <w:multiLevelType w:val="hybridMultilevel"/>
    <w:tmpl w:val="E2EAE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284898"/>
    <w:multiLevelType w:val="hybridMultilevel"/>
    <w:tmpl w:val="510EEA1C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F71C8D"/>
    <w:multiLevelType w:val="hybridMultilevel"/>
    <w:tmpl w:val="1172A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17C54"/>
    <w:multiLevelType w:val="hybridMultilevel"/>
    <w:tmpl w:val="36B4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3B0D8B"/>
    <w:multiLevelType w:val="hybridMultilevel"/>
    <w:tmpl w:val="80D85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37F33"/>
    <w:multiLevelType w:val="hybridMultilevel"/>
    <w:tmpl w:val="50183A10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AD466D"/>
    <w:multiLevelType w:val="hybridMultilevel"/>
    <w:tmpl w:val="FC82C056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1465CC"/>
    <w:multiLevelType w:val="hybridMultilevel"/>
    <w:tmpl w:val="20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F208F"/>
    <w:multiLevelType w:val="hybridMultilevel"/>
    <w:tmpl w:val="A5C062D0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512AF2"/>
    <w:multiLevelType w:val="hybridMultilevel"/>
    <w:tmpl w:val="7D68A5D0"/>
    <w:lvl w:ilvl="0" w:tplc="C158C8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E0504E"/>
    <w:multiLevelType w:val="hybridMultilevel"/>
    <w:tmpl w:val="04267C98"/>
    <w:lvl w:ilvl="0" w:tplc="00CAC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63459"/>
    <w:multiLevelType w:val="hybridMultilevel"/>
    <w:tmpl w:val="ACF0E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1016F5"/>
    <w:multiLevelType w:val="hybridMultilevel"/>
    <w:tmpl w:val="D05AA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7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98"/>
    <w:rsid w:val="000C30BA"/>
    <w:rsid w:val="000E00A7"/>
    <w:rsid w:val="001174A5"/>
    <w:rsid w:val="00123D8A"/>
    <w:rsid w:val="00142C4B"/>
    <w:rsid w:val="00170CAD"/>
    <w:rsid w:val="00260C7D"/>
    <w:rsid w:val="00293A92"/>
    <w:rsid w:val="002F1F5D"/>
    <w:rsid w:val="002F30F6"/>
    <w:rsid w:val="00301FC0"/>
    <w:rsid w:val="00326347"/>
    <w:rsid w:val="003D12F9"/>
    <w:rsid w:val="004236B6"/>
    <w:rsid w:val="00457BC2"/>
    <w:rsid w:val="00472FF8"/>
    <w:rsid w:val="004776F2"/>
    <w:rsid w:val="00483068"/>
    <w:rsid w:val="004F294D"/>
    <w:rsid w:val="00507CCC"/>
    <w:rsid w:val="00524A55"/>
    <w:rsid w:val="00533E00"/>
    <w:rsid w:val="00542895"/>
    <w:rsid w:val="00564C22"/>
    <w:rsid w:val="00592EA7"/>
    <w:rsid w:val="005B18AB"/>
    <w:rsid w:val="005D61CF"/>
    <w:rsid w:val="00667F4F"/>
    <w:rsid w:val="00681B9D"/>
    <w:rsid w:val="00683098"/>
    <w:rsid w:val="00710CE3"/>
    <w:rsid w:val="00750DFC"/>
    <w:rsid w:val="007B10CF"/>
    <w:rsid w:val="007F47CF"/>
    <w:rsid w:val="00830C0D"/>
    <w:rsid w:val="0085074F"/>
    <w:rsid w:val="00867725"/>
    <w:rsid w:val="00931EC6"/>
    <w:rsid w:val="00944A13"/>
    <w:rsid w:val="009A107F"/>
    <w:rsid w:val="00A118F9"/>
    <w:rsid w:val="00A315A6"/>
    <w:rsid w:val="00A962E7"/>
    <w:rsid w:val="00B1405B"/>
    <w:rsid w:val="00B95794"/>
    <w:rsid w:val="00BD499B"/>
    <w:rsid w:val="00C35FE5"/>
    <w:rsid w:val="00C54F46"/>
    <w:rsid w:val="00C66BBC"/>
    <w:rsid w:val="00D568B1"/>
    <w:rsid w:val="00D95030"/>
    <w:rsid w:val="00DB39AE"/>
    <w:rsid w:val="00DF6242"/>
    <w:rsid w:val="00E13B0B"/>
    <w:rsid w:val="00E46710"/>
    <w:rsid w:val="00ED44F7"/>
    <w:rsid w:val="00ED57C9"/>
    <w:rsid w:val="00EE67DD"/>
    <w:rsid w:val="00F1414C"/>
    <w:rsid w:val="00F5541A"/>
    <w:rsid w:val="00FC0917"/>
    <w:rsid w:val="00FD4C50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E79EF"/>
  <w15:chartTrackingRefBased/>
  <w15:docId w15:val="{CA09993F-0494-7240-888E-128FAB8D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94"/>
    <w:pPr>
      <w:spacing w:after="60" w:line="259" w:lineRule="auto"/>
    </w:pPr>
    <w:rPr>
      <w:rFonts w:eastAsia="Times New Roman" w:cs="Times New Roman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098"/>
    <w:pPr>
      <w:keepNext/>
      <w:keepLines/>
      <w:spacing w:before="240" w:after="120"/>
      <w:outlineLvl w:val="0"/>
    </w:pPr>
    <w:rPr>
      <w:rFonts w:eastAsiaTheme="majorEastAsia" w:cs="Times New Roman (Headings CS)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FE5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5FE5"/>
    <w:pPr>
      <w:keepNext/>
      <w:keepLines/>
      <w:spacing w:before="120" w:after="120"/>
      <w:outlineLvl w:val="2"/>
    </w:pPr>
    <w:rPr>
      <w:rFonts w:eastAsiaTheme="majorEastAsia" w:cstheme="majorBidi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4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309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83098"/>
    <w:rPr>
      <w:rFonts w:eastAsiaTheme="majorEastAsia" w:cs="Times New Roman (Headings CS)"/>
      <w:b/>
      <w:caps/>
      <w:color w:val="000000" w:themeColor="text1"/>
      <w:sz w:val="28"/>
      <w:szCs w:val="32"/>
    </w:rPr>
  </w:style>
  <w:style w:type="table" w:styleId="TableGrid">
    <w:name w:val="Table Grid"/>
    <w:basedOn w:val="TableNormal"/>
    <w:rsid w:val="006830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30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9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98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35FE5"/>
    <w:rPr>
      <w:rFonts w:eastAsiaTheme="majorEastAsia" w:cstheme="majorBidi"/>
      <w:b/>
      <w:color w:val="000000" w:themeColor="text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4F7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table" w:styleId="GridTable1Light">
    <w:name w:val="Grid Table 1 Light"/>
    <w:basedOn w:val="TableNormal"/>
    <w:uiPriority w:val="46"/>
    <w:rsid w:val="009A107F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123D8A"/>
    <w:pPr>
      <w:widowControl w:val="0"/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Times New Roman" w:hAnsi="Times New Roman"/>
      <w:b/>
      <w:bCs/>
      <w:color w:val="4472C4" w:themeColor="accent1"/>
      <w:kern w:val="28"/>
      <w:sz w:val="18"/>
      <w:szCs w:val="18"/>
      <w:lang w:val="en-IE"/>
    </w:rPr>
  </w:style>
  <w:style w:type="table" w:customStyle="1" w:styleId="TableGrid1">
    <w:name w:val="Table Grid1"/>
    <w:basedOn w:val="TableNormal"/>
    <w:next w:val="TableGrid"/>
    <w:uiPriority w:val="59"/>
    <w:rsid w:val="00123D8A"/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3D8A"/>
    <w:rPr>
      <w:color w:val="954F72" w:themeColor="followedHyperlink"/>
      <w:u w:val="single"/>
    </w:rPr>
  </w:style>
  <w:style w:type="paragraph" w:customStyle="1" w:styleId="NICEnormal">
    <w:name w:val="NICE normal"/>
    <w:link w:val="NICEnormalChar"/>
    <w:qFormat/>
    <w:rsid w:val="005D61CF"/>
    <w:pPr>
      <w:spacing w:after="240" w:line="360" w:lineRule="auto"/>
    </w:pPr>
    <w:rPr>
      <w:rFonts w:ascii="Arial" w:eastAsia="Times New Roman" w:hAnsi="Arial" w:cs="Times New Roman"/>
      <w:lang w:val="en-GB"/>
    </w:rPr>
  </w:style>
  <w:style w:type="character" w:customStyle="1" w:styleId="NICEnormalChar">
    <w:name w:val="NICE normal Char"/>
    <w:link w:val="NICEnormal"/>
    <w:rsid w:val="005D61CF"/>
    <w:rPr>
      <w:rFonts w:ascii="Arial" w:eastAsia="Times New Roman" w:hAnsi="Arial" w:cs="Times New Roman"/>
      <w:lang w:val="en-GB"/>
    </w:rPr>
  </w:style>
  <w:style w:type="paragraph" w:customStyle="1" w:styleId="Tabletext">
    <w:name w:val="Table text"/>
    <w:basedOn w:val="Normal"/>
    <w:link w:val="TabletextChar"/>
    <w:rsid w:val="005D61CF"/>
    <w:pPr>
      <w:keepNext/>
      <w:spacing w:line="240" w:lineRule="auto"/>
    </w:pPr>
    <w:rPr>
      <w:rFonts w:ascii="Arial" w:hAnsi="Arial"/>
      <w:lang w:val="en-GB"/>
    </w:rPr>
  </w:style>
  <w:style w:type="character" w:customStyle="1" w:styleId="TabletextChar">
    <w:name w:val="Table text Char"/>
    <w:link w:val="Tabletext"/>
    <w:rsid w:val="005D61CF"/>
    <w:rPr>
      <w:rFonts w:ascii="Arial" w:eastAsia="Times New Roman" w:hAnsi="Arial" w:cs="Times New Roman"/>
      <w:sz w:val="22"/>
      <w:lang w:val="en-GB"/>
    </w:rPr>
  </w:style>
  <w:style w:type="paragraph" w:customStyle="1" w:styleId="Numberedheading2">
    <w:name w:val="Numbered heading 2"/>
    <w:basedOn w:val="Heading2"/>
    <w:next w:val="NICEnormal"/>
    <w:rsid w:val="005D61CF"/>
    <w:pPr>
      <w:keepLines w:val="0"/>
      <w:tabs>
        <w:tab w:val="num" w:pos="1134"/>
      </w:tabs>
      <w:spacing w:after="60" w:line="360" w:lineRule="auto"/>
      <w:ind w:left="1134" w:hanging="1134"/>
    </w:pPr>
    <w:rPr>
      <w:rFonts w:ascii="Arial" w:eastAsia="Times New Roman" w:hAnsi="Arial" w:cs="Times New Roman"/>
      <w:bCs/>
      <w:iCs/>
      <w:color w:val="auto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FE5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C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FE5"/>
    <w:rPr>
      <w:rFonts w:eastAsia="Times New Roman" w:cs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35FE5"/>
  </w:style>
  <w:style w:type="character" w:customStyle="1" w:styleId="Heading3Char">
    <w:name w:val="Heading 3 Char"/>
    <w:basedOn w:val="DefaultParagraphFont"/>
    <w:link w:val="Heading3"/>
    <w:uiPriority w:val="9"/>
    <w:rsid w:val="00C35FE5"/>
    <w:rPr>
      <w:rFonts w:eastAsiaTheme="majorEastAsia" w:cstheme="majorBidi"/>
      <w:b/>
      <w:i/>
      <w:color w:val="000000" w:themeColor="text1"/>
      <w:sz w:val="22"/>
    </w:rPr>
  </w:style>
  <w:style w:type="paragraph" w:customStyle="1" w:styleId="TitlePageProjectTitle">
    <w:name w:val="Title Page Project Title"/>
    <w:basedOn w:val="Normal"/>
    <w:link w:val="TitlePageProjectTitleChar"/>
    <w:qFormat/>
    <w:rsid w:val="00BD499B"/>
    <w:pPr>
      <w:spacing w:after="0" w:line="240" w:lineRule="auto"/>
      <w:ind w:right="967"/>
      <w:contextualSpacing/>
      <w:jc w:val="both"/>
    </w:pPr>
    <w:rPr>
      <w:rFonts w:ascii="Gill Sans MT" w:hAnsi="Gill Sans MT"/>
      <w:caps/>
      <w:noProof/>
      <w:color w:val="FFFFFF"/>
      <w:sz w:val="52"/>
      <w:szCs w:val="52"/>
    </w:rPr>
  </w:style>
  <w:style w:type="character" w:customStyle="1" w:styleId="TitlePageProjectTitleChar">
    <w:name w:val="Title Page Project Title Char"/>
    <w:basedOn w:val="DefaultParagraphFont"/>
    <w:link w:val="TitlePageProjectTitle"/>
    <w:rsid w:val="00BD499B"/>
    <w:rPr>
      <w:rFonts w:ascii="Gill Sans MT" w:eastAsia="Times New Roman" w:hAnsi="Gill Sans MT" w:cs="Times New Roman"/>
      <w:caps/>
      <w:noProof/>
      <w:color w:val="FFFFFF"/>
      <w:sz w:val="52"/>
      <w:szCs w:val="52"/>
    </w:rPr>
  </w:style>
  <w:style w:type="character" w:customStyle="1" w:styleId="highlight">
    <w:name w:val="highlight"/>
    <w:basedOn w:val="DefaultParagraphFont"/>
    <w:rsid w:val="00BD499B"/>
  </w:style>
  <w:style w:type="character" w:styleId="FootnoteReference">
    <w:name w:val="footnote reference"/>
    <w:basedOn w:val="DefaultParagraphFont"/>
    <w:uiPriority w:val="99"/>
    <w:semiHidden/>
    <w:unhideWhenUsed/>
    <w:rsid w:val="00BD49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99B"/>
    <w:pPr>
      <w:spacing w:after="0" w:line="240" w:lineRule="auto"/>
    </w:pPr>
    <w:rPr>
      <w:rFonts w:eastAsia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99B"/>
    <w:rPr>
      <w:sz w:val="20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7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Wilkinson</dc:creator>
  <cp:keywords/>
  <dc:description/>
  <cp:lastModifiedBy>Howard Kgoa</cp:lastModifiedBy>
  <cp:revision>2</cp:revision>
  <dcterms:created xsi:type="dcterms:W3CDTF">2021-07-15T14:52:00Z</dcterms:created>
  <dcterms:modified xsi:type="dcterms:W3CDTF">2021-07-15T14:52:00Z</dcterms:modified>
</cp:coreProperties>
</file>