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6358" w14:textId="3093580A" w:rsidR="005371E8" w:rsidRPr="001B7451" w:rsidRDefault="006E3F26" w:rsidP="00D45977">
      <w:pPr>
        <w:pStyle w:val="ChapterHeader"/>
      </w:pPr>
      <w:bookmarkStart w:id="0" w:name="_Toc433861185"/>
      <w:bookmarkStart w:id="1" w:name="_Toc433871915"/>
      <w:bookmarkStart w:id="2" w:name="_Toc433976419"/>
      <w:bookmarkStart w:id="3" w:name="_Toc434078462"/>
      <w:r w:rsidRPr="001B7451">
        <w:t xml:space="preserve">CHAPTER </w:t>
      </w:r>
      <w:r w:rsidR="002F207F" w:rsidRPr="001B7451">
        <w:t>2</w:t>
      </w:r>
      <w:r w:rsidR="00B67669">
        <w:t>6</w:t>
      </w:r>
    </w:p>
    <w:bookmarkEnd w:id="0"/>
    <w:bookmarkEnd w:id="1"/>
    <w:bookmarkEnd w:id="2"/>
    <w:bookmarkEnd w:id="3"/>
    <w:p w14:paraId="3922EF5A" w14:textId="77777777" w:rsidR="005371E8" w:rsidRPr="001B7451" w:rsidRDefault="002F56BF" w:rsidP="006D621B">
      <w:pPr>
        <w:pStyle w:val="ChapterHeader"/>
        <w:pBdr>
          <w:bottom w:val="single" w:sz="18" w:space="1" w:color="auto"/>
        </w:pBdr>
      </w:pPr>
      <w:r>
        <w:t>SEXUALLY TRANSMITTED INFECTIONS</w:t>
      </w:r>
    </w:p>
    <w:p w14:paraId="0C451502" w14:textId="77777777" w:rsidR="00A94DAD" w:rsidRPr="006D621B" w:rsidRDefault="00A94DAD" w:rsidP="0031672F">
      <w:pPr>
        <w:rPr>
          <w:sz w:val="10"/>
          <w:szCs w:val="12"/>
        </w:rPr>
      </w:pPr>
    </w:p>
    <w:p w14:paraId="3ABB90F7" w14:textId="77777777" w:rsidR="002F207F" w:rsidRPr="002F207F" w:rsidRDefault="002F207F" w:rsidP="00D45977">
      <w:pPr>
        <w:shd w:val="clear" w:color="auto" w:fill="D9D9D9" w:themeFill="background1" w:themeFillShade="D9"/>
        <w:jc w:val="center"/>
        <w:rPr>
          <w:b/>
          <w:sz w:val="22"/>
        </w:rPr>
      </w:pPr>
      <w:r w:rsidRPr="002F207F">
        <w:rPr>
          <w:b/>
          <w:sz w:val="22"/>
        </w:rPr>
        <w:t>SEXUALLY TRANSMITTED INFECTIONS MANAGED AT SECONDARY LEVEL OF CARE</w:t>
      </w:r>
    </w:p>
    <w:p w14:paraId="2D6CA7B6" w14:textId="77777777" w:rsidR="002F207F" w:rsidRDefault="002F207F" w:rsidP="00B45499">
      <w:pPr>
        <w:jc w:val="both"/>
        <w:rPr>
          <w:szCs w:val="18"/>
        </w:rPr>
      </w:pPr>
    </w:p>
    <w:p w14:paraId="5143A1E0" w14:textId="55F83095" w:rsidR="00A94DAD" w:rsidRPr="007172B8" w:rsidRDefault="00A94DAD" w:rsidP="00B45499">
      <w:pPr>
        <w:jc w:val="both"/>
        <w:rPr>
          <w:szCs w:val="18"/>
        </w:rPr>
      </w:pPr>
      <w:r w:rsidRPr="007172B8">
        <w:rPr>
          <w:szCs w:val="18"/>
        </w:rPr>
        <w:t xml:space="preserve">These guidelines apply to </w:t>
      </w:r>
      <w:r w:rsidR="001E57F3" w:rsidRPr="007172B8">
        <w:rPr>
          <w:szCs w:val="18"/>
        </w:rPr>
        <w:t xml:space="preserve">patients who are referred </w:t>
      </w:r>
      <w:r w:rsidRPr="007172B8">
        <w:rPr>
          <w:szCs w:val="18"/>
        </w:rPr>
        <w:t>f</w:t>
      </w:r>
      <w:r w:rsidR="001E57F3" w:rsidRPr="007172B8">
        <w:rPr>
          <w:szCs w:val="18"/>
        </w:rPr>
        <w:t xml:space="preserve">rom primary healthcare </w:t>
      </w:r>
      <w:proofErr w:type="spellStart"/>
      <w:r w:rsidR="001E57F3" w:rsidRPr="007172B8">
        <w:rPr>
          <w:szCs w:val="18"/>
        </w:rPr>
        <w:t>centres</w:t>
      </w:r>
      <w:proofErr w:type="spellEnd"/>
      <w:r w:rsidR="001E57F3" w:rsidRPr="007172B8">
        <w:rPr>
          <w:szCs w:val="18"/>
        </w:rPr>
        <w:t xml:space="preserve"> for further investigation and management of </w:t>
      </w:r>
      <w:r w:rsidRPr="00AD06F4">
        <w:rPr>
          <w:b/>
          <w:szCs w:val="18"/>
        </w:rPr>
        <w:t xml:space="preserve">persistent </w:t>
      </w:r>
      <w:r w:rsidRPr="00AD06F4">
        <w:rPr>
          <w:szCs w:val="18"/>
        </w:rPr>
        <w:t xml:space="preserve">STI </w:t>
      </w:r>
      <w:r w:rsidR="009C5AFC" w:rsidRPr="00AD06F4">
        <w:rPr>
          <w:szCs w:val="18"/>
        </w:rPr>
        <w:t xml:space="preserve">symptoms or </w:t>
      </w:r>
      <w:r w:rsidRPr="00AD06F4">
        <w:rPr>
          <w:szCs w:val="18"/>
        </w:rPr>
        <w:t xml:space="preserve">syndromes that have not </w:t>
      </w:r>
      <w:r w:rsidR="00F65743" w:rsidRPr="00AD06F4">
        <w:rPr>
          <w:szCs w:val="18"/>
        </w:rPr>
        <w:t xml:space="preserve">improved or </w:t>
      </w:r>
      <w:r w:rsidRPr="00AD06F4">
        <w:rPr>
          <w:szCs w:val="18"/>
        </w:rPr>
        <w:t>resol</w:t>
      </w:r>
      <w:r w:rsidR="001E57F3" w:rsidRPr="00AD06F4">
        <w:rPr>
          <w:szCs w:val="18"/>
        </w:rPr>
        <w:t xml:space="preserve">ved </w:t>
      </w:r>
      <w:r w:rsidR="00F65743" w:rsidRPr="00AD06F4">
        <w:rPr>
          <w:szCs w:val="18"/>
        </w:rPr>
        <w:t xml:space="preserve">and are still present 7 days after administration of </w:t>
      </w:r>
      <w:r w:rsidR="001E57F3" w:rsidRPr="00AD06F4">
        <w:rPr>
          <w:szCs w:val="18"/>
        </w:rPr>
        <w:t xml:space="preserve">standard </w:t>
      </w:r>
      <w:r w:rsidR="00F65743" w:rsidRPr="00AD06F4">
        <w:rPr>
          <w:szCs w:val="18"/>
        </w:rPr>
        <w:t xml:space="preserve">first-line </w:t>
      </w:r>
      <w:r w:rsidR="001E57F3" w:rsidRPr="00AD06F4">
        <w:rPr>
          <w:szCs w:val="18"/>
        </w:rPr>
        <w:t>syndromic therapy.</w:t>
      </w:r>
    </w:p>
    <w:p w14:paraId="2AA5F866" w14:textId="77777777" w:rsidR="00A94DAD" w:rsidRDefault="00A94DAD" w:rsidP="0031672F">
      <w:pPr>
        <w:rPr>
          <w:szCs w:val="18"/>
        </w:rPr>
      </w:pPr>
    </w:p>
    <w:p w14:paraId="3C373BB8" w14:textId="77777777" w:rsidR="006D621B" w:rsidRPr="006D621B" w:rsidRDefault="006D621B" w:rsidP="0031672F">
      <w:pPr>
        <w:rPr>
          <w:szCs w:val="18"/>
        </w:rPr>
      </w:pPr>
    </w:p>
    <w:p w14:paraId="2DFAD371" w14:textId="6D141893" w:rsidR="005371E8" w:rsidRPr="007172B8" w:rsidRDefault="002F207F" w:rsidP="002F207F">
      <w:pPr>
        <w:pStyle w:val="Heading1"/>
      </w:pPr>
      <w:r w:rsidRPr="007172B8">
        <w:t>2</w:t>
      </w:r>
      <w:r>
        <w:t>5</w:t>
      </w:r>
      <w:r w:rsidR="00E82DAD" w:rsidRPr="007172B8">
        <w:t>.1</w:t>
      </w:r>
      <w:r w:rsidR="00F302C1" w:rsidRPr="007172B8">
        <w:tab/>
      </w:r>
      <w:r w:rsidR="00E82DAD" w:rsidRPr="007172B8">
        <w:t>MALE URETHRITIS SYNDROME (MUS)</w:t>
      </w:r>
    </w:p>
    <w:p w14:paraId="0A8E687A" w14:textId="77777777" w:rsidR="001522C2" w:rsidRPr="007172B8" w:rsidRDefault="001522C2" w:rsidP="001522C2">
      <w:pPr>
        <w:rPr>
          <w:sz w:val="16"/>
        </w:rPr>
      </w:pPr>
      <w:r w:rsidRPr="007172B8">
        <w:rPr>
          <w:sz w:val="16"/>
        </w:rPr>
        <w:t>A64 + N34.1</w:t>
      </w:r>
    </w:p>
    <w:p w14:paraId="144ABC4E" w14:textId="77777777" w:rsidR="00E82DAD" w:rsidRPr="007172B8" w:rsidRDefault="00E82DAD">
      <w:pPr>
        <w:pStyle w:val="BodyText3"/>
        <w:jc w:val="both"/>
        <w:rPr>
          <w:rFonts w:cs="Arial"/>
        </w:rPr>
      </w:pPr>
    </w:p>
    <w:p w14:paraId="1226C7B8" w14:textId="77777777" w:rsidR="00E82DAD" w:rsidRPr="007172B8" w:rsidRDefault="001522C2" w:rsidP="00E82DAD">
      <w:pPr>
        <w:pStyle w:val="BodyText3"/>
        <w:jc w:val="both"/>
        <w:rPr>
          <w:lang w:val="en-US"/>
        </w:rPr>
      </w:pPr>
      <w:r w:rsidRPr="007172B8">
        <w:rPr>
          <w:lang w:val="en-US"/>
        </w:rPr>
        <w:t>M</w:t>
      </w:r>
      <w:r w:rsidR="00E82DAD" w:rsidRPr="007172B8">
        <w:rPr>
          <w:lang w:val="en-US"/>
        </w:rPr>
        <w:t>ale urethritis</w:t>
      </w:r>
      <w:r w:rsidR="0085335D" w:rsidRPr="007172B8">
        <w:rPr>
          <w:lang w:val="en-US"/>
        </w:rPr>
        <w:t>/ visible urethral discharge</w:t>
      </w:r>
      <w:r w:rsidR="00E82DAD" w:rsidRPr="007172B8">
        <w:rPr>
          <w:lang w:val="en-US"/>
        </w:rPr>
        <w:t xml:space="preserve"> that persists despite appropriate syndromic management</w:t>
      </w:r>
      <w:r w:rsidR="006D621B">
        <w:rPr>
          <w:lang w:val="en-US"/>
        </w:rPr>
        <w:t xml:space="preserve"> </w:t>
      </w:r>
      <w:r w:rsidR="00D954E6" w:rsidRPr="007172B8">
        <w:rPr>
          <w:lang w:val="en-US"/>
        </w:rPr>
        <w:t xml:space="preserve">should </w:t>
      </w:r>
      <w:r w:rsidRPr="007172B8">
        <w:rPr>
          <w:lang w:val="en-US"/>
        </w:rPr>
        <w:t>be investigated</w:t>
      </w:r>
      <w:r w:rsidR="006D621B">
        <w:rPr>
          <w:lang w:val="en-US"/>
        </w:rPr>
        <w:t xml:space="preserve"> </w:t>
      </w:r>
      <w:r w:rsidR="00E82DAD" w:rsidRPr="007172B8">
        <w:rPr>
          <w:lang w:val="en-US"/>
        </w:rPr>
        <w:t xml:space="preserve">for suspected ceftriaxone-resistant gonorrhea. </w:t>
      </w:r>
      <w:r w:rsidRPr="007172B8">
        <w:rPr>
          <w:lang w:val="en-US"/>
        </w:rPr>
        <w:t>Referral letter from PHC</w:t>
      </w:r>
      <w:r w:rsidR="006D621B">
        <w:rPr>
          <w:lang w:val="en-US"/>
        </w:rPr>
        <w:t xml:space="preserve"> </w:t>
      </w:r>
      <w:r w:rsidRPr="007172B8">
        <w:rPr>
          <w:lang w:val="en-US"/>
        </w:rPr>
        <w:t>should include all relevant information</w:t>
      </w:r>
      <w:r w:rsidR="005636E0" w:rsidRPr="007172B8">
        <w:rPr>
          <w:lang w:val="en-US"/>
        </w:rPr>
        <w:t xml:space="preserve"> (including HIV status, treatment </w:t>
      </w:r>
      <w:r w:rsidR="009C5AFC" w:rsidRPr="007172B8">
        <w:rPr>
          <w:lang w:val="en-US"/>
        </w:rPr>
        <w:t>history</w:t>
      </w:r>
      <w:r w:rsidR="008E0817">
        <w:rPr>
          <w:lang w:val="en-US"/>
        </w:rPr>
        <w:t xml:space="preserve"> </w:t>
      </w:r>
      <w:r w:rsidR="005636E0" w:rsidRPr="007172B8">
        <w:rPr>
          <w:lang w:val="en-US"/>
        </w:rPr>
        <w:t>and partner notification and management).</w:t>
      </w:r>
    </w:p>
    <w:p w14:paraId="74C886FA" w14:textId="77777777" w:rsidR="00E82DAD" w:rsidRPr="007172B8" w:rsidRDefault="00E82DAD">
      <w:pPr>
        <w:pStyle w:val="BodyText3"/>
        <w:jc w:val="both"/>
        <w:rPr>
          <w:rFonts w:cs="Arial"/>
        </w:rPr>
      </w:pPr>
    </w:p>
    <w:p w14:paraId="4BEF1A4F" w14:textId="77777777" w:rsidR="00E82DAD" w:rsidRPr="007172B8" w:rsidRDefault="00E82DAD">
      <w:pPr>
        <w:pStyle w:val="BodyText3"/>
        <w:jc w:val="both"/>
        <w:rPr>
          <w:rFonts w:cs="Arial"/>
          <w:b/>
          <w:sz w:val="20"/>
        </w:rPr>
      </w:pPr>
      <w:r w:rsidRPr="007172B8">
        <w:rPr>
          <w:rFonts w:cs="Arial"/>
          <w:b/>
          <w:sz w:val="20"/>
        </w:rPr>
        <w:t>INVESTIGATIONS</w:t>
      </w:r>
    </w:p>
    <w:p w14:paraId="76AD3C07" w14:textId="77777777" w:rsidR="00A1506C" w:rsidRPr="00E55A2D" w:rsidRDefault="00E57729" w:rsidP="00C80BF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E3EA3">
        <w:rPr>
          <w:rFonts w:ascii="Arial" w:hAnsi="Arial" w:cs="Arial"/>
          <w:sz w:val="18"/>
          <w:szCs w:val="18"/>
        </w:rPr>
        <w:t xml:space="preserve">It is essential to </w:t>
      </w:r>
      <w:r w:rsidR="002E3EA3" w:rsidRPr="002E3EA3">
        <w:rPr>
          <w:rFonts w:ascii="Arial" w:hAnsi="Arial" w:cs="Arial"/>
          <w:sz w:val="18"/>
          <w:szCs w:val="18"/>
        </w:rPr>
        <w:t xml:space="preserve">confirm </w:t>
      </w:r>
      <w:r w:rsidR="002E3EA3" w:rsidRPr="002E3EA3">
        <w:rPr>
          <w:rFonts w:ascii="Arial" w:hAnsi="Arial" w:cs="Arial"/>
          <w:sz w:val="18"/>
          <w:szCs w:val="18"/>
          <w:lang w:val="en-US"/>
        </w:rPr>
        <w:t>ceftriaxone-resistant gonorrhea</w:t>
      </w:r>
      <w:r w:rsidR="00A1506C">
        <w:rPr>
          <w:rFonts w:ascii="Arial" w:hAnsi="Arial" w:cs="Arial"/>
          <w:sz w:val="18"/>
          <w:szCs w:val="18"/>
          <w:lang w:val="en-US"/>
        </w:rPr>
        <w:t>.</w:t>
      </w:r>
    </w:p>
    <w:p w14:paraId="2ED11B59" w14:textId="5DA95A21" w:rsidR="00E82DAD" w:rsidRPr="006D621B" w:rsidRDefault="00E82DAD" w:rsidP="00C80BF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D621B">
        <w:rPr>
          <w:rFonts w:ascii="Arial" w:hAnsi="Arial" w:cs="Arial"/>
          <w:sz w:val="18"/>
          <w:szCs w:val="18"/>
        </w:rPr>
        <w:t>All NHLS standard laboratory forms must include the following information:</w:t>
      </w:r>
    </w:p>
    <w:p w14:paraId="2712E639" w14:textId="77777777" w:rsidR="00E82DAD" w:rsidRPr="007172B8" w:rsidRDefault="00E82DAD" w:rsidP="002F207F">
      <w:pPr>
        <w:pStyle w:val="BodyText3"/>
        <w:numPr>
          <w:ilvl w:val="0"/>
          <w:numId w:val="4"/>
        </w:numPr>
        <w:ind w:left="567" w:hanging="283"/>
        <w:jc w:val="both"/>
        <w:rPr>
          <w:lang w:val="en-US"/>
        </w:rPr>
      </w:pPr>
      <w:r w:rsidRPr="007172B8">
        <w:rPr>
          <w:lang w:val="en-US"/>
        </w:rPr>
        <w:t>Name and contact details (cellphone number + email address) of requesting healthcare worker.</w:t>
      </w:r>
    </w:p>
    <w:p w14:paraId="1B16D7B9" w14:textId="1CBB5BEE" w:rsidR="00E82DAD" w:rsidRPr="00CA02F9" w:rsidRDefault="00E82DAD" w:rsidP="00C80BF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en-US"/>
        </w:rPr>
      </w:pPr>
      <w:r w:rsidRPr="00CA02F9">
        <w:rPr>
          <w:rFonts w:ascii="Arial" w:hAnsi="Arial" w:cs="Arial"/>
          <w:sz w:val="18"/>
          <w:szCs w:val="18"/>
          <w:lang w:val="en-US"/>
        </w:rPr>
        <w:t>Genital specimen collection and test requests</w:t>
      </w:r>
      <w:r w:rsidR="00D31048" w:rsidRPr="00CA02F9">
        <w:rPr>
          <w:rFonts w:ascii="Arial" w:hAnsi="Arial" w:cs="Arial"/>
          <w:sz w:val="18"/>
          <w:szCs w:val="18"/>
          <w:lang w:val="en-US"/>
        </w:rPr>
        <w:t xml:space="preserve"> </w:t>
      </w:r>
      <w:r w:rsidR="001574DB" w:rsidRPr="00CA02F9">
        <w:rPr>
          <w:rFonts w:ascii="Arial" w:hAnsi="Arial" w:cs="Arial"/>
          <w:sz w:val="18"/>
          <w:szCs w:val="18"/>
          <w:lang w:val="en-US"/>
        </w:rPr>
        <w:t>(</w:t>
      </w:r>
      <w:r w:rsidR="009C7789" w:rsidRPr="00CA02F9">
        <w:rPr>
          <w:rFonts w:ascii="Arial" w:hAnsi="Arial" w:cs="Arial"/>
          <w:sz w:val="18"/>
          <w:szCs w:val="18"/>
          <w:lang w:val="en-US"/>
        </w:rPr>
        <w:t xml:space="preserve">to confirm presence of </w:t>
      </w:r>
      <w:r w:rsidR="00C80452" w:rsidRPr="00CA02F9">
        <w:rPr>
          <w:rFonts w:ascii="Arial" w:hAnsi="Arial" w:cs="Arial"/>
          <w:sz w:val="18"/>
          <w:szCs w:val="18"/>
          <w:lang w:val="en-US"/>
        </w:rPr>
        <w:t xml:space="preserve">any STI pathogens and if </w:t>
      </w:r>
      <w:r w:rsidR="001574DB" w:rsidRPr="00CA02F9">
        <w:rPr>
          <w:rFonts w:ascii="Arial" w:hAnsi="Arial" w:cs="Arial"/>
          <w:i/>
          <w:sz w:val="18"/>
          <w:szCs w:val="18"/>
          <w:lang w:val="en-US"/>
        </w:rPr>
        <w:t>Neisseria gonorrhoeae</w:t>
      </w:r>
      <w:r w:rsidR="00C80452" w:rsidRPr="00CA02F9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80452" w:rsidRPr="00CA02F9">
        <w:rPr>
          <w:rFonts w:ascii="Arial" w:hAnsi="Arial" w:cs="Arial"/>
          <w:sz w:val="18"/>
          <w:szCs w:val="18"/>
          <w:lang w:val="en-US"/>
        </w:rPr>
        <w:t>present,</w:t>
      </w:r>
      <w:r w:rsidR="006D621B" w:rsidRPr="00CA02F9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9C7789" w:rsidRPr="00CA02F9">
        <w:rPr>
          <w:rFonts w:ascii="Arial" w:hAnsi="Arial" w:cs="Arial"/>
          <w:sz w:val="18"/>
          <w:szCs w:val="18"/>
          <w:lang w:val="en-US"/>
        </w:rPr>
        <w:t>and determine ceftriaxone susceptibility</w:t>
      </w:r>
      <w:r w:rsidR="001574DB" w:rsidRPr="00CA02F9">
        <w:rPr>
          <w:rFonts w:ascii="Arial" w:hAnsi="Arial" w:cs="Arial"/>
          <w:sz w:val="18"/>
          <w:szCs w:val="18"/>
          <w:lang w:val="en-US"/>
        </w:rPr>
        <w:t>)</w:t>
      </w:r>
      <w:r w:rsidRPr="00CA02F9">
        <w:rPr>
          <w:rFonts w:ascii="Arial" w:hAnsi="Arial" w:cs="Arial"/>
          <w:sz w:val="18"/>
          <w:szCs w:val="18"/>
          <w:lang w:val="en-US"/>
        </w:rPr>
        <w:t>:</w:t>
      </w:r>
    </w:p>
    <w:p w14:paraId="565EA4D4" w14:textId="77777777" w:rsidR="00E82DAD" w:rsidRPr="004568D2" w:rsidRDefault="00E82DAD" w:rsidP="002F207F">
      <w:pPr>
        <w:pStyle w:val="BodyText3"/>
        <w:numPr>
          <w:ilvl w:val="0"/>
          <w:numId w:val="4"/>
        </w:numPr>
        <w:ind w:left="567" w:hanging="283"/>
        <w:jc w:val="both"/>
        <w:rPr>
          <w:lang w:val="en-US"/>
        </w:rPr>
      </w:pPr>
      <w:r w:rsidRPr="007172B8">
        <w:rPr>
          <w:i/>
          <w:lang w:val="en-US"/>
        </w:rPr>
        <w:t>Materials:</w:t>
      </w:r>
      <w:r w:rsidR="006D621B">
        <w:rPr>
          <w:i/>
          <w:lang w:val="en-US"/>
        </w:rPr>
        <w:t xml:space="preserve"> </w:t>
      </w:r>
      <w:r w:rsidR="001574DB" w:rsidRPr="007172B8">
        <w:rPr>
          <w:lang w:val="en-US"/>
        </w:rPr>
        <w:t>T</w:t>
      </w:r>
      <w:r w:rsidRPr="007172B8">
        <w:rPr>
          <w:lang w:val="en-US"/>
        </w:rPr>
        <w:t xml:space="preserve">wo Dacron swabs (wire shaft, slender tip); Amies </w:t>
      </w:r>
      <w:r w:rsidRPr="004568D2">
        <w:rPr>
          <w:lang w:val="en-US"/>
        </w:rPr>
        <w:t>transport medium (all obtained from local NHLS laboratory).</w:t>
      </w:r>
    </w:p>
    <w:p w14:paraId="07E643F1" w14:textId="77777777" w:rsidR="00E82DAD" w:rsidRPr="004568D2" w:rsidRDefault="00E82DAD" w:rsidP="002F207F">
      <w:pPr>
        <w:pStyle w:val="BodyText3"/>
        <w:numPr>
          <w:ilvl w:val="0"/>
          <w:numId w:val="5"/>
        </w:numPr>
        <w:ind w:left="851" w:hanging="284"/>
        <w:jc w:val="both"/>
        <w:rPr>
          <w:lang w:val="en-US"/>
        </w:rPr>
      </w:pPr>
      <w:r w:rsidRPr="004568D2">
        <w:rPr>
          <w:u w:val="single"/>
          <w:lang w:val="en-US"/>
        </w:rPr>
        <w:t>Urethral swab 1</w:t>
      </w:r>
      <w:r w:rsidRPr="004568D2">
        <w:rPr>
          <w:lang w:val="en-US"/>
        </w:rPr>
        <w:t>:</w:t>
      </w:r>
      <w:r w:rsidR="006D621B" w:rsidRPr="004568D2">
        <w:rPr>
          <w:lang w:val="en-US"/>
        </w:rPr>
        <w:t xml:space="preserve"> </w:t>
      </w:r>
      <w:r w:rsidR="001574DB" w:rsidRPr="004568D2">
        <w:rPr>
          <w:lang w:val="en-US"/>
        </w:rPr>
        <w:t xml:space="preserve">Gently </w:t>
      </w:r>
      <w:r w:rsidRPr="004568D2">
        <w:rPr>
          <w:lang w:val="en-US"/>
        </w:rPr>
        <w:t>insert 2cm into the urethral meatus, and rotate for 5-10 seconds.  Place this swab immediately into Amies transport medium.</w:t>
      </w:r>
    </w:p>
    <w:p w14:paraId="27C92FBF" w14:textId="55942E8E" w:rsidR="00E82DAD" w:rsidRPr="00950DF1" w:rsidRDefault="00E82DAD" w:rsidP="002F207F">
      <w:pPr>
        <w:pStyle w:val="BodyText3"/>
        <w:numPr>
          <w:ilvl w:val="0"/>
          <w:numId w:val="5"/>
        </w:numPr>
        <w:ind w:left="851" w:hanging="284"/>
        <w:jc w:val="both"/>
        <w:rPr>
          <w:b/>
          <w:lang w:val="en-US"/>
        </w:rPr>
      </w:pPr>
      <w:r w:rsidRPr="004568D2">
        <w:rPr>
          <w:u w:val="single"/>
          <w:lang w:val="en-US"/>
        </w:rPr>
        <w:t>Test request:</w:t>
      </w:r>
      <w:r w:rsidR="008F63A6" w:rsidRPr="004568D2">
        <w:rPr>
          <w:u w:val="single"/>
          <w:lang w:val="en-US"/>
        </w:rPr>
        <w:t xml:space="preserve"> </w:t>
      </w:r>
      <w:r w:rsidR="001574DB" w:rsidRPr="004568D2">
        <w:rPr>
          <w:lang w:val="en-US"/>
        </w:rPr>
        <w:t>T</w:t>
      </w:r>
      <w:r w:rsidRPr="004568D2">
        <w:rPr>
          <w:lang w:val="en-US"/>
        </w:rPr>
        <w:t>ransport on ice to local NHLS laboratory as soon as possible</w:t>
      </w:r>
      <w:r w:rsidR="00E7162F">
        <w:rPr>
          <w:lang w:val="en-US"/>
        </w:rPr>
        <w:t>,</w:t>
      </w:r>
      <w:r w:rsidR="00BB329A" w:rsidRPr="004568D2">
        <w:rPr>
          <w:lang w:val="en-US"/>
        </w:rPr>
        <w:t xml:space="preserve"> preferably within 24 hours for </w:t>
      </w:r>
      <w:r w:rsidR="00BB329A" w:rsidRPr="004568D2">
        <w:rPr>
          <w:i/>
          <w:lang w:val="en-US"/>
        </w:rPr>
        <w:t xml:space="preserve">Neisseria gonorrhoeae </w:t>
      </w:r>
      <w:r w:rsidR="00BB329A" w:rsidRPr="004568D2">
        <w:rPr>
          <w:lang w:val="en-US"/>
        </w:rPr>
        <w:t>culture and sensitivity testing.</w:t>
      </w:r>
      <w:r w:rsidR="004568D2" w:rsidRPr="004568D2">
        <w:rPr>
          <w:lang w:val="en-US"/>
        </w:rPr>
        <w:t xml:space="preserve"> </w:t>
      </w:r>
      <w:r w:rsidR="00CA02F9" w:rsidRPr="00950DF1">
        <w:rPr>
          <w:lang w:val="en-US"/>
        </w:rPr>
        <w:t>(Contact laboratory for directions on transport of specimens).</w:t>
      </w:r>
    </w:p>
    <w:p w14:paraId="6C3978E4" w14:textId="77777777" w:rsidR="00E82DAD" w:rsidRPr="00950DF1" w:rsidRDefault="00E82DAD" w:rsidP="002F207F">
      <w:pPr>
        <w:pStyle w:val="BodyText3"/>
        <w:numPr>
          <w:ilvl w:val="0"/>
          <w:numId w:val="5"/>
        </w:numPr>
        <w:ind w:left="851" w:hanging="284"/>
        <w:jc w:val="both"/>
        <w:rPr>
          <w:lang w:val="en-US"/>
        </w:rPr>
      </w:pPr>
      <w:r w:rsidRPr="00950DF1">
        <w:rPr>
          <w:u w:val="single"/>
          <w:lang w:val="en-US"/>
        </w:rPr>
        <w:t xml:space="preserve">Presumptive diagnosis: </w:t>
      </w:r>
      <w:r w:rsidRPr="00950DF1">
        <w:rPr>
          <w:lang w:val="en-US"/>
        </w:rPr>
        <w:t xml:space="preserve">Persistent urethritis due to </w:t>
      </w:r>
      <w:r w:rsidR="00A94DAD" w:rsidRPr="00950DF1">
        <w:rPr>
          <w:lang w:val="en-US"/>
        </w:rPr>
        <w:t xml:space="preserve">possible </w:t>
      </w:r>
      <w:r w:rsidRPr="00950DF1">
        <w:rPr>
          <w:lang w:val="en-US"/>
        </w:rPr>
        <w:t>ceftriaxone-resistant gonorrhea</w:t>
      </w:r>
      <w:r w:rsidR="001574DB" w:rsidRPr="00950DF1">
        <w:rPr>
          <w:lang w:val="en-US"/>
        </w:rPr>
        <w:t>.</w:t>
      </w:r>
    </w:p>
    <w:p w14:paraId="73DFC01B" w14:textId="3A4F45C5" w:rsidR="006D621B" w:rsidRPr="004568D2" w:rsidRDefault="00E82DAD" w:rsidP="002F207F">
      <w:pPr>
        <w:pStyle w:val="BodyText3"/>
        <w:numPr>
          <w:ilvl w:val="0"/>
          <w:numId w:val="5"/>
        </w:numPr>
        <w:ind w:left="851" w:hanging="284"/>
        <w:jc w:val="both"/>
      </w:pPr>
      <w:r w:rsidRPr="004568D2">
        <w:rPr>
          <w:u w:val="single"/>
          <w:lang w:val="en-US"/>
        </w:rPr>
        <w:t>Urethral swab 2:</w:t>
      </w:r>
      <w:r w:rsidR="006D621B" w:rsidRPr="004568D2">
        <w:rPr>
          <w:u w:val="single"/>
          <w:lang w:val="en-US"/>
        </w:rPr>
        <w:t xml:space="preserve"> </w:t>
      </w:r>
      <w:r w:rsidR="001574DB" w:rsidRPr="004568D2">
        <w:rPr>
          <w:lang w:val="en-US"/>
        </w:rPr>
        <w:t>G</w:t>
      </w:r>
      <w:r w:rsidRPr="004568D2">
        <w:rPr>
          <w:lang w:val="en-US"/>
        </w:rPr>
        <w:t xml:space="preserve">ently insert 2cm into urethral meatus, and rotate for 5-10 seconds.  Place in </w:t>
      </w:r>
      <w:r w:rsidR="001574DB" w:rsidRPr="004568D2">
        <w:rPr>
          <w:lang w:val="en-US"/>
        </w:rPr>
        <w:t xml:space="preserve">a </w:t>
      </w:r>
      <w:r w:rsidRPr="004568D2">
        <w:rPr>
          <w:lang w:val="en-US"/>
        </w:rPr>
        <w:t xml:space="preserve">sterile universal container or tube, cut off </w:t>
      </w:r>
      <w:r w:rsidR="001574DB" w:rsidRPr="004568D2">
        <w:rPr>
          <w:lang w:val="en-US"/>
        </w:rPr>
        <w:t xml:space="preserve">the </w:t>
      </w:r>
      <w:r w:rsidRPr="004568D2">
        <w:rPr>
          <w:lang w:val="en-US"/>
        </w:rPr>
        <w:t>wire shaft and close the container</w:t>
      </w:r>
      <w:r w:rsidR="006D621B" w:rsidRPr="004568D2">
        <w:rPr>
          <w:lang w:val="en-US"/>
        </w:rPr>
        <w:t>.</w:t>
      </w:r>
    </w:p>
    <w:p w14:paraId="69D9C09F" w14:textId="611CF5B7" w:rsidR="002A38E7" w:rsidRPr="007172B8" w:rsidRDefault="00E82DAD" w:rsidP="002F207F">
      <w:pPr>
        <w:pStyle w:val="BodyText3"/>
        <w:numPr>
          <w:ilvl w:val="0"/>
          <w:numId w:val="5"/>
        </w:numPr>
        <w:ind w:left="851" w:hanging="284"/>
        <w:jc w:val="both"/>
      </w:pPr>
      <w:r w:rsidRPr="007172B8">
        <w:rPr>
          <w:rFonts w:cs="Arial"/>
          <w:bCs/>
          <w:i/>
          <w:u w:val="single"/>
          <w:lang w:val="en-US"/>
        </w:rPr>
        <w:lastRenderedPageBreak/>
        <w:t>Test request:</w:t>
      </w:r>
      <w:r w:rsidRPr="007172B8">
        <w:rPr>
          <w:rFonts w:cs="Arial"/>
          <w:bCs/>
          <w:lang w:val="en-US"/>
        </w:rPr>
        <w:t xml:space="preserve"> transport on ice to NICD STI </w:t>
      </w:r>
      <w:r w:rsidR="001574DB" w:rsidRPr="007172B8">
        <w:rPr>
          <w:rFonts w:cs="Arial"/>
          <w:bCs/>
          <w:lang w:val="en-US"/>
        </w:rPr>
        <w:t xml:space="preserve">reference </w:t>
      </w:r>
      <w:r w:rsidRPr="007172B8">
        <w:rPr>
          <w:rFonts w:cs="Arial"/>
          <w:bCs/>
          <w:lang w:val="en-US"/>
        </w:rPr>
        <w:t>laboratory as soon as possible for PCR genital discharge pathogens.</w:t>
      </w:r>
    </w:p>
    <w:p w14:paraId="61BF747E" w14:textId="77777777" w:rsidR="00A94DAD" w:rsidRPr="007172B8" w:rsidRDefault="00A94DAD" w:rsidP="002F207F">
      <w:pPr>
        <w:pStyle w:val="BodyText3"/>
        <w:numPr>
          <w:ilvl w:val="0"/>
          <w:numId w:val="5"/>
        </w:numPr>
        <w:ind w:left="851" w:hanging="284"/>
        <w:jc w:val="both"/>
      </w:pPr>
      <w:r w:rsidRPr="007172B8">
        <w:rPr>
          <w:u w:val="single"/>
          <w:lang w:val="en-US"/>
        </w:rPr>
        <w:t xml:space="preserve">Presumptive diagnosis: </w:t>
      </w:r>
      <w:r w:rsidRPr="007172B8">
        <w:rPr>
          <w:lang w:val="en-US"/>
        </w:rPr>
        <w:t>Persistent urethritis due to possible ceftriaxone-resistant gonorrhea.</w:t>
      </w:r>
    </w:p>
    <w:p w14:paraId="52405ABA" w14:textId="68A40EFA" w:rsidR="006D621B" w:rsidRDefault="006D621B" w:rsidP="002A38E7">
      <w:pPr>
        <w:pStyle w:val="BodyText3"/>
        <w:ind w:left="720"/>
        <w:jc w:val="both"/>
        <w:rPr>
          <w:color w:val="FF0000"/>
        </w:rPr>
      </w:pPr>
    </w:p>
    <w:p w14:paraId="09E58244" w14:textId="77777777" w:rsidR="002A38E7" w:rsidRPr="007172B8" w:rsidRDefault="002A38E7" w:rsidP="002A38E7">
      <w:pPr>
        <w:pStyle w:val="BodyText3"/>
        <w:jc w:val="both"/>
        <w:rPr>
          <w:rFonts w:cs="Arial"/>
          <w:b/>
          <w:sz w:val="20"/>
          <w:szCs w:val="20"/>
        </w:rPr>
      </w:pPr>
      <w:r w:rsidRPr="007172B8">
        <w:rPr>
          <w:rFonts w:cs="Arial"/>
          <w:b/>
          <w:sz w:val="20"/>
          <w:szCs w:val="20"/>
        </w:rPr>
        <w:t>MEDICINE TREATMENT</w:t>
      </w:r>
    </w:p>
    <w:p w14:paraId="44C3255F" w14:textId="77777777" w:rsidR="00EC1F33" w:rsidRPr="007172B8" w:rsidRDefault="00EC1F33" w:rsidP="006D621B">
      <w:pPr>
        <w:jc w:val="both"/>
        <w:rPr>
          <w:szCs w:val="18"/>
        </w:rPr>
      </w:pPr>
      <w:r w:rsidRPr="007172B8">
        <w:rPr>
          <w:u w:val="single"/>
        </w:rPr>
        <w:t xml:space="preserve">Persistent </w:t>
      </w:r>
      <w:r w:rsidR="000D7C6C" w:rsidRPr="007172B8">
        <w:rPr>
          <w:u w:val="single"/>
        </w:rPr>
        <w:t xml:space="preserve">urethral discharge after 7 days </w:t>
      </w:r>
      <w:r w:rsidRPr="007172B8">
        <w:rPr>
          <w:u w:val="single"/>
        </w:rPr>
        <w:t>confirmed on</w:t>
      </w:r>
      <w:r w:rsidR="006D621B">
        <w:rPr>
          <w:u w:val="single"/>
        </w:rPr>
        <w:t xml:space="preserve"> </w:t>
      </w:r>
      <w:r w:rsidRPr="007172B8">
        <w:rPr>
          <w:u w:val="single"/>
        </w:rPr>
        <w:t xml:space="preserve">examination, </w:t>
      </w:r>
      <w:r w:rsidRPr="007172B8">
        <w:rPr>
          <w:szCs w:val="18"/>
          <w:u w:val="single"/>
        </w:rPr>
        <w:t>pending results</w:t>
      </w:r>
      <w:r w:rsidRPr="007172B8">
        <w:rPr>
          <w:szCs w:val="18"/>
        </w:rPr>
        <w:t>:</w:t>
      </w:r>
    </w:p>
    <w:p w14:paraId="0D7D8FF9" w14:textId="77777777" w:rsidR="00E12048" w:rsidRPr="008E0817" w:rsidRDefault="00E12048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 xml:space="preserve">Ceftriaxone, IM, 1 </w:t>
      </w:r>
      <w:r w:rsidR="001574DB" w:rsidRPr="008E0817">
        <w:rPr>
          <w:rFonts w:ascii="Arial" w:hAnsi="Arial" w:cs="Arial"/>
          <w:sz w:val="18"/>
          <w:szCs w:val="18"/>
        </w:rPr>
        <w:t>000 m</w:t>
      </w:r>
      <w:r w:rsidRPr="008E0817">
        <w:rPr>
          <w:rFonts w:ascii="Arial" w:hAnsi="Arial" w:cs="Arial"/>
          <w:sz w:val="18"/>
          <w:szCs w:val="18"/>
        </w:rPr>
        <w:t>g immediately as a single dose.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12048" w:rsidRPr="007172B8" w14:paraId="6218D5F6" w14:textId="77777777" w:rsidTr="00A26C99">
        <w:tc>
          <w:tcPr>
            <w:tcW w:w="1134" w:type="dxa"/>
            <w:shd w:val="clear" w:color="auto" w:fill="auto"/>
          </w:tcPr>
          <w:p w14:paraId="2508EA7F" w14:textId="77777777" w:rsidR="00E12048" w:rsidRPr="007172B8" w:rsidRDefault="00E12048" w:rsidP="00A26C99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 w:rsidRPr="007172B8">
              <w:rPr>
                <w:rStyle w:val="EndnoteReference"/>
                <w:i/>
                <w:sz w:val="16"/>
              </w:rPr>
              <w:endnoteReference w:id="2"/>
            </w:r>
          </w:p>
        </w:tc>
      </w:tr>
    </w:tbl>
    <w:p w14:paraId="6DD537AC" w14:textId="77777777" w:rsidR="00E12048" w:rsidRPr="00D575B5" w:rsidRDefault="00E12048" w:rsidP="0017078D">
      <w:pPr>
        <w:pStyle w:val="ep4"/>
        <w:rPr>
          <w:sz w:val="2"/>
        </w:rPr>
      </w:pPr>
    </w:p>
    <w:p w14:paraId="27C5C49C" w14:textId="08CB967B" w:rsidR="00AF3A67" w:rsidRPr="008E0817" w:rsidRDefault="00E12048" w:rsidP="00C80BF2">
      <w:pPr>
        <w:pStyle w:val="ListParagraph"/>
        <w:numPr>
          <w:ilvl w:val="1"/>
          <w:numId w:val="7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>Dissolve ceftriaxone 1 g in 3.6 mL lidocaine 1% without adrenaline</w:t>
      </w:r>
      <w:r w:rsidR="007E2055">
        <w:rPr>
          <w:rFonts w:ascii="Arial" w:hAnsi="Arial" w:cs="Arial"/>
          <w:sz w:val="18"/>
          <w:szCs w:val="18"/>
        </w:rPr>
        <w:t xml:space="preserve"> (epinephrine</w:t>
      </w:r>
      <w:r w:rsidRPr="008E0817">
        <w:rPr>
          <w:rFonts w:ascii="Arial" w:hAnsi="Arial" w:cs="Arial"/>
          <w:sz w:val="18"/>
          <w:szCs w:val="18"/>
        </w:rPr>
        <w:t>).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1522C2" w:rsidRPr="007172B8" w14:paraId="4F28718A" w14:textId="77777777" w:rsidTr="00A26C99">
        <w:tc>
          <w:tcPr>
            <w:tcW w:w="1134" w:type="dxa"/>
            <w:shd w:val="clear" w:color="auto" w:fill="auto"/>
          </w:tcPr>
          <w:p w14:paraId="691469B7" w14:textId="77777777" w:rsidR="001522C2" w:rsidRPr="007172B8" w:rsidRDefault="001522C2" w:rsidP="00A26C99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 w:rsidRPr="007172B8">
              <w:rPr>
                <w:rStyle w:val="EndnoteReference"/>
                <w:i/>
                <w:sz w:val="16"/>
              </w:rPr>
              <w:endnoteReference w:id="3"/>
            </w:r>
          </w:p>
        </w:tc>
      </w:tr>
    </w:tbl>
    <w:p w14:paraId="5D988FBA" w14:textId="77777777" w:rsidR="00E12048" w:rsidRPr="007172B8" w:rsidRDefault="00E12048" w:rsidP="00E12048">
      <w:pPr>
        <w:rPr>
          <w:b/>
          <w:bCs w:val="0"/>
          <w:szCs w:val="18"/>
        </w:rPr>
      </w:pPr>
      <w:r w:rsidRPr="007172B8">
        <w:rPr>
          <w:b/>
          <w:szCs w:val="18"/>
        </w:rPr>
        <w:t>AND</w:t>
      </w:r>
    </w:p>
    <w:p w14:paraId="40CEAF2F" w14:textId="77777777" w:rsidR="00AF3A67" w:rsidRPr="008E0817" w:rsidRDefault="00E12048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>Azithromycin, oral, 2 g as a single dose.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D35218" w:rsidRPr="007172B8" w14:paraId="6CE7BE44" w14:textId="77777777" w:rsidTr="000D3C3F">
        <w:tc>
          <w:tcPr>
            <w:tcW w:w="1134" w:type="dxa"/>
            <w:shd w:val="clear" w:color="auto" w:fill="auto"/>
          </w:tcPr>
          <w:p w14:paraId="54236508" w14:textId="77777777" w:rsidR="00D35218" w:rsidRPr="007172B8" w:rsidRDefault="00D35218" w:rsidP="000D3C3F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 w:rsidRPr="007172B8">
              <w:rPr>
                <w:rStyle w:val="EndnoteReference"/>
                <w:i/>
                <w:sz w:val="16"/>
              </w:rPr>
              <w:endnoteReference w:id="4"/>
            </w:r>
          </w:p>
        </w:tc>
      </w:tr>
    </w:tbl>
    <w:p w14:paraId="117B3928" w14:textId="77777777" w:rsidR="00297A75" w:rsidRPr="0017078D" w:rsidRDefault="00297A75" w:rsidP="0017078D">
      <w:pPr>
        <w:pStyle w:val="ep4"/>
      </w:pPr>
    </w:p>
    <w:p w14:paraId="3F4C7026" w14:textId="6B86FC71" w:rsidR="00E12048" w:rsidRPr="007172B8" w:rsidRDefault="00E12048" w:rsidP="00E12048">
      <w:pPr>
        <w:rPr>
          <w:szCs w:val="18"/>
        </w:rPr>
      </w:pPr>
      <w:r w:rsidRPr="007172B8">
        <w:rPr>
          <w:szCs w:val="18"/>
          <w:u w:val="single"/>
        </w:rPr>
        <w:t>Severe penicillin allergy</w:t>
      </w:r>
      <w:r w:rsidRPr="007172B8">
        <w:rPr>
          <w:szCs w:val="18"/>
        </w:rPr>
        <w:t>:</w:t>
      </w:r>
      <w:r w:rsidR="004568D2">
        <w:rPr>
          <w:szCs w:val="18"/>
        </w:rPr>
        <w:t xml:space="preserve"> </w:t>
      </w:r>
      <w:r w:rsidR="004568D2" w:rsidRPr="004568D2">
        <w:rPr>
          <w:sz w:val="16"/>
          <w:szCs w:val="18"/>
        </w:rPr>
        <w:t>Z88.0</w:t>
      </w:r>
    </w:p>
    <w:p w14:paraId="7277399E" w14:textId="1B4F163E" w:rsidR="00E12048" w:rsidRPr="008E0817" w:rsidRDefault="00E12048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>Gentamicin, IM, 6</w:t>
      </w:r>
      <w:r w:rsidR="006D621B">
        <w:rPr>
          <w:rFonts w:ascii="Arial" w:hAnsi="Arial" w:cs="Arial"/>
          <w:sz w:val="18"/>
          <w:szCs w:val="18"/>
        </w:rPr>
        <w:t xml:space="preserve"> </w:t>
      </w:r>
      <w:r w:rsidRPr="008E0817">
        <w:rPr>
          <w:rFonts w:ascii="Arial" w:hAnsi="Arial" w:cs="Arial"/>
          <w:sz w:val="18"/>
          <w:szCs w:val="18"/>
        </w:rPr>
        <w:t>mg/</w:t>
      </w:r>
      <w:r w:rsidR="00D954E6" w:rsidRPr="008E0817">
        <w:rPr>
          <w:rFonts w:ascii="Arial" w:hAnsi="Arial" w:cs="Arial"/>
          <w:sz w:val="18"/>
          <w:szCs w:val="18"/>
        </w:rPr>
        <w:t>kg,</w:t>
      </w:r>
      <w:r w:rsidRPr="008E0817">
        <w:rPr>
          <w:rFonts w:ascii="Arial" w:hAnsi="Arial" w:cs="Arial"/>
          <w:sz w:val="18"/>
          <w:szCs w:val="18"/>
        </w:rPr>
        <w:t xml:space="preserve"> IM as a single dose. (See Appendix II for </w:t>
      </w:r>
      <w:r w:rsidR="00B525CB">
        <w:rPr>
          <w:rFonts w:ascii="Arial" w:hAnsi="Arial" w:cs="Arial"/>
          <w:sz w:val="18"/>
          <w:szCs w:val="18"/>
        </w:rPr>
        <w:t>guidance on prescribing</w:t>
      </w:r>
      <w:r w:rsidRPr="008E0817">
        <w:rPr>
          <w:rFonts w:ascii="Arial" w:hAnsi="Arial" w:cs="Arial"/>
          <w:sz w:val="18"/>
          <w:szCs w:val="18"/>
        </w:rPr>
        <w:t>).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12048" w:rsidRPr="007172B8" w14:paraId="54290773" w14:textId="77777777" w:rsidTr="00A26C99">
        <w:tc>
          <w:tcPr>
            <w:tcW w:w="1134" w:type="dxa"/>
            <w:shd w:val="clear" w:color="auto" w:fill="auto"/>
          </w:tcPr>
          <w:p w14:paraId="62EA5E1A" w14:textId="77777777" w:rsidR="00E12048" w:rsidRPr="007172B8" w:rsidRDefault="00E12048" w:rsidP="00A26C99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 w:rsidRPr="007172B8">
              <w:rPr>
                <w:rStyle w:val="EndnoteReference"/>
                <w:i/>
                <w:sz w:val="16"/>
              </w:rPr>
              <w:endnoteReference w:id="5"/>
            </w:r>
          </w:p>
        </w:tc>
      </w:tr>
    </w:tbl>
    <w:p w14:paraId="071B1656" w14:textId="77777777" w:rsidR="00E12048" w:rsidRPr="007172B8" w:rsidRDefault="00E12048" w:rsidP="00E12048">
      <w:pPr>
        <w:rPr>
          <w:b/>
          <w:bCs w:val="0"/>
          <w:szCs w:val="18"/>
        </w:rPr>
      </w:pPr>
      <w:r w:rsidRPr="007172B8">
        <w:rPr>
          <w:b/>
          <w:szCs w:val="18"/>
        </w:rPr>
        <w:t>AND</w:t>
      </w:r>
    </w:p>
    <w:p w14:paraId="35349A7D" w14:textId="77777777" w:rsidR="00AF3A67" w:rsidRPr="008E0817" w:rsidRDefault="00E12048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</w:rPr>
        <w:t>Azithromycin, oral, 2 g as a single dose.</w:t>
      </w:r>
    </w:p>
    <w:p w14:paraId="17B973D3" w14:textId="77777777" w:rsidR="002F207F" w:rsidRPr="0017078D" w:rsidRDefault="002F207F" w:rsidP="002F207F">
      <w:pPr>
        <w:jc w:val="both"/>
        <w:rPr>
          <w:sz w:val="10"/>
          <w:szCs w:val="18"/>
        </w:rPr>
      </w:pPr>
    </w:p>
    <w:p w14:paraId="265F02ED" w14:textId="3136A089" w:rsidR="00EC1F33" w:rsidRPr="002F207F" w:rsidRDefault="00EC1F33" w:rsidP="002F207F">
      <w:pPr>
        <w:jc w:val="both"/>
        <w:rPr>
          <w:szCs w:val="18"/>
        </w:rPr>
      </w:pPr>
      <w:r w:rsidRPr="002F207F">
        <w:rPr>
          <w:szCs w:val="18"/>
        </w:rPr>
        <w:t>Ask patient to return in two weeks for follow-up of laboratory results and further clinical evaluation</w:t>
      </w:r>
      <w:r w:rsidR="00B05419" w:rsidRPr="002F207F">
        <w:rPr>
          <w:szCs w:val="18"/>
        </w:rPr>
        <w:t>. Treat accordingly.</w:t>
      </w:r>
    </w:p>
    <w:p w14:paraId="260002CF" w14:textId="77777777" w:rsidR="00112BA8" w:rsidRPr="007172B8" w:rsidRDefault="00112BA8" w:rsidP="0017078D">
      <w:pPr>
        <w:pStyle w:val="ep0"/>
      </w:pPr>
    </w:p>
    <w:p w14:paraId="69788854" w14:textId="77777777" w:rsidR="001522C2" w:rsidRPr="007172B8" w:rsidRDefault="001522C2" w:rsidP="0017078D">
      <w:pPr>
        <w:pStyle w:val="ep0"/>
      </w:pPr>
    </w:p>
    <w:p w14:paraId="5012E325" w14:textId="6AC597B4" w:rsidR="002A38E7" w:rsidRPr="007172B8" w:rsidRDefault="002F207F" w:rsidP="002F207F">
      <w:pPr>
        <w:pStyle w:val="Heading1"/>
      </w:pPr>
      <w:r w:rsidRPr="007172B8">
        <w:t>2</w:t>
      </w:r>
      <w:r>
        <w:t>5</w:t>
      </w:r>
      <w:r w:rsidR="002A38E7" w:rsidRPr="007172B8">
        <w:t>.2</w:t>
      </w:r>
      <w:r w:rsidR="00D954E6" w:rsidRPr="007172B8">
        <w:tab/>
      </w:r>
      <w:r w:rsidR="002A38E7" w:rsidRPr="007172B8">
        <w:t>vaginal discharge SYNDROME (VDS)</w:t>
      </w:r>
    </w:p>
    <w:p w14:paraId="7FA0DA1B" w14:textId="77777777" w:rsidR="001522C2" w:rsidRPr="007172B8" w:rsidRDefault="001522C2" w:rsidP="001522C2">
      <w:pPr>
        <w:rPr>
          <w:sz w:val="16"/>
        </w:rPr>
      </w:pPr>
      <w:r w:rsidRPr="007172B8">
        <w:rPr>
          <w:sz w:val="16"/>
        </w:rPr>
        <w:t>B37.3/N76.0/N89.8</w:t>
      </w:r>
    </w:p>
    <w:p w14:paraId="58DC2B94" w14:textId="77777777" w:rsidR="002A38E7" w:rsidRPr="007172B8" w:rsidRDefault="002A38E7" w:rsidP="0017078D">
      <w:pPr>
        <w:pStyle w:val="ep0"/>
      </w:pPr>
    </w:p>
    <w:p w14:paraId="1180AAA7" w14:textId="77777777" w:rsidR="002A38E7" w:rsidRPr="007172B8" w:rsidRDefault="008A0328" w:rsidP="0017078D">
      <w:pPr>
        <w:pStyle w:val="ep0"/>
      </w:pPr>
      <w:r w:rsidRPr="007172B8">
        <w:t>Abnormal v</w:t>
      </w:r>
      <w:r w:rsidR="002A38E7" w:rsidRPr="007172B8">
        <w:t xml:space="preserve">aginal discharge that persists despite appropriate syndromic management </w:t>
      </w:r>
      <w:r w:rsidR="00D954E6" w:rsidRPr="007172B8">
        <w:t xml:space="preserve">should </w:t>
      </w:r>
      <w:r w:rsidR="001522C2" w:rsidRPr="007172B8">
        <w:t>be investigated.</w:t>
      </w:r>
      <w:r w:rsidR="008F63A6">
        <w:t xml:space="preserve"> </w:t>
      </w:r>
      <w:r w:rsidR="001522C2" w:rsidRPr="007172B8">
        <w:t>Referral letter from PHC</w:t>
      </w:r>
      <w:r w:rsidR="008F63A6">
        <w:t xml:space="preserve"> </w:t>
      </w:r>
      <w:r w:rsidR="001522C2" w:rsidRPr="007172B8">
        <w:t>should include all relevant information</w:t>
      </w:r>
      <w:r w:rsidR="005636E0" w:rsidRPr="007172B8">
        <w:t xml:space="preserve"> (including HIV status, treatment </w:t>
      </w:r>
      <w:r w:rsidR="009C5AFC" w:rsidRPr="007172B8">
        <w:t>history</w:t>
      </w:r>
      <w:r w:rsidR="008F63A6">
        <w:t xml:space="preserve"> </w:t>
      </w:r>
      <w:r w:rsidR="005636E0" w:rsidRPr="007172B8">
        <w:t>and partner notification and management).</w:t>
      </w:r>
    </w:p>
    <w:p w14:paraId="101F9300" w14:textId="77777777" w:rsidR="005B70CD" w:rsidRPr="007172B8" w:rsidRDefault="005B70CD" w:rsidP="0017078D">
      <w:pPr>
        <w:pStyle w:val="ep0"/>
      </w:pPr>
    </w:p>
    <w:p w14:paraId="265721AC" w14:textId="77777777" w:rsidR="005B70CD" w:rsidRPr="007172B8" w:rsidRDefault="005B70CD" w:rsidP="005B70CD">
      <w:pPr>
        <w:pStyle w:val="BodyText3"/>
        <w:jc w:val="both"/>
        <w:rPr>
          <w:rFonts w:cs="Arial"/>
          <w:b/>
          <w:sz w:val="20"/>
        </w:rPr>
      </w:pPr>
      <w:r w:rsidRPr="007172B8">
        <w:rPr>
          <w:rFonts w:cs="Arial"/>
          <w:b/>
          <w:sz w:val="20"/>
        </w:rPr>
        <w:t>INVESTIGATIONS</w:t>
      </w:r>
    </w:p>
    <w:p w14:paraId="77B37F93" w14:textId="77777777" w:rsidR="005B70CD" w:rsidRPr="006D621B" w:rsidRDefault="005B70CD" w:rsidP="00C80BF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en-US"/>
        </w:rPr>
      </w:pPr>
      <w:r w:rsidRPr="006D621B">
        <w:rPr>
          <w:rFonts w:ascii="Arial" w:hAnsi="Arial" w:cs="Arial"/>
          <w:sz w:val="18"/>
          <w:szCs w:val="18"/>
          <w:lang w:val="en-US"/>
        </w:rPr>
        <w:t>All NHLS standard laboratory forms must include the following information:</w:t>
      </w:r>
    </w:p>
    <w:p w14:paraId="3C321E2B" w14:textId="77777777" w:rsidR="005B70CD" w:rsidRPr="007172B8" w:rsidRDefault="005B70CD" w:rsidP="002F207F">
      <w:pPr>
        <w:pStyle w:val="BodyText3"/>
        <w:numPr>
          <w:ilvl w:val="0"/>
          <w:numId w:val="4"/>
        </w:numPr>
        <w:ind w:left="567" w:hanging="283"/>
        <w:jc w:val="both"/>
        <w:rPr>
          <w:lang w:val="en-US"/>
        </w:rPr>
      </w:pPr>
      <w:r w:rsidRPr="007172B8">
        <w:rPr>
          <w:lang w:val="en-US"/>
        </w:rPr>
        <w:t>Name and contact details (cellphone number + email address) of requesting healthcare worker.</w:t>
      </w:r>
    </w:p>
    <w:p w14:paraId="69BC2385" w14:textId="1AEF5166" w:rsidR="005B70CD" w:rsidRPr="006D621B" w:rsidRDefault="005B70CD" w:rsidP="00C80BF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val="en-US"/>
        </w:rPr>
      </w:pPr>
      <w:r w:rsidRPr="006D621B">
        <w:rPr>
          <w:rFonts w:ascii="Arial" w:hAnsi="Arial" w:cs="Arial"/>
          <w:sz w:val="18"/>
          <w:szCs w:val="18"/>
          <w:u w:val="single"/>
          <w:lang w:val="en-US"/>
        </w:rPr>
        <w:t>Genital specimen collection and test requests</w:t>
      </w:r>
      <w:r w:rsidR="00F270CF" w:rsidRPr="00F270CF">
        <w:rPr>
          <w:rFonts w:ascii="Arial" w:hAnsi="Arial" w:cs="Arial"/>
          <w:sz w:val="18"/>
          <w:szCs w:val="18"/>
          <w:lang w:val="en-US"/>
        </w:rPr>
        <w:t xml:space="preserve"> </w:t>
      </w:r>
      <w:r w:rsidR="00297A75" w:rsidRPr="006D621B">
        <w:rPr>
          <w:rFonts w:ascii="Arial" w:hAnsi="Arial" w:cs="Arial"/>
          <w:sz w:val="18"/>
          <w:szCs w:val="18"/>
          <w:lang w:val="en-US"/>
        </w:rPr>
        <w:t xml:space="preserve">(to confirm presence of </w:t>
      </w:r>
      <w:r w:rsidR="008C6E18" w:rsidRPr="007616E7">
        <w:rPr>
          <w:rFonts w:ascii="Arial" w:hAnsi="Arial" w:cs="Arial"/>
          <w:sz w:val="18"/>
          <w:szCs w:val="18"/>
          <w:lang w:val="en-US"/>
        </w:rPr>
        <w:t>STI pathogens and if</w:t>
      </w:r>
      <w:r w:rsidR="00297A75" w:rsidRPr="006D621B">
        <w:rPr>
          <w:rFonts w:ascii="Arial" w:hAnsi="Arial" w:cs="Arial"/>
          <w:sz w:val="18"/>
          <w:szCs w:val="18"/>
          <w:lang w:val="en-US"/>
        </w:rPr>
        <w:t xml:space="preserve"> </w:t>
      </w:r>
      <w:r w:rsidR="00297A75" w:rsidRPr="006D621B">
        <w:rPr>
          <w:rFonts w:ascii="Arial" w:hAnsi="Arial" w:cs="Arial"/>
          <w:i/>
          <w:sz w:val="18"/>
          <w:szCs w:val="18"/>
          <w:lang w:val="en-US"/>
        </w:rPr>
        <w:t>Neisseria gonorrhoeae</w:t>
      </w:r>
      <w:r w:rsidR="00297A75" w:rsidRPr="006D621B">
        <w:rPr>
          <w:rFonts w:ascii="Arial" w:hAnsi="Arial" w:cs="Arial"/>
          <w:sz w:val="18"/>
          <w:szCs w:val="18"/>
          <w:lang w:val="en-US"/>
        </w:rPr>
        <w:t xml:space="preserve"> </w:t>
      </w:r>
      <w:r w:rsidR="008C6E18" w:rsidRPr="007616E7">
        <w:rPr>
          <w:rFonts w:ascii="Arial" w:hAnsi="Arial" w:cs="Arial"/>
          <w:sz w:val="18"/>
          <w:szCs w:val="18"/>
          <w:lang w:val="en-US"/>
        </w:rPr>
        <w:t>is present,</w:t>
      </w:r>
      <w:r w:rsidR="00297A75" w:rsidRPr="006D621B">
        <w:rPr>
          <w:rFonts w:ascii="Arial" w:hAnsi="Arial" w:cs="Arial"/>
          <w:sz w:val="18"/>
          <w:szCs w:val="18"/>
          <w:lang w:val="en-US"/>
        </w:rPr>
        <w:t xml:space="preserve"> and determine ceftriaxone susceptibility):</w:t>
      </w:r>
    </w:p>
    <w:p w14:paraId="71ABA597" w14:textId="77777777" w:rsidR="005B70CD" w:rsidRPr="007172B8" w:rsidRDefault="005B70CD" w:rsidP="002F207F">
      <w:pPr>
        <w:pStyle w:val="BodyText3"/>
        <w:numPr>
          <w:ilvl w:val="0"/>
          <w:numId w:val="4"/>
        </w:numPr>
        <w:ind w:left="567" w:hanging="283"/>
        <w:jc w:val="both"/>
        <w:rPr>
          <w:i/>
          <w:lang w:val="en-US"/>
        </w:rPr>
      </w:pPr>
      <w:r w:rsidRPr="007172B8">
        <w:rPr>
          <w:i/>
          <w:lang w:val="en-US"/>
        </w:rPr>
        <w:t>Materials:</w:t>
      </w:r>
      <w:r w:rsidR="00F270CF">
        <w:rPr>
          <w:i/>
          <w:lang w:val="en-US"/>
        </w:rPr>
        <w:t xml:space="preserve"> </w:t>
      </w:r>
      <w:r w:rsidR="00297A75" w:rsidRPr="007172B8">
        <w:rPr>
          <w:lang w:val="en-US"/>
        </w:rPr>
        <w:t>O</w:t>
      </w:r>
      <w:r w:rsidRPr="007172B8">
        <w:rPr>
          <w:lang w:val="en-US"/>
        </w:rPr>
        <w:t>ne cotton-tip swab (plastic shaft); two Dacron swabs (plastic shaft, slender tip); Amies transport medium (all obtained from local NHLS laboratory). Insert speculum to visualize cervix.</w:t>
      </w:r>
    </w:p>
    <w:p w14:paraId="60FC90DB" w14:textId="77777777" w:rsidR="005B70CD" w:rsidRPr="007172B8" w:rsidRDefault="005B70CD" w:rsidP="002F207F">
      <w:pPr>
        <w:pStyle w:val="BodyText3"/>
        <w:numPr>
          <w:ilvl w:val="0"/>
          <w:numId w:val="4"/>
        </w:numPr>
        <w:ind w:left="567" w:hanging="283"/>
        <w:jc w:val="both"/>
        <w:rPr>
          <w:u w:val="single"/>
          <w:lang w:val="en-US"/>
        </w:rPr>
      </w:pPr>
      <w:r w:rsidRPr="00950DF1">
        <w:rPr>
          <w:i/>
          <w:lang w:val="en-US"/>
        </w:rPr>
        <w:t>Endocervical swab 1:</w:t>
      </w:r>
      <w:r w:rsidR="00F270CF" w:rsidRPr="00F270CF">
        <w:rPr>
          <w:lang w:val="en-US"/>
        </w:rPr>
        <w:t xml:space="preserve"> </w:t>
      </w:r>
      <w:r w:rsidR="00297A75" w:rsidRPr="007172B8">
        <w:rPr>
          <w:lang w:val="en-US"/>
        </w:rPr>
        <w:t xml:space="preserve">Gently </w:t>
      </w:r>
      <w:r w:rsidRPr="007172B8">
        <w:rPr>
          <w:lang w:val="en-US"/>
        </w:rPr>
        <w:t xml:space="preserve">insert Dacron swab 2cm into the endocervical </w:t>
      </w:r>
      <w:proofErr w:type="gramStart"/>
      <w:r w:rsidRPr="007172B8">
        <w:rPr>
          <w:lang w:val="en-US"/>
        </w:rPr>
        <w:t>canal, and</w:t>
      </w:r>
      <w:proofErr w:type="gramEnd"/>
      <w:r w:rsidRPr="007172B8">
        <w:rPr>
          <w:lang w:val="en-US"/>
        </w:rPr>
        <w:t xml:space="preserve"> rotate for 5-10 seconds.  Place this swab immediately into Amies transport medium.</w:t>
      </w:r>
    </w:p>
    <w:p w14:paraId="544E1D44" w14:textId="33ED99DB" w:rsidR="005B70CD" w:rsidRPr="004568D2" w:rsidRDefault="005B70CD" w:rsidP="002F207F">
      <w:pPr>
        <w:pStyle w:val="BodyText3"/>
        <w:numPr>
          <w:ilvl w:val="0"/>
          <w:numId w:val="5"/>
        </w:numPr>
        <w:ind w:left="851" w:hanging="284"/>
        <w:jc w:val="both"/>
        <w:rPr>
          <w:lang w:val="en-US"/>
        </w:rPr>
      </w:pPr>
      <w:r w:rsidRPr="004568D2">
        <w:rPr>
          <w:i/>
          <w:lang w:val="en-US"/>
        </w:rPr>
        <w:lastRenderedPageBreak/>
        <w:t>Test request:</w:t>
      </w:r>
      <w:r w:rsidR="008F63A6" w:rsidRPr="004568D2">
        <w:rPr>
          <w:i/>
          <w:lang w:val="en-US"/>
        </w:rPr>
        <w:t xml:space="preserve"> </w:t>
      </w:r>
      <w:r w:rsidR="00297A75" w:rsidRPr="004568D2">
        <w:rPr>
          <w:lang w:val="en-US"/>
        </w:rPr>
        <w:t>T</w:t>
      </w:r>
      <w:r w:rsidRPr="004568D2">
        <w:rPr>
          <w:lang w:val="en-US"/>
        </w:rPr>
        <w:t xml:space="preserve">ransport on ice to local NHLS laboratory as soon as possible, preferably </w:t>
      </w:r>
      <w:r w:rsidR="004568D2" w:rsidRPr="004568D2">
        <w:rPr>
          <w:lang w:val="en-US"/>
        </w:rPr>
        <w:t>within 24</w:t>
      </w:r>
      <w:r w:rsidR="008C6E18" w:rsidRPr="004568D2">
        <w:rPr>
          <w:lang w:val="en-US"/>
        </w:rPr>
        <w:t xml:space="preserve"> </w:t>
      </w:r>
      <w:r w:rsidRPr="004568D2">
        <w:rPr>
          <w:lang w:val="en-US"/>
        </w:rPr>
        <w:t>hours</w:t>
      </w:r>
      <w:r w:rsidR="00F270CF" w:rsidRPr="004568D2">
        <w:rPr>
          <w:lang w:val="en-US"/>
        </w:rPr>
        <w:t xml:space="preserve"> </w:t>
      </w:r>
      <w:r w:rsidRPr="004568D2">
        <w:rPr>
          <w:lang w:val="en-US"/>
        </w:rPr>
        <w:t>for</w:t>
      </w:r>
      <w:r w:rsidR="00F270CF" w:rsidRPr="004568D2">
        <w:rPr>
          <w:lang w:val="en-US"/>
        </w:rPr>
        <w:t xml:space="preserve"> </w:t>
      </w:r>
      <w:r w:rsidRPr="004568D2">
        <w:rPr>
          <w:i/>
          <w:lang w:val="en-US"/>
        </w:rPr>
        <w:t>Neisseria gonorrhoeae</w:t>
      </w:r>
      <w:r w:rsidRPr="004568D2">
        <w:rPr>
          <w:lang w:val="en-US"/>
        </w:rPr>
        <w:t xml:space="preserve"> culture &amp; sensitivity</w:t>
      </w:r>
      <w:r w:rsidR="00BB329A" w:rsidRPr="004568D2">
        <w:rPr>
          <w:lang w:val="en-US"/>
        </w:rPr>
        <w:t xml:space="preserve"> testing</w:t>
      </w:r>
      <w:r w:rsidRPr="004568D2">
        <w:rPr>
          <w:lang w:val="en-US"/>
        </w:rPr>
        <w:t>.</w:t>
      </w:r>
    </w:p>
    <w:p w14:paraId="53C58F45" w14:textId="77777777" w:rsidR="005B70CD" w:rsidRPr="007172B8" w:rsidRDefault="005B70CD" w:rsidP="002F207F">
      <w:pPr>
        <w:pStyle w:val="BodyText3"/>
        <w:numPr>
          <w:ilvl w:val="0"/>
          <w:numId w:val="5"/>
        </w:numPr>
        <w:ind w:left="851" w:hanging="284"/>
        <w:jc w:val="both"/>
        <w:rPr>
          <w:lang w:val="en-US"/>
        </w:rPr>
      </w:pPr>
      <w:r w:rsidRPr="007172B8">
        <w:rPr>
          <w:i/>
          <w:lang w:val="en-US"/>
        </w:rPr>
        <w:t>Presumptive diagnosis:</w:t>
      </w:r>
      <w:r w:rsidRPr="007172B8">
        <w:rPr>
          <w:lang w:val="en-US"/>
        </w:rPr>
        <w:t xml:space="preserve"> Persistent cervicitis due to </w:t>
      </w:r>
      <w:r w:rsidR="0085335D" w:rsidRPr="007172B8">
        <w:rPr>
          <w:lang w:val="en-US"/>
        </w:rPr>
        <w:t xml:space="preserve">possible </w:t>
      </w:r>
      <w:r w:rsidRPr="007172B8">
        <w:rPr>
          <w:lang w:val="en-US"/>
        </w:rPr>
        <w:t>ceftriaxone-resistant gonorrhea</w:t>
      </w:r>
      <w:r w:rsidR="00C41026" w:rsidRPr="007172B8">
        <w:rPr>
          <w:lang w:val="en-US"/>
        </w:rPr>
        <w:t>.</w:t>
      </w:r>
    </w:p>
    <w:p w14:paraId="5ECC1F0F" w14:textId="22FCD4D3" w:rsidR="00A13616" w:rsidRPr="004568D2" w:rsidRDefault="005B70CD" w:rsidP="002F207F">
      <w:pPr>
        <w:pStyle w:val="BodyText3"/>
        <w:numPr>
          <w:ilvl w:val="0"/>
          <w:numId w:val="4"/>
        </w:numPr>
        <w:ind w:left="567" w:hanging="283"/>
        <w:jc w:val="both"/>
        <w:rPr>
          <w:lang w:val="en-US"/>
        </w:rPr>
      </w:pPr>
      <w:r w:rsidRPr="00950DF1">
        <w:rPr>
          <w:i/>
          <w:lang w:val="en-US"/>
        </w:rPr>
        <w:t xml:space="preserve">Endocervical swab </w:t>
      </w:r>
      <w:r w:rsidR="00A13616" w:rsidRPr="00950DF1">
        <w:rPr>
          <w:i/>
          <w:lang w:val="en-US"/>
        </w:rPr>
        <w:t>2</w:t>
      </w:r>
      <w:r w:rsidR="00A13616" w:rsidRPr="004568D2">
        <w:rPr>
          <w:lang w:val="en-US"/>
        </w:rPr>
        <w:t>: Gently insert Dacron swab 2cm into the endocervical canal, and rotate for 5-10 seconds.  Place in sterile universal container or tube, break off plastic shaft and close the container.</w:t>
      </w:r>
    </w:p>
    <w:p w14:paraId="57D07A8F" w14:textId="0CC806FA" w:rsidR="00A13616" w:rsidRPr="004568D2" w:rsidRDefault="00A13616" w:rsidP="002F207F">
      <w:pPr>
        <w:pStyle w:val="BodyText3"/>
        <w:numPr>
          <w:ilvl w:val="0"/>
          <w:numId w:val="5"/>
        </w:numPr>
        <w:ind w:left="851" w:hanging="284"/>
        <w:jc w:val="both"/>
        <w:rPr>
          <w:i/>
          <w:lang w:val="en-US"/>
        </w:rPr>
      </w:pPr>
      <w:r w:rsidRPr="004568D2">
        <w:rPr>
          <w:i/>
          <w:lang w:val="en-US"/>
        </w:rPr>
        <w:t xml:space="preserve">Test request: </w:t>
      </w:r>
      <w:r w:rsidRPr="004568D2">
        <w:rPr>
          <w:lang w:val="en-US"/>
        </w:rPr>
        <w:t>Transport on ice to NICD STI Reference laboratory as soon as possible for PCR genital discharge pathogens.</w:t>
      </w:r>
    </w:p>
    <w:p w14:paraId="73FAA04E" w14:textId="77777777" w:rsidR="00A13616" w:rsidRPr="004568D2" w:rsidRDefault="00A13616" w:rsidP="002F207F">
      <w:pPr>
        <w:pStyle w:val="BodyText3"/>
        <w:numPr>
          <w:ilvl w:val="0"/>
          <w:numId w:val="5"/>
        </w:numPr>
        <w:ind w:left="851" w:hanging="284"/>
        <w:jc w:val="both"/>
        <w:rPr>
          <w:i/>
          <w:lang w:val="en-US"/>
        </w:rPr>
      </w:pPr>
      <w:r w:rsidRPr="004568D2">
        <w:rPr>
          <w:i/>
          <w:lang w:val="en-US"/>
        </w:rPr>
        <w:t xml:space="preserve">Presumptive diagnosis: </w:t>
      </w:r>
      <w:r w:rsidRPr="004568D2">
        <w:rPr>
          <w:lang w:val="en-US"/>
        </w:rPr>
        <w:t>Persistent cervicitis/vaginal discharge due to possible ceftriaxone-resistant gonorrhea.</w:t>
      </w:r>
    </w:p>
    <w:p w14:paraId="5D16348A" w14:textId="70C058D1" w:rsidR="005B70CD" w:rsidRPr="007172B8" w:rsidRDefault="008C6E18" w:rsidP="002F207F">
      <w:pPr>
        <w:pStyle w:val="BodyText3"/>
        <w:numPr>
          <w:ilvl w:val="0"/>
          <w:numId w:val="4"/>
        </w:numPr>
        <w:ind w:left="567" w:hanging="283"/>
        <w:jc w:val="both"/>
        <w:rPr>
          <w:u w:val="single"/>
          <w:lang w:val="en-US"/>
        </w:rPr>
      </w:pPr>
      <w:r w:rsidRPr="00950DF1">
        <w:rPr>
          <w:i/>
          <w:lang w:val="en-US"/>
        </w:rPr>
        <w:t xml:space="preserve">Vaginal </w:t>
      </w:r>
      <w:r w:rsidR="005B70CD" w:rsidRPr="00950DF1">
        <w:rPr>
          <w:i/>
          <w:lang w:val="en-US"/>
        </w:rPr>
        <w:t>swab</w:t>
      </w:r>
      <w:r w:rsidR="00D23122" w:rsidRPr="00950DF1">
        <w:rPr>
          <w:i/>
          <w:lang w:val="en-US"/>
        </w:rPr>
        <w:t>1</w:t>
      </w:r>
      <w:r w:rsidR="0085335D" w:rsidRPr="00950DF1">
        <w:rPr>
          <w:lang w:val="en-US"/>
        </w:rPr>
        <w:t xml:space="preserve">: </w:t>
      </w:r>
      <w:r w:rsidR="00297A75" w:rsidRPr="007172B8">
        <w:rPr>
          <w:lang w:val="en-US"/>
        </w:rPr>
        <w:t xml:space="preserve">Gently </w:t>
      </w:r>
      <w:r w:rsidR="005B70CD" w:rsidRPr="007172B8">
        <w:rPr>
          <w:lang w:val="en-US"/>
        </w:rPr>
        <w:t xml:space="preserve">insert cotton-tip swab </w:t>
      </w:r>
      <w:r w:rsidR="006C31B8" w:rsidRPr="007172B8">
        <w:rPr>
          <w:lang w:val="en-US"/>
        </w:rPr>
        <w:t xml:space="preserve">into the vagina and then dip swab in the poster fornix fluid. </w:t>
      </w:r>
      <w:r w:rsidR="005B70CD" w:rsidRPr="007172B8">
        <w:rPr>
          <w:lang w:val="en-US"/>
        </w:rPr>
        <w:t xml:space="preserve">Place </w:t>
      </w:r>
      <w:r w:rsidR="006C31B8" w:rsidRPr="007172B8">
        <w:rPr>
          <w:lang w:val="en-US"/>
        </w:rPr>
        <w:t xml:space="preserve">swab </w:t>
      </w:r>
      <w:r w:rsidR="005B70CD" w:rsidRPr="007172B8">
        <w:rPr>
          <w:lang w:val="en-US"/>
        </w:rPr>
        <w:t>in sterile universal container or tube, break off plastic shaft and close the container.</w:t>
      </w:r>
    </w:p>
    <w:p w14:paraId="37EA703E" w14:textId="76673AAF" w:rsidR="005B70CD" w:rsidRPr="007172B8" w:rsidRDefault="005B70CD" w:rsidP="002F207F">
      <w:pPr>
        <w:pStyle w:val="BodyText3"/>
        <w:numPr>
          <w:ilvl w:val="0"/>
          <w:numId w:val="5"/>
        </w:numPr>
        <w:ind w:left="851" w:hanging="284"/>
        <w:jc w:val="both"/>
        <w:rPr>
          <w:lang w:val="en-US"/>
        </w:rPr>
      </w:pPr>
      <w:r w:rsidRPr="007172B8">
        <w:rPr>
          <w:i/>
          <w:lang w:val="en-US"/>
        </w:rPr>
        <w:t>Test request:</w:t>
      </w:r>
      <w:r w:rsidR="00561A88">
        <w:rPr>
          <w:i/>
          <w:lang w:val="en-US"/>
        </w:rPr>
        <w:t xml:space="preserve"> </w:t>
      </w:r>
      <w:r w:rsidR="00297A75" w:rsidRPr="007172B8">
        <w:rPr>
          <w:lang w:val="en-US"/>
        </w:rPr>
        <w:t>T</w:t>
      </w:r>
      <w:r w:rsidRPr="007172B8">
        <w:rPr>
          <w:lang w:val="en-US"/>
        </w:rPr>
        <w:t>ransport to local NHLS laboratory as soon as possible</w:t>
      </w:r>
      <w:r w:rsidR="008F63A6">
        <w:rPr>
          <w:lang w:val="en-US"/>
        </w:rPr>
        <w:t xml:space="preserve"> </w:t>
      </w:r>
      <w:r w:rsidRPr="007172B8">
        <w:rPr>
          <w:lang w:val="en-US"/>
        </w:rPr>
        <w:t>for</w:t>
      </w:r>
      <w:r w:rsidR="008F63A6">
        <w:rPr>
          <w:lang w:val="en-US"/>
        </w:rPr>
        <w:t xml:space="preserve"> </w:t>
      </w:r>
      <w:r w:rsidRPr="007172B8">
        <w:rPr>
          <w:lang w:val="en-US"/>
        </w:rPr>
        <w:t>M/C/S</w:t>
      </w:r>
      <w:r w:rsidR="00BB329A">
        <w:rPr>
          <w:lang w:val="en-US"/>
        </w:rPr>
        <w:t xml:space="preserve"> -</w:t>
      </w:r>
      <w:r w:rsidR="00D31048">
        <w:rPr>
          <w:lang w:val="en-US"/>
        </w:rPr>
        <w:t xml:space="preserve"> </w:t>
      </w:r>
      <w:r w:rsidRPr="007172B8">
        <w:rPr>
          <w:lang w:val="en-US"/>
        </w:rPr>
        <w:t xml:space="preserve">for </w:t>
      </w:r>
      <w:r w:rsidR="00C41026" w:rsidRPr="007172B8">
        <w:rPr>
          <w:lang w:val="en-US"/>
        </w:rPr>
        <w:t>bacterial vaginosis</w:t>
      </w:r>
      <w:r w:rsidRPr="007172B8">
        <w:rPr>
          <w:lang w:val="en-US"/>
        </w:rPr>
        <w:t xml:space="preserve">; </w:t>
      </w:r>
      <w:r w:rsidRPr="007172B8">
        <w:rPr>
          <w:i/>
          <w:lang w:val="en-US"/>
        </w:rPr>
        <w:t>Candid</w:t>
      </w:r>
      <w:r w:rsidRPr="007172B8">
        <w:rPr>
          <w:lang w:val="en-US"/>
        </w:rPr>
        <w:t>a culture and sensitivity</w:t>
      </w:r>
      <w:r w:rsidR="00BB329A">
        <w:rPr>
          <w:lang w:val="en-US"/>
        </w:rPr>
        <w:t xml:space="preserve"> testing</w:t>
      </w:r>
      <w:r w:rsidR="00C41026" w:rsidRPr="007172B8">
        <w:rPr>
          <w:lang w:val="en-US"/>
        </w:rPr>
        <w:t>.</w:t>
      </w:r>
    </w:p>
    <w:p w14:paraId="37E0D9C2" w14:textId="77777777" w:rsidR="005B70CD" w:rsidRPr="007172B8" w:rsidRDefault="005B70CD" w:rsidP="002F207F">
      <w:pPr>
        <w:pStyle w:val="BodyText3"/>
        <w:numPr>
          <w:ilvl w:val="0"/>
          <w:numId w:val="5"/>
        </w:numPr>
        <w:ind w:left="851" w:hanging="284"/>
        <w:jc w:val="both"/>
        <w:rPr>
          <w:lang w:val="en-US"/>
        </w:rPr>
      </w:pPr>
      <w:r w:rsidRPr="007172B8">
        <w:rPr>
          <w:i/>
          <w:lang w:val="en-US"/>
        </w:rPr>
        <w:t>Presumptive diagnosis:</w:t>
      </w:r>
      <w:r w:rsidRPr="007172B8">
        <w:rPr>
          <w:lang w:val="en-US"/>
        </w:rPr>
        <w:t xml:space="preserve"> Persistent vaginal discharge due to bacterial vaginosis or candidiasis</w:t>
      </w:r>
      <w:r w:rsidR="00C41026" w:rsidRPr="007172B8">
        <w:rPr>
          <w:lang w:val="en-US"/>
        </w:rPr>
        <w:t>.</w:t>
      </w:r>
    </w:p>
    <w:p w14:paraId="03AFAC32" w14:textId="77777777" w:rsidR="005B70CD" w:rsidRPr="007172B8" w:rsidRDefault="005B70CD" w:rsidP="0017078D">
      <w:pPr>
        <w:pStyle w:val="ep0"/>
      </w:pPr>
    </w:p>
    <w:p w14:paraId="056DAC5F" w14:textId="77777777" w:rsidR="005B70CD" w:rsidRPr="007172B8" w:rsidRDefault="005B70CD" w:rsidP="005B70CD">
      <w:pPr>
        <w:pStyle w:val="BodyText3"/>
        <w:jc w:val="both"/>
        <w:rPr>
          <w:rFonts w:cs="Arial"/>
          <w:b/>
          <w:sz w:val="20"/>
          <w:szCs w:val="20"/>
        </w:rPr>
      </w:pPr>
      <w:r w:rsidRPr="007172B8">
        <w:rPr>
          <w:rFonts w:cs="Arial"/>
          <w:b/>
          <w:sz w:val="20"/>
          <w:szCs w:val="20"/>
        </w:rPr>
        <w:t>MEDICINE TREATMENT</w:t>
      </w:r>
    </w:p>
    <w:p w14:paraId="5B7A6072" w14:textId="77777777" w:rsidR="005B70CD" w:rsidRPr="007172B8" w:rsidRDefault="00EC1F33" w:rsidP="005B70CD">
      <w:pPr>
        <w:rPr>
          <w:szCs w:val="18"/>
          <w:u w:val="single"/>
        </w:rPr>
      </w:pPr>
      <w:r w:rsidRPr="007172B8">
        <w:rPr>
          <w:u w:val="single"/>
        </w:rPr>
        <w:t>P</w:t>
      </w:r>
      <w:r w:rsidR="005B70CD" w:rsidRPr="007172B8">
        <w:rPr>
          <w:u w:val="single"/>
        </w:rPr>
        <w:t>ersistent cervicitis confirmed on speculum examination</w:t>
      </w:r>
      <w:r w:rsidRPr="007172B8">
        <w:rPr>
          <w:u w:val="single"/>
        </w:rPr>
        <w:t xml:space="preserve">, </w:t>
      </w:r>
      <w:r w:rsidRPr="007172B8">
        <w:rPr>
          <w:szCs w:val="18"/>
          <w:u w:val="single"/>
        </w:rPr>
        <w:t>pending results</w:t>
      </w:r>
      <w:r w:rsidR="005B70CD" w:rsidRPr="007172B8">
        <w:rPr>
          <w:szCs w:val="18"/>
          <w:u w:val="single"/>
        </w:rPr>
        <w:t>:</w:t>
      </w:r>
    </w:p>
    <w:p w14:paraId="00D2EE81" w14:textId="77777777" w:rsidR="00D954E6" w:rsidRPr="008E0817" w:rsidRDefault="00EC1F33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>Ceftriaxone, IM, 1 g immediately as a single dose.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D954E6" w:rsidRPr="007172B8" w14:paraId="258DC052" w14:textId="77777777" w:rsidTr="00A26C99">
        <w:tc>
          <w:tcPr>
            <w:tcW w:w="1134" w:type="dxa"/>
            <w:shd w:val="clear" w:color="auto" w:fill="auto"/>
          </w:tcPr>
          <w:p w14:paraId="37146C5B" w14:textId="77777777" w:rsidR="00D954E6" w:rsidRPr="007172B8" w:rsidRDefault="00D954E6" w:rsidP="00A26C99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 w:rsidRPr="007172B8">
              <w:rPr>
                <w:rStyle w:val="EndnoteReference"/>
                <w:i/>
                <w:sz w:val="16"/>
              </w:rPr>
              <w:endnoteReference w:id="6"/>
            </w:r>
          </w:p>
        </w:tc>
      </w:tr>
    </w:tbl>
    <w:p w14:paraId="0C2946DA" w14:textId="41258484" w:rsidR="00AF3A67" w:rsidRPr="008E0817" w:rsidRDefault="00EC1F33" w:rsidP="00C80BF2">
      <w:pPr>
        <w:pStyle w:val="ListParagraph"/>
        <w:numPr>
          <w:ilvl w:val="1"/>
          <w:numId w:val="7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>Dissolve ceftriaxone 1 g in 3.6 mL lidocaine 1% without adrenaline</w:t>
      </w:r>
      <w:r w:rsidR="007E2055">
        <w:rPr>
          <w:rFonts w:ascii="Arial" w:hAnsi="Arial" w:cs="Arial"/>
          <w:sz w:val="18"/>
          <w:szCs w:val="18"/>
        </w:rPr>
        <w:t xml:space="preserve"> (epinephrine</w:t>
      </w:r>
      <w:r w:rsidRPr="008E0817">
        <w:rPr>
          <w:rFonts w:ascii="Arial" w:hAnsi="Arial" w:cs="Arial"/>
          <w:sz w:val="18"/>
          <w:szCs w:val="18"/>
        </w:rPr>
        <w:t>).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D954E6" w:rsidRPr="007172B8" w14:paraId="76FC0506" w14:textId="77777777" w:rsidTr="00A26C99">
        <w:tc>
          <w:tcPr>
            <w:tcW w:w="1134" w:type="dxa"/>
            <w:shd w:val="clear" w:color="auto" w:fill="auto"/>
          </w:tcPr>
          <w:p w14:paraId="268FD571" w14:textId="77777777" w:rsidR="00D954E6" w:rsidRPr="007172B8" w:rsidRDefault="00D954E6" w:rsidP="00A26C99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 w:rsidRPr="007172B8">
              <w:rPr>
                <w:rStyle w:val="EndnoteReference"/>
                <w:i/>
                <w:sz w:val="16"/>
              </w:rPr>
              <w:endnoteReference w:id="7"/>
            </w:r>
          </w:p>
        </w:tc>
      </w:tr>
    </w:tbl>
    <w:p w14:paraId="328742D6" w14:textId="77777777" w:rsidR="00EC1F33" w:rsidRPr="007172B8" w:rsidRDefault="00EC1F33" w:rsidP="00EC1F33">
      <w:pPr>
        <w:rPr>
          <w:b/>
          <w:bCs w:val="0"/>
          <w:szCs w:val="18"/>
        </w:rPr>
      </w:pPr>
      <w:r w:rsidRPr="007172B8">
        <w:rPr>
          <w:b/>
          <w:szCs w:val="18"/>
        </w:rPr>
        <w:t>AND</w:t>
      </w:r>
    </w:p>
    <w:p w14:paraId="0A1BC90A" w14:textId="196E34D7" w:rsidR="00AF3A67" w:rsidRPr="008E0817" w:rsidRDefault="00EC1F33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>Azithromycin, oral</w:t>
      </w:r>
      <w:r w:rsidR="00E7162F">
        <w:rPr>
          <w:rFonts w:ascii="Arial" w:hAnsi="Arial" w:cs="Arial"/>
          <w:sz w:val="18"/>
          <w:szCs w:val="18"/>
        </w:rPr>
        <w:t xml:space="preserve">, </w:t>
      </w:r>
      <w:r w:rsidR="00622224" w:rsidRPr="008E0817">
        <w:rPr>
          <w:rFonts w:ascii="Arial" w:hAnsi="Arial" w:cs="Arial"/>
          <w:sz w:val="18"/>
          <w:szCs w:val="18"/>
        </w:rPr>
        <w:t>2</w:t>
      </w:r>
      <w:r w:rsidRPr="008E0817">
        <w:rPr>
          <w:rFonts w:ascii="Arial" w:hAnsi="Arial" w:cs="Arial"/>
          <w:sz w:val="18"/>
          <w:szCs w:val="18"/>
        </w:rPr>
        <w:t xml:space="preserve"> g as a single dose.</w:t>
      </w:r>
    </w:p>
    <w:p w14:paraId="66FC2812" w14:textId="77777777" w:rsidR="00EC1F33" w:rsidRPr="002F207F" w:rsidRDefault="00EC1F33" w:rsidP="005B70CD">
      <w:pPr>
        <w:rPr>
          <w:sz w:val="10"/>
          <w:szCs w:val="18"/>
        </w:rPr>
      </w:pPr>
    </w:p>
    <w:p w14:paraId="729A3784" w14:textId="77777777" w:rsidR="00297A75" w:rsidRPr="008E0817" w:rsidRDefault="009C7789" w:rsidP="0017078D">
      <w:pPr>
        <w:pStyle w:val="ep4"/>
      </w:pPr>
      <w:r w:rsidRPr="008E0817">
        <w:t>If metronidazole, oral was not given at PHC prior to referral administer</w:t>
      </w:r>
      <w:r w:rsidR="00297A75" w:rsidRPr="008E0817">
        <w:t>: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297A75" w:rsidRPr="007172B8" w14:paraId="323928D5" w14:textId="77777777" w:rsidTr="00324BE8">
        <w:tc>
          <w:tcPr>
            <w:tcW w:w="1134" w:type="dxa"/>
            <w:shd w:val="clear" w:color="auto" w:fill="auto"/>
          </w:tcPr>
          <w:p w14:paraId="2150C242" w14:textId="77777777" w:rsidR="00297A75" w:rsidRPr="007172B8" w:rsidRDefault="00297A75" w:rsidP="00324BE8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 w:rsidRPr="007172B8">
              <w:rPr>
                <w:rStyle w:val="EndnoteReference"/>
                <w:i/>
                <w:sz w:val="16"/>
              </w:rPr>
              <w:endnoteReference w:id="8"/>
            </w:r>
          </w:p>
        </w:tc>
      </w:tr>
    </w:tbl>
    <w:p w14:paraId="55E03876" w14:textId="77777777" w:rsidR="009C7789" w:rsidRPr="008E0817" w:rsidRDefault="00297A75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>Metronidazole, oral, 2 g as a single dose.</w:t>
      </w:r>
    </w:p>
    <w:p w14:paraId="15E2F2D7" w14:textId="77777777" w:rsidR="009C7789" w:rsidRPr="002F207F" w:rsidRDefault="009C7789" w:rsidP="005B70CD">
      <w:pPr>
        <w:rPr>
          <w:sz w:val="10"/>
          <w:szCs w:val="18"/>
        </w:rPr>
      </w:pPr>
    </w:p>
    <w:p w14:paraId="3E8AF221" w14:textId="5DD07935" w:rsidR="00281657" w:rsidRPr="005D63AC" w:rsidRDefault="00281657" w:rsidP="00281657">
      <w:pPr>
        <w:rPr>
          <w:sz w:val="16"/>
          <w:szCs w:val="18"/>
        </w:rPr>
      </w:pPr>
      <w:r w:rsidRPr="007172B8">
        <w:rPr>
          <w:szCs w:val="18"/>
          <w:u w:val="single"/>
        </w:rPr>
        <w:t>Severe penicillin allergy</w:t>
      </w:r>
      <w:r w:rsidRPr="007172B8">
        <w:rPr>
          <w:szCs w:val="18"/>
        </w:rPr>
        <w:t>:</w:t>
      </w:r>
      <w:r w:rsidR="005D63AC">
        <w:rPr>
          <w:szCs w:val="18"/>
        </w:rPr>
        <w:t xml:space="preserve"> </w:t>
      </w:r>
      <w:r w:rsidR="005D63AC">
        <w:rPr>
          <w:sz w:val="16"/>
          <w:szCs w:val="18"/>
        </w:rPr>
        <w:t>Z88.0</w:t>
      </w:r>
    </w:p>
    <w:p w14:paraId="7377B586" w14:textId="1938D1F0" w:rsidR="00281657" w:rsidRPr="008E0817" w:rsidRDefault="00281657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>Gentamicin, IM, 6</w:t>
      </w:r>
      <w:r w:rsidR="006D621B">
        <w:rPr>
          <w:rFonts w:ascii="Arial" w:hAnsi="Arial" w:cs="Arial"/>
          <w:sz w:val="18"/>
          <w:szCs w:val="18"/>
        </w:rPr>
        <w:t xml:space="preserve"> </w:t>
      </w:r>
      <w:r w:rsidRPr="008E0817">
        <w:rPr>
          <w:rFonts w:ascii="Arial" w:hAnsi="Arial" w:cs="Arial"/>
          <w:sz w:val="18"/>
          <w:szCs w:val="18"/>
        </w:rPr>
        <w:t xml:space="preserve">mg/kg, IM as a single dose. (See Appendix II for </w:t>
      </w:r>
      <w:r w:rsidR="00B525CB">
        <w:rPr>
          <w:rFonts w:ascii="Arial" w:hAnsi="Arial" w:cs="Arial"/>
          <w:sz w:val="18"/>
          <w:szCs w:val="18"/>
        </w:rPr>
        <w:t>guidance on prescribing</w:t>
      </w:r>
      <w:r w:rsidRPr="008E0817">
        <w:rPr>
          <w:rFonts w:ascii="Arial" w:hAnsi="Arial" w:cs="Arial"/>
          <w:sz w:val="18"/>
          <w:szCs w:val="18"/>
        </w:rPr>
        <w:t>).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281657" w:rsidRPr="007172B8" w14:paraId="74222CE9" w14:textId="77777777" w:rsidTr="00A26C99">
        <w:tc>
          <w:tcPr>
            <w:tcW w:w="1134" w:type="dxa"/>
            <w:shd w:val="clear" w:color="auto" w:fill="auto"/>
          </w:tcPr>
          <w:p w14:paraId="527BD834" w14:textId="77777777" w:rsidR="00281657" w:rsidRPr="007172B8" w:rsidRDefault="00281657" w:rsidP="00A26C99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 w:rsidRPr="007172B8">
              <w:rPr>
                <w:rStyle w:val="EndnoteReference"/>
                <w:i/>
                <w:sz w:val="16"/>
              </w:rPr>
              <w:endnoteReference w:id="9"/>
            </w:r>
          </w:p>
        </w:tc>
      </w:tr>
    </w:tbl>
    <w:p w14:paraId="55C1833B" w14:textId="77777777" w:rsidR="00281657" w:rsidRPr="008E0817" w:rsidRDefault="00281657" w:rsidP="00281657">
      <w:pPr>
        <w:rPr>
          <w:b/>
          <w:bCs w:val="0"/>
          <w:szCs w:val="18"/>
        </w:rPr>
      </w:pPr>
      <w:r w:rsidRPr="008E0817">
        <w:rPr>
          <w:b/>
          <w:szCs w:val="18"/>
        </w:rPr>
        <w:t>AND</w:t>
      </w:r>
    </w:p>
    <w:p w14:paraId="7BD44ECA" w14:textId="77777777" w:rsidR="00AF3A67" w:rsidRPr="008E0817" w:rsidRDefault="00281657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>Azithromycin, oral, 2 g as a single dose.</w:t>
      </w:r>
    </w:p>
    <w:p w14:paraId="1ADF8BDA" w14:textId="77777777" w:rsidR="00281657" w:rsidRPr="0017078D" w:rsidRDefault="00281657" w:rsidP="00281657">
      <w:pPr>
        <w:rPr>
          <w:sz w:val="10"/>
        </w:rPr>
      </w:pPr>
    </w:p>
    <w:p w14:paraId="0D04F667" w14:textId="77777777" w:rsidR="00297A75" w:rsidRPr="008E0817" w:rsidRDefault="00297A75" w:rsidP="0017078D">
      <w:pPr>
        <w:pStyle w:val="ep4"/>
      </w:pPr>
      <w:r w:rsidRPr="008E0817">
        <w:t>If metronidazole, oral was not given at PHC prior to referral administer: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297A75" w:rsidRPr="008E0817" w14:paraId="0C6714D8" w14:textId="77777777" w:rsidTr="00324BE8">
        <w:tc>
          <w:tcPr>
            <w:tcW w:w="1134" w:type="dxa"/>
            <w:shd w:val="clear" w:color="auto" w:fill="auto"/>
          </w:tcPr>
          <w:p w14:paraId="126D767B" w14:textId="77777777" w:rsidR="00297A75" w:rsidRPr="008E0817" w:rsidRDefault="00297A75" w:rsidP="00324BE8">
            <w:pPr>
              <w:jc w:val="right"/>
              <w:rPr>
                <w:i/>
                <w:szCs w:val="18"/>
              </w:rPr>
            </w:pPr>
            <w:proofErr w:type="spellStart"/>
            <w:r w:rsidRPr="008E0817">
              <w:rPr>
                <w:i/>
                <w:szCs w:val="18"/>
              </w:rPr>
              <w:t>LoE</w:t>
            </w:r>
            <w:proofErr w:type="spellEnd"/>
            <w:r w:rsidRPr="008E0817">
              <w:rPr>
                <w:i/>
                <w:szCs w:val="18"/>
              </w:rPr>
              <w:t>: III</w:t>
            </w:r>
            <w:r w:rsidRPr="008E0817">
              <w:rPr>
                <w:rStyle w:val="EndnoteReference"/>
                <w:i/>
                <w:szCs w:val="18"/>
              </w:rPr>
              <w:endnoteReference w:id="10"/>
            </w:r>
          </w:p>
        </w:tc>
      </w:tr>
    </w:tbl>
    <w:p w14:paraId="699752DF" w14:textId="77777777" w:rsidR="00297A75" w:rsidRPr="008E0817" w:rsidRDefault="00297A75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E0817">
        <w:rPr>
          <w:rFonts w:ascii="Arial" w:hAnsi="Arial" w:cs="Arial"/>
          <w:sz w:val="18"/>
          <w:szCs w:val="18"/>
        </w:rPr>
        <w:t xml:space="preserve"> Metronidazole, oral, 2 g as a single dose.</w:t>
      </w:r>
    </w:p>
    <w:p w14:paraId="6D531BE3" w14:textId="77777777" w:rsidR="00281657" w:rsidRPr="007172B8" w:rsidRDefault="00281657" w:rsidP="005B70CD">
      <w:pPr>
        <w:rPr>
          <w:szCs w:val="18"/>
        </w:rPr>
      </w:pPr>
    </w:p>
    <w:p w14:paraId="2861BC5E" w14:textId="77777777" w:rsidR="005B70CD" w:rsidRPr="007172B8" w:rsidRDefault="005B70CD" w:rsidP="00A951B1">
      <w:pPr>
        <w:jc w:val="both"/>
        <w:rPr>
          <w:szCs w:val="18"/>
        </w:rPr>
      </w:pPr>
      <w:r w:rsidRPr="007172B8">
        <w:rPr>
          <w:szCs w:val="18"/>
        </w:rPr>
        <w:t>Ask patient to return in two weeks for follow-up of laboratory results and further clinical evaluation.</w:t>
      </w:r>
      <w:r w:rsidR="00281657" w:rsidRPr="007172B8">
        <w:rPr>
          <w:szCs w:val="18"/>
        </w:rPr>
        <w:t xml:space="preserve"> Treat accordingly.</w:t>
      </w:r>
    </w:p>
    <w:p w14:paraId="48842103" w14:textId="23ABBC8F" w:rsidR="005B70CD" w:rsidRDefault="005B70CD" w:rsidP="0017078D">
      <w:pPr>
        <w:pStyle w:val="ep0"/>
      </w:pPr>
    </w:p>
    <w:p w14:paraId="0E6D7752" w14:textId="77777777" w:rsidR="0017078D" w:rsidRPr="007172B8" w:rsidRDefault="0017078D" w:rsidP="0017078D">
      <w:pPr>
        <w:pStyle w:val="ep0"/>
      </w:pPr>
    </w:p>
    <w:p w14:paraId="39D6468C" w14:textId="5E503A7D" w:rsidR="005B70CD" w:rsidRPr="007172B8" w:rsidRDefault="009A30BE" w:rsidP="002F207F">
      <w:pPr>
        <w:pStyle w:val="Heading1"/>
      </w:pPr>
      <w:r>
        <w:lastRenderedPageBreak/>
        <w:t>2</w:t>
      </w:r>
      <w:r w:rsidR="00487C8F">
        <w:t>5</w:t>
      </w:r>
      <w:r w:rsidR="005B70CD" w:rsidRPr="007172B8">
        <w:t>.3</w:t>
      </w:r>
      <w:r w:rsidR="00281657" w:rsidRPr="007172B8">
        <w:tab/>
      </w:r>
      <w:r w:rsidR="005B70CD" w:rsidRPr="007172B8">
        <w:t>GENITAL ULCER SYNDROME (guS)</w:t>
      </w:r>
    </w:p>
    <w:p w14:paraId="6C5D3668" w14:textId="4070A751" w:rsidR="00281657" w:rsidRDefault="00281657" w:rsidP="00281657">
      <w:pPr>
        <w:rPr>
          <w:sz w:val="16"/>
        </w:rPr>
      </w:pPr>
      <w:r w:rsidRPr="007172B8">
        <w:rPr>
          <w:sz w:val="16"/>
        </w:rPr>
        <w:t>A60.9/A51.0</w:t>
      </w:r>
    </w:p>
    <w:p w14:paraId="3CCF9502" w14:textId="77777777" w:rsidR="00A23C85" w:rsidRPr="007172B8" w:rsidRDefault="00A23C85" w:rsidP="00281657">
      <w:pPr>
        <w:rPr>
          <w:sz w:val="16"/>
        </w:rPr>
      </w:pPr>
    </w:p>
    <w:p w14:paraId="4EFD33E8" w14:textId="77777777" w:rsidR="00281657" w:rsidRPr="007172B8" w:rsidRDefault="00281657" w:rsidP="0017078D">
      <w:pPr>
        <w:pStyle w:val="ep0"/>
      </w:pPr>
      <w:r w:rsidRPr="007172B8">
        <w:t xml:space="preserve">Genital </w:t>
      </w:r>
      <w:r w:rsidR="005B70CD" w:rsidRPr="007172B8">
        <w:t xml:space="preserve">ulcer disease that persists despite appropriate syndromic management </w:t>
      </w:r>
      <w:r w:rsidRPr="007172B8">
        <w:t>should be investigated</w:t>
      </w:r>
      <w:r w:rsidR="005B70CD" w:rsidRPr="007172B8">
        <w:t xml:space="preserve">. </w:t>
      </w:r>
      <w:r w:rsidRPr="007172B8">
        <w:t>Referral letter from PHC</w:t>
      </w:r>
      <w:r w:rsidR="008E0817">
        <w:t xml:space="preserve"> </w:t>
      </w:r>
      <w:r w:rsidRPr="007172B8">
        <w:t>should include all relevant information</w:t>
      </w:r>
      <w:r w:rsidR="00297A75" w:rsidRPr="007172B8">
        <w:t xml:space="preserve"> (including HIV status, treatment </w:t>
      </w:r>
      <w:r w:rsidR="009C5AFC" w:rsidRPr="007172B8">
        <w:t>history</w:t>
      </w:r>
      <w:r w:rsidR="008E0817">
        <w:t xml:space="preserve"> </w:t>
      </w:r>
      <w:r w:rsidR="00297A75" w:rsidRPr="007172B8">
        <w:t>and partner notification and management)</w:t>
      </w:r>
      <w:r w:rsidRPr="007172B8">
        <w:t>.</w:t>
      </w:r>
    </w:p>
    <w:p w14:paraId="62BD3C7F" w14:textId="77777777" w:rsidR="005B70CD" w:rsidRPr="007172B8" w:rsidRDefault="005B70CD" w:rsidP="0017078D">
      <w:pPr>
        <w:pStyle w:val="ep0"/>
      </w:pPr>
    </w:p>
    <w:p w14:paraId="10C6BF96" w14:textId="77777777" w:rsidR="005B70CD" w:rsidRPr="007172B8" w:rsidRDefault="005B70CD" w:rsidP="005B70CD">
      <w:pPr>
        <w:pStyle w:val="BodyText3"/>
        <w:jc w:val="both"/>
        <w:rPr>
          <w:rFonts w:cs="Arial"/>
          <w:b/>
          <w:sz w:val="20"/>
        </w:rPr>
      </w:pPr>
      <w:r w:rsidRPr="007172B8">
        <w:rPr>
          <w:rFonts w:cs="Arial"/>
          <w:b/>
          <w:sz w:val="20"/>
        </w:rPr>
        <w:t>INVESTIGATIONS</w:t>
      </w:r>
    </w:p>
    <w:p w14:paraId="33B0A31A" w14:textId="77777777" w:rsidR="006C31B8" w:rsidRPr="006D621B" w:rsidRDefault="006C31B8" w:rsidP="00C80BF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en-US"/>
        </w:rPr>
      </w:pPr>
      <w:r w:rsidRPr="006D621B">
        <w:rPr>
          <w:rFonts w:ascii="Arial" w:hAnsi="Arial" w:cs="Arial"/>
          <w:sz w:val="18"/>
          <w:szCs w:val="18"/>
          <w:lang w:val="en-US"/>
        </w:rPr>
        <w:t>All NHLS standard laboratory forms must include the following information:</w:t>
      </w:r>
    </w:p>
    <w:p w14:paraId="1A6DEC79" w14:textId="77777777" w:rsidR="006C31B8" w:rsidRPr="007172B8" w:rsidRDefault="006C31B8" w:rsidP="002F207F">
      <w:pPr>
        <w:pStyle w:val="BodyText3"/>
        <w:numPr>
          <w:ilvl w:val="0"/>
          <w:numId w:val="4"/>
        </w:numPr>
        <w:ind w:left="567" w:hanging="283"/>
        <w:jc w:val="both"/>
        <w:rPr>
          <w:lang w:val="en-US"/>
        </w:rPr>
      </w:pPr>
      <w:r w:rsidRPr="007172B8">
        <w:rPr>
          <w:lang w:val="en-US"/>
        </w:rPr>
        <w:t>Name and contact details (cellphone number + email address) of requesting healthcare worker.</w:t>
      </w:r>
    </w:p>
    <w:p w14:paraId="06159123" w14:textId="77777777" w:rsidR="00CE728B" w:rsidRPr="006D621B" w:rsidRDefault="00CE728B" w:rsidP="00C80BF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val="en-US"/>
        </w:rPr>
      </w:pPr>
      <w:r w:rsidRPr="006D621B">
        <w:rPr>
          <w:rFonts w:ascii="Arial" w:hAnsi="Arial" w:cs="Arial"/>
          <w:sz w:val="18"/>
          <w:szCs w:val="18"/>
          <w:u w:val="single"/>
          <w:lang w:val="en-US"/>
        </w:rPr>
        <w:t>Genital specimen collection and test requests</w:t>
      </w:r>
      <w:r w:rsidR="0081655A">
        <w:rPr>
          <w:rFonts w:ascii="Arial" w:hAnsi="Arial" w:cs="Arial"/>
          <w:sz w:val="18"/>
          <w:szCs w:val="18"/>
          <w:u w:val="single"/>
          <w:lang w:val="en-US"/>
        </w:rPr>
        <w:t>:</w:t>
      </w:r>
    </w:p>
    <w:p w14:paraId="046DA184" w14:textId="77777777" w:rsidR="005B70CD" w:rsidRPr="002F207F" w:rsidRDefault="006C31B8" w:rsidP="002F207F">
      <w:pPr>
        <w:pStyle w:val="BodyText3"/>
        <w:numPr>
          <w:ilvl w:val="0"/>
          <w:numId w:val="4"/>
        </w:numPr>
        <w:ind w:left="567" w:hanging="283"/>
        <w:jc w:val="both"/>
        <w:rPr>
          <w:lang w:val="en-US"/>
        </w:rPr>
      </w:pPr>
      <w:r w:rsidRPr="002F207F">
        <w:rPr>
          <w:lang w:val="en-US"/>
        </w:rPr>
        <w:t xml:space="preserve">Materials: </w:t>
      </w:r>
      <w:r w:rsidR="00297A75" w:rsidRPr="002F207F">
        <w:rPr>
          <w:lang w:val="en-US"/>
        </w:rPr>
        <w:t xml:space="preserve">Two </w:t>
      </w:r>
      <w:r w:rsidR="005B70CD" w:rsidRPr="002F207F">
        <w:rPr>
          <w:lang w:val="en-US"/>
        </w:rPr>
        <w:t>cotton-tip swabs</w:t>
      </w:r>
      <w:r w:rsidR="00F270CF" w:rsidRPr="002F207F">
        <w:rPr>
          <w:lang w:val="en-US"/>
        </w:rPr>
        <w:t xml:space="preserve"> </w:t>
      </w:r>
      <w:r w:rsidR="005B70CD" w:rsidRPr="002F207F">
        <w:rPr>
          <w:lang w:val="en-US"/>
        </w:rPr>
        <w:t>(plastic shaft); one Dacron swab (wire shaft); glass slide, slide box (all obtained from local NHLS laboratory)</w:t>
      </w:r>
    </w:p>
    <w:p w14:paraId="7CDA0876" w14:textId="77777777" w:rsidR="005B70CD" w:rsidRPr="002F207F" w:rsidRDefault="005B70CD" w:rsidP="002F207F">
      <w:pPr>
        <w:pStyle w:val="BodyText3"/>
        <w:numPr>
          <w:ilvl w:val="0"/>
          <w:numId w:val="4"/>
        </w:numPr>
        <w:ind w:left="567" w:hanging="283"/>
        <w:jc w:val="both"/>
        <w:rPr>
          <w:lang w:val="en-US"/>
        </w:rPr>
      </w:pPr>
      <w:r w:rsidRPr="002F207F">
        <w:rPr>
          <w:lang w:val="en-US"/>
        </w:rPr>
        <w:t>Cotton swab 1:</w:t>
      </w:r>
      <w:r w:rsidR="00F270CF" w:rsidRPr="00F270CF">
        <w:rPr>
          <w:lang w:val="en-US"/>
        </w:rPr>
        <w:t xml:space="preserve"> </w:t>
      </w:r>
      <w:r w:rsidR="00297A75" w:rsidRPr="002F207F">
        <w:rPr>
          <w:lang w:val="en-US"/>
        </w:rPr>
        <w:t>P</w:t>
      </w:r>
      <w:r w:rsidRPr="002F207F">
        <w:rPr>
          <w:lang w:val="en-US"/>
        </w:rPr>
        <w:t>rior to taking specimen, roll a cotton-tip swab across the lesion gently to remove exudates from secondary infection and/ or debris in a way that minimizes bleeding.  Discard cotton swab.</w:t>
      </w:r>
    </w:p>
    <w:p w14:paraId="538389F5" w14:textId="77777777" w:rsidR="005B70CD" w:rsidRPr="002F207F" w:rsidRDefault="005B70CD" w:rsidP="002F207F">
      <w:pPr>
        <w:pStyle w:val="BodyText3"/>
        <w:numPr>
          <w:ilvl w:val="0"/>
          <w:numId w:val="4"/>
        </w:numPr>
        <w:ind w:left="567" w:hanging="283"/>
        <w:jc w:val="both"/>
        <w:rPr>
          <w:lang w:val="en-US"/>
        </w:rPr>
      </w:pPr>
      <w:r w:rsidRPr="002F207F">
        <w:rPr>
          <w:lang w:val="en-US"/>
        </w:rPr>
        <w:t>Cotton swab 2:</w:t>
      </w:r>
      <w:r w:rsidR="00FC796D" w:rsidRPr="002F207F">
        <w:rPr>
          <w:lang w:val="en-US"/>
        </w:rPr>
        <w:t xml:space="preserve"> </w:t>
      </w:r>
      <w:r w:rsidR="00297A75" w:rsidRPr="007172B8">
        <w:rPr>
          <w:lang w:val="en-US"/>
        </w:rPr>
        <w:t>R</w:t>
      </w:r>
      <w:r w:rsidRPr="007172B8">
        <w:rPr>
          <w:lang w:val="en-US"/>
        </w:rPr>
        <w:t xml:space="preserve">oll a second cotton-tip swab over the base of the ulcer, including the ulcer edges.  Make a thin smear by rolling evenly over the </w:t>
      </w:r>
      <w:proofErr w:type="spellStart"/>
      <w:r w:rsidRPr="007172B8">
        <w:rPr>
          <w:lang w:val="en-US"/>
        </w:rPr>
        <w:t>centre</w:t>
      </w:r>
      <w:proofErr w:type="spellEnd"/>
      <w:r w:rsidRPr="007172B8">
        <w:rPr>
          <w:lang w:val="en-US"/>
        </w:rPr>
        <w:t xml:space="preserve"> of a labelled-glass slide to the size of a R2 coin.  Air dry slide and place in slide box.  Discard cotton swab</w:t>
      </w:r>
      <w:r w:rsidRPr="002F207F">
        <w:rPr>
          <w:lang w:val="en-US"/>
        </w:rPr>
        <w:t>.</w:t>
      </w:r>
    </w:p>
    <w:p w14:paraId="785055D7" w14:textId="77777777" w:rsidR="005B70CD" w:rsidRPr="002F207F" w:rsidRDefault="005B70CD" w:rsidP="002F207F">
      <w:pPr>
        <w:pStyle w:val="BodyText3"/>
        <w:numPr>
          <w:ilvl w:val="0"/>
          <w:numId w:val="4"/>
        </w:numPr>
        <w:ind w:left="567" w:hanging="283"/>
        <w:jc w:val="both"/>
        <w:rPr>
          <w:lang w:val="en-US"/>
        </w:rPr>
      </w:pPr>
      <w:r w:rsidRPr="002F207F">
        <w:rPr>
          <w:lang w:val="en-US"/>
        </w:rPr>
        <w:t>Dacron swab:</w:t>
      </w:r>
      <w:r w:rsidR="008E0817" w:rsidRPr="002F207F">
        <w:rPr>
          <w:lang w:val="en-US"/>
        </w:rPr>
        <w:t xml:space="preserve"> </w:t>
      </w:r>
      <w:r w:rsidR="00297A75" w:rsidRPr="007172B8">
        <w:rPr>
          <w:lang w:val="en-US"/>
        </w:rPr>
        <w:t xml:space="preserve">Collect </w:t>
      </w:r>
      <w:r w:rsidRPr="007172B8">
        <w:rPr>
          <w:lang w:val="en-US"/>
        </w:rPr>
        <w:t>material from base of ulcer lesion; place swab in sterile universal container or tube and cut off wire shaft.  Close container.</w:t>
      </w:r>
    </w:p>
    <w:p w14:paraId="3CFA1124" w14:textId="7DDC71F3" w:rsidR="005B70CD" w:rsidRPr="00A60CE9" w:rsidRDefault="005B70CD" w:rsidP="002F207F">
      <w:pPr>
        <w:pStyle w:val="BodyText3"/>
        <w:numPr>
          <w:ilvl w:val="0"/>
          <w:numId w:val="5"/>
        </w:numPr>
        <w:ind w:left="851" w:hanging="284"/>
        <w:jc w:val="both"/>
        <w:rPr>
          <w:spacing w:val="-4"/>
        </w:rPr>
      </w:pPr>
      <w:r w:rsidRPr="00A60CE9">
        <w:rPr>
          <w:i/>
          <w:spacing w:val="-4"/>
        </w:rPr>
        <w:t>Test request:</w:t>
      </w:r>
      <w:r w:rsidR="00297A75" w:rsidRPr="00A60CE9">
        <w:rPr>
          <w:spacing w:val="-4"/>
        </w:rPr>
        <w:t xml:space="preserve"> T</w:t>
      </w:r>
      <w:r w:rsidRPr="00A60CE9">
        <w:rPr>
          <w:spacing w:val="-4"/>
        </w:rPr>
        <w:t>ransport</w:t>
      </w:r>
      <w:r w:rsidR="008E0817" w:rsidRPr="00A60CE9">
        <w:rPr>
          <w:spacing w:val="-4"/>
        </w:rPr>
        <w:t xml:space="preserve"> </w:t>
      </w:r>
      <w:r w:rsidRPr="00A60CE9">
        <w:rPr>
          <w:spacing w:val="-4"/>
        </w:rPr>
        <w:t>glass slide and Dacron swab on ice to NICD STI Reference laboratory as soon as possible for microscopy for Donovanosis and PCR genital ulcer pathogens</w:t>
      </w:r>
      <w:r w:rsidR="00A60CE9" w:rsidRPr="00A60CE9">
        <w:rPr>
          <w:spacing w:val="-4"/>
        </w:rPr>
        <w:t>.</w:t>
      </w:r>
    </w:p>
    <w:p w14:paraId="60706B9E" w14:textId="77777777" w:rsidR="005B70CD" w:rsidRPr="007172B8" w:rsidRDefault="005B70CD" w:rsidP="002F207F">
      <w:pPr>
        <w:pStyle w:val="BodyText3"/>
        <w:numPr>
          <w:ilvl w:val="0"/>
          <w:numId w:val="5"/>
        </w:numPr>
        <w:ind w:left="851" w:hanging="284"/>
        <w:jc w:val="both"/>
        <w:rPr>
          <w:b/>
        </w:rPr>
      </w:pPr>
      <w:r w:rsidRPr="00561A88">
        <w:rPr>
          <w:i/>
        </w:rPr>
        <w:t>Presumptive diagnosis</w:t>
      </w:r>
      <w:r w:rsidRPr="007172B8">
        <w:rPr>
          <w:i/>
        </w:rPr>
        <w:t>:</w:t>
      </w:r>
      <w:r w:rsidRPr="007172B8">
        <w:t xml:space="preserve"> Persistent genital ulcer disease</w:t>
      </w:r>
    </w:p>
    <w:p w14:paraId="53DD688F" w14:textId="36C7E0EB" w:rsidR="001824D8" w:rsidRPr="00D575B5" w:rsidRDefault="001824D8" w:rsidP="00D575B5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2F207F">
        <w:rPr>
          <w:rFonts w:ascii="Arial" w:hAnsi="Arial" w:cs="Arial"/>
          <w:sz w:val="18"/>
          <w:szCs w:val="18"/>
          <w:u w:val="single"/>
        </w:rPr>
        <w:t xml:space="preserve">Venous blood specimen: </w:t>
      </w:r>
      <w:r w:rsidRPr="002F207F">
        <w:rPr>
          <w:rFonts w:ascii="Arial" w:hAnsi="Arial" w:cs="Arial"/>
          <w:sz w:val="18"/>
          <w:szCs w:val="18"/>
        </w:rPr>
        <w:t>5 m</w:t>
      </w:r>
      <w:r w:rsidR="00D575B5" w:rsidRPr="00D575B5">
        <w:rPr>
          <w:rFonts w:ascii="Arial" w:hAnsi="Arial" w:cs="Arial"/>
          <w:sz w:val="18"/>
          <w:szCs w:val="18"/>
        </w:rPr>
        <w:t>L</w:t>
      </w:r>
      <w:r w:rsidRPr="00D575B5">
        <w:rPr>
          <w:rFonts w:ascii="Arial" w:hAnsi="Arial" w:cs="Arial"/>
          <w:sz w:val="18"/>
          <w:szCs w:val="18"/>
        </w:rPr>
        <w:t xml:space="preserve"> in serum separator tube for syphilis serology – send to local NHLS laboratory.</w:t>
      </w:r>
    </w:p>
    <w:p w14:paraId="70011FD2" w14:textId="77777777" w:rsidR="005B70CD" w:rsidRPr="007172B8" w:rsidRDefault="005B70CD" w:rsidP="0017078D">
      <w:pPr>
        <w:pStyle w:val="ep0"/>
      </w:pPr>
    </w:p>
    <w:p w14:paraId="762EAE60" w14:textId="77777777" w:rsidR="006C31B8" w:rsidRPr="007172B8" w:rsidRDefault="006C31B8" w:rsidP="005B70CD">
      <w:pPr>
        <w:rPr>
          <w:b/>
          <w:color w:val="auto"/>
          <w:sz w:val="20"/>
        </w:rPr>
      </w:pPr>
      <w:r w:rsidRPr="007172B8">
        <w:rPr>
          <w:b/>
          <w:color w:val="auto"/>
          <w:sz w:val="20"/>
        </w:rPr>
        <w:t>MEDICINE TREATMENT</w:t>
      </w:r>
    </w:p>
    <w:p w14:paraId="3EF72E8F" w14:textId="77777777" w:rsidR="00EB725A" w:rsidRDefault="005B70CD" w:rsidP="00EB725A">
      <w:pPr>
        <w:jc w:val="both"/>
        <w:rPr>
          <w:color w:val="auto"/>
        </w:rPr>
      </w:pPr>
      <w:r w:rsidRPr="007172B8">
        <w:rPr>
          <w:color w:val="auto"/>
        </w:rPr>
        <w:t>Ask patient to return in two weeks for follow-up of laboratory results and further clinical evaluation.</w:t>
      </w:r>
      <w:r w:rsidR="00281657" w:rsidRPr="007172B8">
        <w:rPr>
          <w:color w:val="auto"/>
        </w:rPr>
        <w:t xml:space="preserve"> Treat accordingly</w:t>
      </w:r>
      <w:r w:rsidR="00CF243F">
        <w:rPr>
          <w:color w:val="auto"/>
        </w:rPr>
        <w:t xml:space="preserve">, but note that syphilis does not require re-treatment if benzathine penicillin was used </w:t>
      </w:r>
      <w:r w:rsidR="000054FB">
        <w:rPr>
          <w:color w:val="auto"/>
        </w:rPr>
        <w:t>to treat GUS</w:t>
      </w:r>
      <w:r w:rsidR="00281657" w:rsidRPr="007172B8">
        <w:rPr>
          <w:color w:val="auto"/>
        </w:rPr>
        <w:t>.</w:t>
      </w:r>
      <w:r w:rsidR="00304653">
        <w:rPr>
          <w:color w:val="auto"/>
        </w:rPr>
        <w:t xml:space="preserve"> </w:t>
      </w:r>
    </w:p>
    <w:p w14:paraId="47DD7111" w14:textId="0D4ECD9B" w:rsidR="00EB725A" w:rsidRDefault="00304653" w:rsidP="00EB725A">
      <w:pPr>
        <w:jc w:val="both"/>
        <w:rPr>
          <w:color w:val="auto"/>
        </w:rPr>
      </w:pPr>
      <w:r>
        <w:rPr>
          <w:color w:val="auto"/>
        </w:rPr>
        <w:t>If the syndromic treatment</w:t>
      </w:r>
      <w:r w:rsidR="00B407D1">
        <w:rPr>
          <w:color w:val="auto"/>
        </w:rPr>
        <w:t xml:space="preserve"> at </w:t>
      </w:r>
      <w:r w:rsidR="0017078D">
        <w:rPr>
          <w:color w:val="auto"/>
        </w:rPr>
        <w:t>PHC</w:t>
      </w:r>
      <w:r>
        <w:rPr>
          <w:color w:val="auto"/>
        </w:rPr>
        <w:t xml:space="preserve"> used doxy</w:t>
      </w:r>
      <w:r w:rsidR="009F15E6">
        <w:rPr>
          <w:color w:val="auto"/>
        </w:rPr>
        <w:t>cycline</w:t>
      </w:r>
      <w:r w:rsidR="00B407D1">
        <w:rPr>
          <w:color w:val="auto"/>
        </w:rPr>
        <w:t xml:space="preserve"> instead of benzathine penicillin and syphilis is detected on PCR</w:t>
      </w:r>
      <w:r w:rsidR="006279B9">
        <w:rPr>
          <w:color w:val="auto"/>
        </w:rPr>
        <w:t>,</w:t>
      </w:r>
      <w:r w:rsidR="00B407D1">
        <w:rPr>
          <w:color w:val="auto"/>
        </w:rPr>
        <w:t xml:space="preserve"> treat with</w:t>
      </w:r>
      <w:r w:rsidR="00EB725A">
        <w:rPr>
          <w:color w:val="auto"/>
        </w:rPr>
        <w:t>:</w:t>
      </w:r>
    </w:p>
    <w:p w14:paraId="7CBE08BC" w14:textId="10A90485" w:rsidR="00EB725A" w:rsidRPr="00EB725A" w:rsidRDefault="00EB725A" w:rsidP="00EB725A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725A">
        <w:rPr>
          <w:rFonts w:ascii="Arial" w:hAnsi="Arial" w:cs="Arial"/>
          <w:sz w:val="18"/>
          <w:szCs w:val="18"/>
        </w:rPr>
        <w:t xml:space="preserve">Benzathine benzylpenicillin, IM, 2.4 MU </w:t>
      </w:r>
      <w:r w:rsidR="0023727E">
        <w:rPr>
          <w:rFonts w:ascii="Arial" w:hAnsi="Arial" w:cs="Arial"/>
          <w:sz w:val="18"/>
          <w:szCs w:val="18"/>
        </w:rPr>
        <w:t>immediately as a single dose.</w:t>
      </w:r>
    </w:p>
    <w:p w14:paraId="4BE1E741" w14:textId="671BAFDA" w:rsidR="00EB725A" w:rsidRPr="00EB725A" w:rsidRDefault="00EB725A" w:rsidP="00EB725A">
      <w:pPr>
        <w:pStyle w:val="ListParagraph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EB725A">
        <w:rPr>
          <w:rFonts w:ascii="Arial" w:hAnsi="Arial" w:cs="Arial"/>
          <w:sz w:val="18"/>
          <w:szCs w:val="18"/>
        </w:rPr>
        <w:t>Dissolve benzathine benzylpenicillin, IM, 2.4 MU in 6 mL lidocaine 1% without adrenaline (epinephrine).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17078D" w:rsidRPr="007172B8" w14:paraId="4DF8862D" w14:textId="77777777" w:rsidTr="004B7D3C">
        <w:tc>
          <w:tcPr>
            <w:tcW w:w="1134" w:type="dxa"/>
            <w:shd w:val="clear" w:color="auto" w:fill="auto"/>
          </w:tcPr>
          <w:p w14:paraId="6AFB83B4" w14:textId="77777777" w:rsidR="0017078D" w:rsidRPr="007172B8" w:rsidRDefault="0017078D" w:rsidP="004B7D3C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>
              <w:rPr>
                <w:rStyle w:val="EndnoteReference"/>
                <w:i/>
                <w:sz w:val="16"/>
              </w:rPr>
              <w:endnoteReference w:id="11"/>
            </w:r>
          </w:p>
        </w:tc>
      </w:tr>
    </w:tbl>
    <w:p w14:paraId="2DE9862A" w14:textId="77777777" w:rsidR="000E1217" w:rsidRPr="007172B8" w:rsidRDefault="000E1217" w:rsidP="005B70CD"/>
    <w:p w14:paraId="44CED473" w14:textId="5CA5B297" w:rsidR="006B2D06" w:rsidRPr="0017078D" w:rsidRDefault="00650D92" w:rsidP="005B70CD">
      <w:pPr>
        <w:rPr>
          <w:b/>
          <w:color w:val="auto"/>
        </w:rPr>
      </w:pPr>
      <w:r w:rsidRPr="0017078D">
        <w:rPr>
          <w:b/>
          <w:color w:val="auto"/>
        </w:rPr>
        <w:t>Recurrent herpes</w:t>
      </w:r>
    </w:p>
    <w:p w14:paraId="29DA9EC1" w14:textId="2CDADB18" w:rsidR="006B2D06" w:rsidRPr="006B2D06" w:rsidRDefault="006B2D06" w:rsidP="00AD06F4">
      <w:pPr>
        <w:widowControl w:val="0"/>
        <w:jc w:val="both"/>
        <w:rPr>
          <w:szCs w:val="18"/>
        </w:rPr>
      </w:pPr>
      <w:r w:rsidRPr="006B2D06">
        <w:rPr>
          <w:szCs w:val="18"/>
        </w:rPr>
        <w:t>For frequent recurrences of herpes simplex (i.e. ≥</w:t>
      </w:r>
      <w:r>
        <w:rPr>
          <w:szCs w:val="18"/>
        </w:rPr>
        <w:t xml:space="preserve">4 </w:t>
      </w:r>
      <w:r w:rsidRPr="006B2D06">
        <w:rPr>
          <w:szCs w:val="18"/>
        </w:rPr>
        <w:t xml:space="preserve">episodes of clinically apparent reactivations per </w:t>
      </w:r>
      <w:r w:rsidR="00D575B5" w:rsidRPr="006B2D06">
        <w:rPr>
          <w:szCs w:val="18"/>
        </w:rPr>
        <w:t>year),</w:t>
      </w:r>
      <w:r w:rsidRPr="006B2D06">
        <w:rPr>
          <w:szCs w:val="18"/>
        </w:rPr>
        <w:t xml:space="preserve"> suppressive antiviral therapy may be </w:t>
      </w:r>
      <w:r w:rsidR="009A677B">
        <w:rPr>
          <w:szCs w:val="18"/>
        </w:rPr>
        <w:t>considered.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6B2D06" w:rsidRPr="007172B8" w14:paraId="4D7B7444" w14:textId="77777777" w:rsidTr="00AF7DDF">
        <w:tc>
          <w:tcPr>
            <w:tcW w:w="1134" w:type="dxa"/>
            <w:shd w:val="clear" w:color="auto" w:fill="auto"/>
          </w:tcPr>
          <w:p w14:paraId="43090E6E" w14:textId="77777777" w:rsidR="006B2D06" w:rsidRPr="007172B8" w:rsidRDefault="006B2D06" w:rsidP="00AF7DDF">
            <w:pPr>
              <w:jc w:val="righ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lastRenderedPageBreak/>
              <w:t>LoE</w:t>
            </w:r>
            <w:proofErr w:type="spellEnd"/>
            <w:r>
              <w:rPr>
                <w:i/>
                <w:sz w:val="16"/>
              </w:rPr>
              <w:t>: I</w:t>
            </w:r>
            <w:r w:rsidRPr="007172B8">
              <w:rPr>
                <w:i/>
                <w:sz w:val="16"/>
              </w:rPr>
              <w:t>I</w:t>
            </w:r>
            <w:r w:rsidRPr="007172B8">
              <w:rPr>
                <w:rStyle w:val="EndnoteReference"/>
                <w:i/>
                <w:sz w:val="16"/>
              </w:rPr>
              <w:endnoteReference w:id="12"/>
            </w:r>
          </w:p>
        </w:tc>
      </w:tr>
    </w:tbl>
    <w:p w14:paraId="347D5D1F" w14:textId="623C092C" w:rsidR="006B2D06" w:rsidRDefault="006B2D06" w:rsidP="00C80BF2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Antiviral</w:t>
      </w:r>
      <w:r w:rsidR="00A23C85">
        <w:rPr>
          <w:rFonts w:ascii="Arial" w:hAnsi="Arial" w:cs="Arial"/>
          <w:sz w:val="18"/>
          <w:szCs w:val="18"/>
        </w:rPr>
        <w:t xml:space="preserve"> (active against </w:t>
      </w:r>
      <w:r>
        <w:rPr>
          <w:rFonts w:ascii="Arial" w:hAnsi="Arial" w:cs="Arial"/>
          <w:sz w:val="18"/>
          <w:szCs w:val="18"/>
        </w:rPr>
        <w:t>herpes simplex</w:t>
      </w:r>
      <w:r w:rsidR="00A23C85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e.g.:</w:t>
      </w:r>
    </w:p>
    <w:p w14:paraId="774F6284" w14:textId="5BB1C279" w:rsidR="006B2D06" w:rsidRDefault="006B2D06" w:rsidP="00C80BF2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Aciclovir</w:t>
      </w:r>
      <w:proofErr w:type="spellEnd"/>
      <w:r>
        <w:rPr>
          <w:rFonts w:ascii="Arial" w:hAnsi="Arial" w:cs="Arial"/>
          <w:sz w:val="18"/>
          <w:szCs w:val="18"/>
        </w:rPr>
        <w:t xml:space="preserve">, oral, </w:t>
      </w:r>
      <w:r w:rsidR="00650D9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00 mg </w:t>
      </w:r>
      <w:r w:rsidR="00650D92">
        <w:rPr>
          <w:rFonts w:ascii="Arial" w:hAnsi="Arial" w:cs="Arial"/>
          <w:sz w:val="18"/>
          <w:szCs w:val="18"/>
        </w:rPr>
        <w:t>12 hourly</w:t>
      </w:r>
      <w:r w:rsidR="009E1F9D">
        <w:rPr>
          <w:rFonts w:ascii="Arial" w:hAnsi="Arial" w:cs="Arial"/>
          <w:sz w:val="18"/>
          <w:szCs w:val="18"/>
        </w:rPr>
        <w:t>.</w:t>
      </w:r>
      <w:r w:rsidR="00650D92">
        <w:rPr>
          <w:rFonts w:ascii="Arial" w:hAnsi="Arial" w:cs="Arial"/>
          <w:sz w:val="18"/>
          <w:szCs w:val="18"/>
        </w:rPr>
        <w:t xml:space="preserve"> </w:t>
      </w:r>
    </w:p>
    <w:p w14:paraId="39F5C8F0" w14:textId="4554E2ED" w:rsidR="00650D92" w:rsidRPr="00650D92" w:rsidRDefault="006B2D06" w:rsidP="00C80BF2">
      <w:pPr>
        <w:pStyle w:val="ListParagraph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Review annually for </w:t>
      </w:r>
      <w:r w:rsidR="00650D92">
        <w:rPr>
          <w:rFonts w:ascii="Arial" w:hAnsi="Arial" w:cs="Arial"/>
          <w:sz w:val="18"/>
          <w:szCs w:val="18"/>
        </w:rPr>
        <w:t xml:space="preserve">ongoing </w:t>
      </w:r>
      <w:r w:rsidR="006D06DF">
        <w:rPr>
          <w:rFonts w:ascii="Arial" w:hAnsi="Arial" w:cs="Arial"/>
          <w:sz w:val="18"/>
          <w:szCs w:val="18"/>
        </w:rPr>
        <w:t>suppressive therapy</w:t>
      </w:r>
      <w:r w:rsidR="00650D92"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9A677B" w:rsidRPr="007172B8" w14:paraId="7762A5DB" w14:textId="77777777" w:rsidTr="00F76D72">
        <w:tc>
          <w:tcPr>
            <w:tcW w:w="1134" w:type="dxa"/>
            <w:shd w:val="clear" w:color="auto" w:fill="auto"/>
          </w:tcPr>
          <w:p w14:paraId="6A1D0C02" w14:textId="5D2CCA8A" w:rsidR="009A677B" w:rsidRPr="007172B8" w:rsidRDefault="009A677B" w:rsidP="00F76D72">
            <w:pPr>
              <w:jc w:val="righ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LoE</w:t>
            </w:r>
            <w:proofErr w:type="spellEnd"/>
            <w:r>
              <w:rPr>
                <w:i/>
                <w:sz w:val="16"/>
              </w:rPr>
              <w:t>: II</w:t>
            </w:r>
            <w:r w:rsidRPr="007172B8">
              <w:rPr>
                <w:i/>
                <w:sz w:val="16"/>
              </w:rPr>
              <w:t>I</w:t>
            </w:r>
            <w:r w:rsidRPr="007172B8">
              <w:rPr>
                <w:rStyle w:val="EndnoteReference"/>
                <w:i/>
                <w:sz w:val="16"/>
              </w:rPr>
              <w:endnoteReference w:id="13"/>
            </w:r>
          </w:p>
        </w:tc>
      </w:tr>
    </w:tbl>
    <w:p w14:paraId="665A4779" w14:textId="71C39131" w:rsidR="006B2D06" w:rsidRDefault="006B2D06" w:rsidP="006B2D06">
      <w:pPr>
        <w:pStyle w:val="ListParagraph"/>
        <w:widowControl w:val="0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2CCC24F" w14:textId="58782B6A" w:rsidR="005B70CD" w:rsidRPr="007172B8" w:rsidRDefault="005B70CD" w:rsidP="005B70CD">
      <w:pPr>
        <w:rPr>
          <w:b/>
          <w:color w:val="auto"/>
          <w:sz w:val="20"/>
        </w:rPr>
      </w:pPr>
      <w:r w:rsidRPr="007172B8">
        <w:rPr>
          <w:b/>
          <w:color w:val="auto"/>
          <w:sz w:val="20"/>
        </w:rPr>
        <w:t>REFERRAL</w:t>
      </w:r>
    </w:p>
    <w:p w14:paraId="344754B9" w14:textId="7443D0B3" w:rsidR="005B70CD" w:rsidRDefault="005B70CD" w:rsidP="008F63A6">
      <w:pPr>
        <w:pStyle w:val="ListParagraph"/>
        <w:widowControl w:val="0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172B8">
        <w:rPr>
          <w:rFonts w:ascii="Arial" w:hAnsi="Arial" w:cs="Arial"/>
          <w:sz w:val="18"/>
          <w:szCs w:val="18"/>
        </w:rPr>
        <w:t>If ulcer PCR results</w:t>
      </w:r>
      <w:r w:rsidR="00E7376F" w:rsidRPr="007172B8">
        <w:rPr>
          <w:rFonts w:ascii="Arial" w:hAnsi="Arial" w:cs="Arial"/>
          <w:sz w:val="18"/>
          <w:szCs w:val="18"/>
        </w:rPr>
        <w:t xml:space="preserve"> for STI pathogens</w:t>
      </w:r>
      <w:r w:rsidRPr="007172B8">
        <w:rPr>
          <w:rFonts w:ascii="Arial" w:hAnsi="Arial" w:cs="Arial"/>
          <w:sz w:val="18"/>
          <w:szCs w:val="18"/>
        </w:rPr>
        <w:t xml:space="preserve"> are inconclusive and genital ulceration persists, refer to </w:t>
      </w:r>
      <w:r w:rsidR="00F15EFC">
        <w:rPr>
          <w:rFonts w:ascii="Arial" w:hAnsi="Arial" w:cs="Arial"/>
          <w:sz w:val="18"/>
          <w:szCs w:val="18"/>
        </w:rPr>
        <w:t xml:space="preserve">specialist </w:t>
      </w:r>
      <w:r w:rsidRPr="007172B8">
        <w:rPr>
          <w:rFonts w:ascii="Arial" w:hAnsi="Arial" w:cs="Arial"/>
          <w:sz w:val="18"/>
          <w:szCs w:val="18"/>
        </w:rPr>
        <w:t>for genital ulcer biopsy and histopathological examination to exclude a non-infectious cause</w:t>
      </w:r>
      <w:r w:rsidR="00E1403F">
        <w:rPr>
          <w:rFonts w:ascii="Arial" w:hAnsi="Arial" w:cs="Arial"/>
          <w:sz w:val="18"/>
          <w:szCs w:val="18"/>
        </w:rPr>
        <w:t>, which includes cancer</w:t>
      </w:r>
      <w:r w:rsidRPr="007172B8">
        <w:rPr>
          <w:rFonts w:ascii="Arial" w:hAnsi="Arial" w:cs="Arial"/>
          <w:sz w:val="18"/>
          <w:szCs w:val="18"/>
        </w:rPr>
        <w:t>.</w:t>
      </w:r>
    </w:p>
    <w:p w14:paraId="71EDDB8E" w14:textId="7740C8B1" w:rsidR="006D06DF" w:rsidRPr="0017078D" w:rsidRDefault="006D06DF" w:rsidP="008F63A6">
      <w:pPr>
        <w:pStyle w:val="ListParagraph"/>
        <w:widowControl w:val="0"/>
        <w:spacing w:after="0" w:line="240" w:lineRule="auto"/>
        <w:ind w:left="0"/>
        <w:jc w:val="both"/>
        <w:rPr>
          <w:rFonts w:ascii="Arial" w:hAnsi="Arial" w:cs="Arial"/>
          <w:sz w:val="16"/>
          <w:szCs w:val="18"/>
        </w:rPr>
      </w:pPr>
    </w:p>
    <w:p w14:paraId="0B601DB9" w14:textId="77777777" w:rsidR="006D06DF" w:rsidRPr="0017078D" w:rsidRDefault="006D06DF" w:rsidP="008F63A6">
      <w:pPr>
        <w:pStyle w:val="ListParagraph"/>
        <w:widowControl w:val="0"/>
        <w:spacing w:after="0" w:line="240" w:lineRule="auto"/>
        <w:ind w:left="0"/>
        <w:jc w:val="both"/>
        <w:rPr>
          <w:rFonts w:ascii="Arial" w:hAnsi="Arial" w:cs="Arial"/>
          <w:sz w:val="16"/>
          <w:szCs w:val="18"/>
        </w:rPr>
      </w:pPr>
    </w:p>
    <w:p w14:paraId="19EC163D" w14:textId="4F9F5D58" w:rsidR="00281657" w:rsidRPr="007172B8" w:rsidRDefault="009A30BE" w:rsidP="002F207F">
      <w:pPr>
        <w:pStyle w:val="Heading1"/>
      </w:pPr>
      <w:r>
        <w:t>2</w:t>
      </w:r>
      <w:r w:rsidR="00487C8F">
        <w:t>5</w:t>
      </w:r>
      <w:r w:rsidR="00281657" w:rsidRPr="007172B8">
        <w:t>.4</w:t>
      </w:r>
      <w:r w:rsidR="00281657" w:rsidRPr="007172B8">
        <w:tab/>
      </w:r>
      <w:r w:rsidR="00FE4279" w:rsidRPr="007172B8">
        <w:rPr>
          <w:color w:val="000000"/>
        </w:rPr>
        <w:t>BUBO</w:t>
      </w:r>
    </w:p>
    <w:p w14:paraId="111DD484" w14:textId="77777777" w:rsidR="00FE4279" w:rsidRPr="007172B8" w:rsidRDefault="00FE4279" w:rsidP="00FE4279">
      <w:pPr>
        <w:rPr>
          <w:sz w:val="16"/>
        </w:rPr>
      </w:pPr>
      <w:r w:rsidRPr="007172B8">
        <w:rPr>
          <w:sz w:val="16"/>
        </w:rPr>
        <w:t>A58</w:t>
      </w:r>
    </w:p>
    <w:p w14:paraId="406E81D4" w14:textId="77777777" w:rsidR="00281657" w:rsidRPr="0017078D" w:rsidRDefault="00281657" w:rsidP="0017078D">
      <w:pPr>
        <w:pStyle w:val="ep0"/>
      </w:pPr>
    </w:p>
    <w:p w14:paraId="6A776C7E" w14:textId="652AA3FD" w:rsidR="00FE4279" w:rsidRPr="0017078D" w:rsidRDefault="00FE4279" w:rsidP="0017078D">
      <w:pPr>
        <w:pStyle w:val="ep0"/>
        <w:rPr>
          <w:spacing w:val="-2"/>
        </w:rPr>
      </w:pPr>
      <w:r w:rsidRPr="0017078D">
        <w:rPr>
          <w:spacing w:val="-2"/>
        </w:rPr>
        <w:t>Buboes that persist despite appropriate syndromic management should be investigated. Referral letter from PHC</w:t>
      </w:r>
      <w:r w:rsidR="008E0817" w:rsidRPr="0017078D">
        <w:rPr>
          <w:spacing w:val="-2"/>
        </w:rPr>
        <w:t xml:space="preserve"> </w:t>
      </w:r>
      <w:r w:rsidRPr="0017078D">
        <w:rPr>
          <w:spacing w:val="-2"/>
        </w:rPr>
        <w:t>should include all relevant information</w:t>
      </w:r>
      <w:r w:rsidR="00297A75" w:rsidRPr="0017078D">
        <w:rPr>
          <w:spacing w:val="-2"/>
        </w:rPr>
        <w:t xml:space="preserve"> (</w:t>
      </w:r>
      <w:r w:rsidR="0017078D" w:rsidRPr="0017078D">
        <w:rPr>
          <w:spacing w:val="-2"/>
        </w:rPr>
        <w:t>i</w:t>
      </w:r>
      <w:r w:rsidR="0017078D">
        <w:rPr>
          <w:spacing w:val="-2"/>
        </w:rPr>
        <w:t>.e.</w:t>
      </w:r>
      <w:r w:rsidR="0017078D" w:rsidRPr="0017078D">
        <w:rPr>
          <w:spacing w:val="-2"/>
        </w:rPr>
        <w:t xml:space="preserve"> </w:t>
      </w:r>
      <w:r w:rsidR="00297A75" w:rsidRPr="0017078D">
        <w:rPr>
          <w:spacing w:val="-2"/>
        </w:rPr>
        <w:t xml:space="preserve">HIV status, treatment </w:t>
      </w:r>
      <w:r w:rsidR="00BC2692" w:rsidRPr="0017078D">
        <w:rPr>
          <w:spacing w:val="-2"/>
        </w:rPr>
        <w:t>history</w:t>
      </w:r>
      <w:r w:rsidR="008E0817" w:rsidRPr="0017078D">
        <w:rPr>
          <w:spacing w:val="-2"/>
        </w:rPr>
        <w:t xml:space="preserve"> </w:t>
      </w:r>
      <w:r w:rsidR="00297A75" w:rsidRPr="0017078D">
        <w:rPr>
          <w:spacing w:val="-2"/>
        </w:rPr>
        <w:t>and partner notification and management)</w:t>
      </w:r>
      <w:r w:rsidRPr="0017078D">
        <w:rPr>
          <w:spacing w:val="-2"/>
        </w:rPr>
        <w:t>.</w:t>
      </w:r>
    </w:p>
    <w:p w14:paraId="028A0CBF" w14:textId="77777777" w:rsidR="00FE4279" w:rsidRPr="0017078D" w:rsidRDefault="00FE4279" w:rsidP="0017078D">
      <w:pPr>
        <w:pStyle w:val="ep0"/>
      </w:pPr>
    </w:p>
    <w:p w14:paraId="0517AF3E" w14:textId="77777777" w:rsidR="00FE4279" w:rsidRPr="007172B8" w:rsidRDefault="00FE4279" w:rsidP="00FE4279">
      <w:pPr>
        <w:pStyle w:val="BodyText3"/>
        <w:jc w:val="both"/>
        <w:rPr>
          <w:rFonts w:cs="Arial"/>
          <w:b/>
          <w:sz w:val="20"/>
        </w:rPr>
      </w:pPr>
      <w:r w:rsidRPr="007172B8">
        <w:rPr>
          <w:rFonts w:cs="Arial"/>
          <w:b/>
          <w:sz w:val="20"/>
        </w:rPr>
        <w:t>INVESTIGATIONS</w:t>
      </w:r>
    </w:p>
    <w:p w14:paraId="78AA854F" w14:textId="77777777" w:rsidR="00A51FEE" w:rsidRPr="006D621B" w:rsidRDefault="00A51FEE" w:rsidP="00C80BF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en-US"/>
        </w:rPr>
      </w:pPr>
      <w:r w:rsidRPr="006D621B">
        <w:rPr>
          <w:rFonts w:ascii="Arial" w:hAnsi="Arial" w:cs="Arial"/>
          <w:sz w:val="18"/>
          <w:szCs w:val="18"/>
          <w:lang w:val="en-US"/>
        </w:rPr>
        <w:t>All NHLS standard laboratory forms must include the following information:</w:t>
      </w:r>
    </w:p>
    <w:p w14:paraId="40C929D7" w14:textId="77777777" w:rsidR="00A51FEE" w:rsidRPr="006D621B" w:rsidRDefault="00A51FEE" w:rsidP="002F207F">
      <w:pPr>
        <w:pStyle w:val="BodyText3"/>
        <w:numPr>
          <w:ilvl w:val="0"/>
          <w:numId w:val="4"/>
        </w:numPr>
        <w:ind w:left="567" w:hanging="283"/>
        <w:jc w:val="both"/>
        <w:rPr>
          <w:rFonts w:cs="Arial"/>
          <w:szCs w:val="18"/>
          <w:u w:val="single"/>
          <w:lang w:val="en-US"/>
        </w:rPr>
      </w:pPr>
      <w:r w:rsidRPr="006D621B">
        <w:rPr>
          <w:rFonts w:cs="Arial"/>
          <w:szCs w:val="18"/>
          <w:lang w:val="en-US"/>
        </w:rPr>
        <w:t>Name and contact details (cellphone number + email address) of requesting healthcare worker.</w:t>
      </w:r>
    </w:p>
    <w:p w14:paraId="0056FB4B" w14:textId="77777777" w:rsidR="00A51FEE" w:rsidRPr="006D621B" w:rsidRDefault="00A51FEE" w:rsidP="00C80BF2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val="en-US"/>
        </w:rPr>
      </w:pPr>
      <w:r w:rsidRPr="006D621B">
        <w:rPr>
          <w:rFonts w:ascii="Arial" w:hAnsi="Arial" w:cs="Arial"/>
          <w:sz w:val="18"/>
          <w:szCs w:val="18"/>
          <w:u w:val="single"/>
          <w:lang w:val="en-US"/>
        </w:rPr>
        <w:t xml:space="preserve">Genital specimen collection and test requests: </w:t>
      </w:r>
    </w:p>
    <w:p w14:paraId="23F32C16" w14:textId="77777777" w:rsidR="00AF3A67" w:rsidRPr="00C20554" w:rsidRDefault="00C20554" w:rsidP="00C20554">
      <w:pPr>
        <w:tabs>
          <w:tab w:val="left" w:pos="284"/>
        </w:tabs>
        <w:ind w:left="284" w:hanging="284"/>
        <w:jc w:val="both"/>
        <w:rPr>
          <w:b/>
          <w:szCs w:val="18"/>
        </w:rPr>
      </w:pPr>
      <w:r>
        <w:rPr>
          <w:i/>
          <w:szCs w:val="18"/>
        </w:rPr>
        <w:tab/>
      </w:r>
      <w:r w:rsidR="00A51FEE" w:rsidRPr="00C20554">
        <w:rPr>
          <w:i/>
          <w:szCs w:val="18"/>
        </w:rPr>
        <w:t xml:space="preserve">Materials: </w:t>
      </w:r>
      <w:r w:rsidR="00297A75" w:rsidRPr="00C20554">
        <w:rPr>
          <w:szCs w:val="18"/>
        </w:rPr>
        <w:t>O</w:t>
      </w:r>
      <w:r w:rsidR="00A51FEE" w:rsidRPr="00C20554">
        <w:rPr>
          <w:szCs w:val="18"/>
        </w:rPr>
        <w:t>ne Dacron swab (wire shaft); 21-gauge sterile needle and syringe; two sterile universal containers or tubes (all obtained from local NHLS laboratory)</w:t>
      </w:r>
      <w:r w:rsidR="006D621B" w:rsidRPr="00C20554">
        <w:rPr>
          <w:szCs w:val="18"/>
        </w:rPr>
        <w:t>.</w:t>
      </w:r>
    </w:p>
    <w:p w14:paraId="42EF188B" w14:textId="3FF84837" w:rsidR="00AF3A67" w:rsidRPr="00A951B1" w:rsidRDefault="00A51FEE" w:rsidP="002F207F">
      <w:pPr>
        <w:pStyle w:val="BodyText3"/>
        <w:numPr>
          <w:ilvl w:val="0"/>
          <w:numId w:val="6"/>
        </w:numPr>
        <w:ind w:left="567" w:hanging="283"/>
        <w:jc w:val="both"/>
        <w:rPr>
          <w:rFonts w:cs="Arial"/>
        </w:rPr>
      </w:pPr>
      <w:r w:rsidRPr="00A951B1">
        <w:rPr>
          <w:rFonts w:cs="Arial"/>
        </w:rPr>
        <w:t xml:space="preserve">If genital ulcer </w:t>
      </w:r>
      <w:r w:rsidR="00BB4576" w:rsidRPr="00A951B1">
        <w:rPr>
          <w:rFonts w:cs="Arial"/>
        </w:rPr>
        <w:t xml:space="preserve">is </w:t>
      </w:r>
      <w:r w:rsidRPr="00A951B1">
        <w:rPr>
          <w:rFonts w:cs="Arial"/>
        </w:rPr>
        <w:t>present:</w:t>
      </w:r>
    </w:p>
    <w:p w14:paraId="698D5879" w14:textId="77777777" w:rsidR="00A51FEE" w:rsidRPr="007172B8" w:rsidRDefault="00A51FEE" w:rsidP="002F207F">
      <w:pPr>
        <w:pStyle w:val="BodyText3"/>
        <w:numPr>
          <w:ilvl w:val="0"/>
          <w:numId w:val="4"/>
        </w:numPr>
        <w:ind w:left="567" w:hanging="283"/>
        <w:jc w:val="both"/>
        <w:rPr>
          <w:u w:val="single"/>
          <w:lang w:val="en-US"/>
        </w:rPr>
      </w:pPr>
      <w:r w:rsidRPr="007172B8">
        <w:rPr>
          <w:u w:val="single"/>
          <w:lang w:val="en-US"/>
        </w:rPr>
        <w:t xml:space="preserve">Dacron swab: </w:t>
      </w:r>
      <w:r w:rsidR="001574DB" w:rsidRPr="007172B8">
        <w:rPr>
          <w:lang w:val="en-US"/>
        </w:rPr>
        <w:t xml:space="preserve">Collect </w:t>
      </w:r>
      <w:r w:rsidRPr="007172B8">
        <w:rPr>
          <w:lang w:val="en-US"/>
        </w:rPr>
        <w:t>material from base of ulcer lesion; place swab in sterile universal container or tube and cut off wire shaft.  Close container.</w:t>
      </w:r>
    </w:p>
    <w:p w14:paraId="6E87FAD6" w14:textId="77777777" w:rsidR="00A51FEE" w:rsidRPr="007172B8" w:rsidRDefault="00A51FEE" w:rsidP="002F207F">
      <w:pPr>
        <w:pStyle w:val="BodyText3"/>
        <w:numPr>
          <w:ilvl w:val="0"/>
          <w:numId w:val="5"/>
        </w:numPr>
        <w:ind w:left="851" w:hanging="284"/>
        <w:jc w:val="both"/>
      </w:pPr>
      <w:r w:rsidRPr="007172B8">
        <w:rPr>
          <w:i/>
        </w:rPr>
        <w:t>Test request:</w:t>
      </w:r>
      <w:r w:rsidR="00561A88">
        <w:rPr>
          <w:i/>
        </w:rPr>
        <w:t xml:space="preserve"> </w:t>
      </w:r>
      <w:r w:rsidR="001574DB" w:rsidRPr="007172B8">
        <w:t>T</w:t>
      </w:r>
      <w:r w:rsidRPr="007172B8">
        <w:t>ransport</w:t>
      </w:r>
      <w:r w:rsidR="00561A88">
        <w:t xml:space="preserve"> </w:t>
      </w:r>
      <w:r w:rsidRPr="007172B8">
        <w:t xml:space="preserve">Dacron swab on ice to NICD STI </w:t>
      </w:r>
      <w:r w:rsidR="001574DB" w:rsidRPr="007172B8">
        <w:t xml:space="preserve">reference </w:t>
      </w:r>
      <w:r w:rsidRPr="007172B8">
        <w:t>laboratory as soon as possible for PCR for chancroid and LGV</w:t>
      </w:r>
      <w:r w:rsidR="001574DB" w:rsidRPr="007172B8">
        <w:t>.</w:t>
      </w:r>
    </w:p>
    <w:p w14:paraId="71AEDE9F" w14:textId="30BD8120" w:rsidR="00AF3A67" w:rsidRPr="00A951B1" w:rsidRDefault="000F2730" w:rsidP="002F207F">
      <w:pPr>
        <w:pStyle w:val="BodyText3"/>
        <w:numPr>
          <w:ilvl w:val="0"/>
          <w:numId w:val="6"/>
        </w:numPr>
        <w:ind w:left="567" w:hanging="283"/>
        <w:jc w:val="both"/>
        <w:rPr>
          <w:szCs w:val="20"/>
        </w:rPr>
      </w:pPr>
      <w:r w:rsidRPr="00A951B1">
        <w:rPr>
          <w:szCs w:val="20"/>
        </w:rPr>
        <w:t xml:space="preserve">If genital ulcer </w:t>
      </w:r>
      <w:r w:rsidR="00BB4576" w:rsidRPr="00A951B1">
        <w:rPr>
          <w:szCs w:val="20"/>
        </w:rPr>
        <w:t xml:space="preserve">is </w:t>
      </w:r>
      <w:r w:rsidRPr="00A951B1">
        <w:rPr>
          <w:szCs w:val="20"/>
        </w:rPr>
        <w:t>absent:</w:t>
      </w:r>
    </w:p>
    <w:p w14:paraId="5C9F75C4" w14:textId="77777777" w:rsidR="00AF3A67" w:rsidRPr="007172B8" w:rsidRDefault="00A84427" w:rsidP="002F207F">
      <w:pPr>
        <w:pStyle w:val="BodyText3"/>
        <w:numPr>
          <w:ilvl w:val="0"/>
          <w:numId w:val="4"/>
        </w:numPr>
        <w:ind w:left="567" w:hanging="283"/>
        <w:jc w:val="both"/>
      </w:pPr>
      <w:r w:rsidRPr="007172B8">
        <w:t>After topical disinfection, insert</w:t>
      </w:r>
      <w:r w:rsidR="006D621B">
        <w:t xml:space="preserve"> </w:t>
      </w:r>
      <w:r w:rsidRPr="007172B8">
        <w:t>21-gauge needle into bubo and aspirate pus into syringe.  Transport pus in two sterile tubes/ containers to laboratory.</w:t>
      </w:r>
    </w:p>
    <w:p w14:paraId="6C75D1B8" w14:textId="7AE6A93D" w:rsidR="00A84427" w:rsidRPr="007172B8" w:rsidRDefault="00A84427" w:rsidP="002F207F">
      <w:pPr>
        <w:pStyle w:val="BodyText3"/>
        <w:numPr>
          <w:ilvl w:val="0"/>
          <w:numId w:val="5"/>
        </w:numPr>
        <w:ind w:left="851" w:hanging="284"/>
        <w:jc w:val="both"/>
      </w:pPr>
      <w:r w:rsidRPr="00561A88">
        <w:rPr>
          <w:i/>
        </w:rPr>
        <w:t>Test request:</w:t>
      </w:r>
      <w:r w:rsidRPr="007172B8">
        <w:t xml:space="preserve"> send one tube on ice to NICD STI </w:t>
      </w:r>
      <w:r w:rsidR="001574DB" w:rsidRPr="007172B8">
        <w:t xml:space="preserve">reference </w:t>
      </w:r>
      <w:r w:rsidRPr="007172B8">
        <w:t xml:space="preserve">laboratory as soon as possible for PCR for chancroid and </w:t>
      </w:r>
      <w:r w:rsidR="006A4D8C" w:rsidRPr="00EB4815">
        <w:t>Lymphogranuloma Venereum</w:t>
      </w:r>
      <w:r w:rsidR="00BB4576">
        <w:t xml:space="preserve"> </w:t>
      </w:r>
      <w:r w:rsidR="009B6EE3">
        <w:t>(</w:t>
      </w:r>
      <w:r w:rsidRPr="007172B8">
        <w:t>LGV</w:t>
      </w:r>
      <w:r w:rsidR="009B6EE3">
        <w:t>)</w:t>
      </w:r>
      <w:r w:rsidR="001574DB" w:rsidRPr="007172B8">
        <w:t>.</w:t>
      </w:r>
    </w:p>
    <w:p w14:paraId="7EFB60CC" w14:textId="77777777" w:rsidR="00A84427" w:rsidRPr="0017078D" w:rsidRDefault="00A84427" w:rsidP="002F207F">
      <w:pPr>
        <w:pStyle w:val="BodyText3"/>
        <w:numPr>
          <w:ilvl w:val="0"/>
          <w:numId w:val="5"/>
        </w:numPr>
        <w:ind w:left="851" w:hanging="284"/>
        <w:jc w:val="both"/>
        <w:rPr>
          <w:spacing w:val="-2"/>
        </w:rPr>
      </w:pPr>
      <w:r w:rsidRPr="0017078D">
        <w:rPr>
          <w:i/>
          <w:spacing w:val="-2"/>
        </w:rPr>
        <w:t>Test request:</w:t>
      </w:r>
      <w:r w:rsidRPr="0017078D">
        <w:rPr>
          <w:spacing w:val="-2"/>
        </w:rPr>
        <w:t xml:space="preserve"> send one tube to local NHLS laboratory for bacterial M/C/S.</w:t>
      </w:r>
    </w:p>
    <w:p w14:paraId="0CBD741D" w14:textId="77777777" w:rsidR="00AF3A67" w:rsidRPr="007172B8" w:rsidRDefault="00A51FEE" w:rsidP="002F207F">
      <w:pPr>
        <w:pStyle w:val="BodyText3"/>
        <w:numPr>
          <w:ilvl w:val="0"/>
          <w:numId w:val="4"/>
        </w:numPr>
        <w:ind w:left="567" w:hanging="283"/>
        <w:jc w:val="both"/>
      </w:pPr>
      <w:r w:rsidRPr="007172B8">
        <w:rPr>
          <w:i/>
          <w:u w:val="single"/>
        </w:rPr>
        <w:t>Presumptive diagnosis</w:t>
      </w:r>
      <w:r w:rsidRPr="007172B8">
        <w:rPr>
          <w:i/>
        </w:rPr>
        <w:t>:</w:t>
      </w:r>
      <w:r w:rsidRPr="007172B8">
        <w:t xml:space="preserve"> Persistent bubo unresponsive to syndromic management</w:t>
      </w:r>
      <w:r w:rsidR="001574DB" w:rsidRPr="007172B8">
        <w:t>.</w:t>
      </w:r>
    </w:p>
    <w:p w14:paraId="5B1C35B4" w14:textId="77777777" w:rsidR="00FE4279" w:rsidRPr="007172B8" w:rsidRDefault="00FE4279" w:rsidP="0017078D">
      <w:pPr>
        <w:pStyle w:val="ep0"/>
      </w:pPr>
    </w:p>
    <w:p w14:paraId="64452AEE" w14:textId="77777777" w:rsidR="001574DB" w:rsidRPr="006D621B" w:rsidRDefault="001574DB" w:rsidP="001574DB">
      <w:pPr>
        <w:rPr>
          <w:b/>
          <w:color w:val="auto"/>
          <w:sz w:val="20"/>
        </w:rPr>
      </w:pPr>
      <w:r w:rsidRPr="006D621B">
        <w:rPr>
          <w:b/>
          <w:color w:val="auto"/>
          <w:sz w:val="20"/>
        </w:rPr>
        <w:t>MEDICINE TREATMENT</w:t>
      </w:r>
    </w:p>
    <w:p w14:paraId="4C8CE5EB" w14:textId="2FCCDFD9" w:rsidR="00907B4F" w:rsidRPr="006D621B" w:rsidRDefault="00487C8F" w:rsidP="00C80BF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6D621B">
        <w:rPr>
          <w:rFonts w:ascii="Arial" w:hAnsi="Arial" w:cs="Arial"/>
          <w:sz w:val="18"/>
          <w:szCs w:val="18"/>
        </w:rPr>
        <w:t>Doxycycline</w:t>
      </w:r>
      <w:r w:rsidR="00F606A0" w:rsidRPr="006D621B">
        <w:rPr>
          <w:rFonts w:ascii="Arial" w:hAnsi="Arial" w:cs="Arial"/>
          <w:sz w:val="18"/>
          <w:szCs w:val="18"/>
        </w:rPr>
        <w:t xml:space="preserve"> 100 mg</w:t>
      </w:r>
      <w:r w:rsidR="001574DB" w:rsidRPr="006D621B">
        <w:rPr>
          <w:rFonts w:ascii="Arial" w:hAnsi="Arial" w:cs="Arial"/>
          <w:sz w:val="18"/>
          <w:szCs w:val="18"/>
        </w:rPr>
        <w:t>, oral</w:t>
      </w:r>
      <w:r w:rsidR="00F606A0" w:rsidRPr="006D621B">
        <w:rPr>
          <w:rFonts w:ascii="Arial" w:hAnsi="Arial" w:cs="Arial"/>
          <w:sz w:val="18"/>
          <w:szCs w:val="18"/>
        </w:rPr>
        <w:t xml:space="preserve"> 12 hourly </w:t>
      </w:r>
      <w:r w:rsidR="001574DB" w:rsidRPr="006D621B">
        <w:rPr>
          <w:rFonts w:ascii="Arial" w:hAnsi="Arial" w:cs="Arial"/>
          <w:sz w:val="18"/>
          <w:szCs w:val="18"/>
        </w:rPr>
        <w:t>for 21 days.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907B4F" w:rsidRPr="007172B8" w14:paraId="1B48A631" w14:textId="77777777" w:rsidTr="00D83539">
        <w:tc>
          <w:tcPr>
            <w:tcW w:w="1134" w:type="dxa"/>
            <w:shd w:val="clear" w:color="auto" w:fill="auto"/>
          </w:tcPr>
          <w:p w14:paraId="545D5311" w14:textId="77777777" w:rsidR="00907B4F" w:rsidRPr="007172B8" w:rsidRDefault="00907B4F" w:rsidP="00831FDB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 w:rsidR="00831FDB">
              <w:rPr>
                <w:rStyle w:val="EndnoteReference"/>
                <w:i/>
                <w:sz w:val="16"/>
              </w:rPr>
              <w:endnoteReference w:id="14"/>
            </w:r>
          </w:p>
        </w:tc>
      </w:tr>
    </w:tbl>
    <w:p w14:paraId="4D1C78AC" w14:textId="77777777" w:rsidR="00FE4279" w:rsidRPr="007172B8" w:rsidRDefault="00FE4279" w:rsidP="0017078D">
      <w:pPr>
        <w:pStyle w:val="ep0"/>
      </w:pPr>
    </w:p>
    <w:p w14:paraId="584E3447" w14:textId="27FB8724" w:rsidR="00561A88" w:rsidRDefault="001574DB" w:rsidP="0017078D">
      <w:pPr>
        <w:pStyle w:val="ep0"/>
      </w:pPr>
      <w:r w:rsidRPr="007172B8">
        <w:rPr>
          <w:b/>
        </w:rPr>
        <w:lastRenderedPageBreak/>
        <w:t>Note:</w:t>
      </w:r>
      <w:r w:rsidRPr="007172B8">
        <w:t xml:space="preserve"> F</w:t>
      </w:r>
      <w:r w:rsidR="00F606A0" w:rsidRPr="007172B8">
        <w:t>ollow</w:t>
      </w:r>
      <w:r w:rsidR="00670BD4" w:rsidRPr="007172B8">
        <w:t>-</w:t>
      </w:r>
      <w:r w:rsidR="00F606A0" w:rsidRPr="007172B8">
        <w:t xml:space="preserve">up until there is </w:t>
      </w:r>
      <w:r w:rsidRPr="007172B8">
        <w:t>c</w:t>
      </w:r>
      <w:r w:rsidR="00F606A0" w:rsidRPr="007172B8">
        <w:t>omplete resolution of symptoms</w:t>
      </w:r>
      <w:r w:rsidRPr="007172B8">
        <w:t>.</w:t>
      </w:r>
      <w:r w:rsidR="006D621B">
        <w:t xml:space="preserve"> </w:t>
      </w:r>
      <w:r w:rsidR="004A38F0" w:rsidRPr="007172B8">
        <w:t>F</w:t>
      </w:r>
      <w:r w:rsidR="00670BD4" w:rsidRPr="007172B8">
        <w:t>luctuant buboes may require frequent needle aspiration to prevent rupture – review every 72 hours, as necessary.</w:t>
      </w:r>
      <w:r w:rsidR="004A38F0" w:rsidRPr="007172B8">
        <w:t xml:space="preserve">  </w:t>
      </w:r>
    </w:p>
    <w:p w14:paraId="777C3B74" w14:textId="77777777" w:rsidR="0017078D" w:rsidRPr="0017078D" w:rsidRDefault="0017078D" w:rsidP="0017078D">
      <w:pPr>
        <w:pStyle w:val="ep0"/>
        <w:rPr>
          <w:sz w:val="10"/>
        </w:rPr>
      </w:pPr>
    </w:p>
    <w:p w14:paraId="58802F45" w14:textId="59D18EC8" w:rsidR="00B45AE5" w:rsidRPr="008C07BA" w:rsidRDefault="00B45AE5" w:rsidP="0017078D">
      <w:pPr>
        <w:pStyle w:val="ep0"/>
        <w:rPr>
          <w:u w:val="single"/>
        </w:rPr>
      </w:pPr>
      <w:r w:rsidRPr="008C07BA">
        <w:rPr>
          <w:u w:val="single"/>
        </w:rPr>
        <w:t>For laboratory-confirmed</w:t>
      </w:r>
      <w:r w:rsidR="00647194" w:rsidRPr="008C07BA">
        <w:rPr>
          <w:u w:val="single"/>
        </w:rPr>
        <w:t xml:space="preserve"> </w:t>
      </w:r>
      <w:r w:rsidR="004A38F0" w:rsidRPr="008C07BA">
        <w:rPr>
          <w:u w:val="single"/>
        </w:rPr>
        <w:t>diagnosis of LGV</w:t>
      </w:r>
      <w:r w:rsidRPr="008C07BA">
        <w:rPr>
          <w:u w:val="single"/>
        </w:rPr>
        <w:t>:</w:t>
      </w:r>
    </w:p>
    <w:p w14:paraId="4B3860CF" w14:textId="57733CDB" w:rsidR="00561A88" w:rsidRPr="00B45AE5" w:rsidRDefault="00B45AE5" w:rsidP="00B45AE5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45AE5">
        <w:rPr>
          <w:rFonts w:ascii="Arial" w:hAnsi="Arial" w:cs="Arial"/>
          <w:sz w:val="18"/>
          <w:szCs w:val="18"/>
        </w:rPr>
        <w:t>D</w:t>
      </w:r>
      <w:r w:rsidR="004A38F0" w:rsidRPr="00B45AE5">
        <w:rPr>
          <w:rFonts w:ascii="Arial" w:hAnsi="Arial" w:cs="Arial"/>
          <w:sz w:val="18"/>
          <w:szCs w:val="18"/>
        </w:rPr>
        <w:t>oxycycline</w:t>
      </w:r>
      <w:r w:rsidRPr="00B45AE5">
        <w:rPr>
          <w:rFonts w:ascii="Arial" w:hAnsi="Arial" w:cs="Arial"/>
          <w:sz w:val="18"/>
          <w:szCs w:val="18"/>
        </w:rPr>
        <w:t xml:space="preserve"> 100 mg</w:t>
      </w:r>
      <w:r>
        <w:rPr>
          <w:rFonts w:ascii="Arial" w:hAnsi="Arial" w:cs="Arial"/>
          <w:sz w:val="18"/>
          <w:szCs w:val="18"/>
        </w:rPr>
        <w:t>,</w:t>
      </w:r>
      <w:r w:rsidRPr="00B45AE5">
        <w:rPr>
          <w:rFonts w:ascii="Arial" w:hAnsi="Arial" w:cs="Arial"/>
          <w:sz w:val="18"/>
          <w:szCs w:val="18"/>
        </w:rPr>
        <w:t xml:space="preserve"> oral 12 hourly for more than 21 days</w:t>
      </w:r>
      <w:r w:rsidR="004A38F0" w:rsidRPr="00B45AE5">
        <w:rPr>
          <w:rFonts w:ascii="Arial" w:hAnsi="Arial" w:cs="Arial"/>
          <w:sz w:val="18"/>
          <w:szCs w:val="18"/>
        </w:rPr>
        <w:t xml:space="preserve"> may be </w:t>
      </w:r>
      <w:r>
        <w:rPr>
          <w:rFonts w:ascii="Arial" w:hAnsi="Arial" w:cs="Arial"/>
          <w:sz w:val="18"/>
          <w:szCs w:val="18"/>
        </w:rPr>
        <w:t xml:space="preserve">required </w:t>
      </w:r>
      <w:r w:rsidR="004A38F0" w:rsidRPr="00B45AE5">
        <w:rPr>
          <w:rFonts w:ascii="Arial" w:hAnsi="Arial" w:cs="Arial"/>
          <w:sz w:val="18"/>
          <w:szCs w:val="18"/>
        </w:rPr>
        <w:t>for complete resolution of disease</w:t>
      </w:r>
      <w:r w:rsidR="00561A88" w:rsidRPr="00B45AE5"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6A4D8C" w:rsidRPr="007172B8" w14:paraId="4A054246" w14:textId="77777777" w:rsidTr="000D3C3F">
        <w:tc>
          <w:tcPr>
            <w:tcW w:w="1134" w:type="dxa"/>
            <w:shd w:val="clear" w:color="auto" w:fill="auto"/>
          </w:tcPr>
          <w:p w14:paraId="4CE6B6F2" w14:textId="77777777" w:rsidR="006A4D8C" w:rsidRPr="007172B8" w:rsidRDefault="006A4D8C" w:rsidP="000D3C3F">
            <w:pPr>
              <w:jc w:val="right"/>
              <w:rPr>
                <w:i/>
                <w:sz w:val="16"/>
              </w:rPr>
            </w:pPr>
            <w:proofErr w:type="spellStart"/>
            <w:r w:rsidRPr="007172B8">
              <w:rPr>
                <w:i/>
                <w:sz w:val="16"/>
              </w:rPr>
              <w:t>LoE</w:t>
            </w:r>
            <w:proofErr w:type="spellEnd"/>
            <w:r w:rsidRPr="007172B8">
              <w:rPr>
                <w:i/>
                <w:sz w:val="16"/>
              </w:rPr>
              <w:t>: III</w:t>
            </w:r>
            <w:r>
              <w:rPr>
                <w:rStyle w:val="EndnoteReference"/>
                <w:i/>
                <w:sz w:val="16"/>
              </w:rPr>
              <w:endnoteReference w:id="15"/>
            </w:r>
          </w:p>
        </w:tc>
      </w:tr>
    </w:tbl>
    <w:p w14:paraId="46CC4189" w14:textId="7F563835" w:rsidR="001A1D85" w:rsidRDefault="001A1D85" w:rsidP="0017078D">
      <w:pPr>
        <w:pStyle w:val="ep0"/>
      </w:pPr>
    </w:p>
    <w:p w14:paraId="29B73381" w14:textId="50DF0913" w:rsidR="00C80BF2" w:rsidRDefault="00C80BF2" w:rsidP="0017078D">
      <w:pPr>
        <w:pStyle w:val="ep0"/>
      </w:pPr>
    </w:p>
    <w:p w14:paraId="176BF220" w14:textId="77777777" w:rsidR="00C80BF2" w:rsidRDefault="00C80BF2" w:rsidP="0017078D">
      <w:pPr>
        <w:pStyle w:val="ep0"/>
      </w:pPr>
    </w:p>
    <w:sectPr w:rsidR="00C80BF2" w:rsidSect="0031672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8392" w:h="11907" w:code="11"/>
      <w:pgMar w:top="709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6217" w14:textId="77777777" w:rsidR="00F73A1D" w:rsidRPr="00831FDB" w:rsidRDefault="00F73A1D" w:rsidP="00112BA8">
      <w:pPr>
        <w:pStyle w:val="Footer"/>
        <w:rPr>
          <w:b/>
          <w:sz w:val="12"/>
          <w:szCs w:val="12"/>
        </w:rPr>
      </w:pPr>
      <w:r w:rsidRPr="00831FDB">
        <w:rPr>
          <w:b/>
          <w:sz w:val="12"/>
          <w:szCs w:val="12"/>
        </w:rPr>
        <w:t>References:</w:t>
      </w:r>
    </w:p>
  </w:endnote>
  <w:endnote w:type="continuationSeparator" w:id="0">
    <w:p w14:paraId="3D53EF9D" w14:textId="77777777" w:rsidR="00F73A1D" w:rsidRDefault="00F73A1D"/>
  </w:endnote>
  <w:endnote w:type="continuationNotice" w:id="1">
    <w:p w14:paraId="4B585D0F" w14:textId="77777777" w:rsidR="00F73A1D" w:rsidRPr="00112BA8" w:rsidRDefault="00F73A1D" w:rsidP="00112BA8">
      <w:pPr>
        <w:pStyle w:val="Footer"/>
      </w:pPr>
    </w:p>
  </w:endnote>
  <w:endnote w:id="2">
    <w:p w14:paraId="5C8B3AB2" w14:textId="77777777" w:rsidR="001574DB" w:rsidRDefault="00E12048" w:rsidP="000672C2">
      <w:pPr>
        <w:pStyle w:val="EndnoteText"/>
        <w:tabs>
          <w:tab w:val="left" w:pos="142"/>
        </w:tabs>
        <w:rPr>
          <w:rFonts w:ascii="Arial" w:hAnsi="Arial" w:cs="Arial"/>
          <w:sz w:val="12"/>
          <w:szCs w:val="12"/>
        </w:rPr>
      </w:pPr>
      <w:r w:rsidRPr="001574DB">
        <w:rPr>
          <w:rStyle w:val="EndnoteReference"/>
          <w:rFonts w:ascii="Arial" w:hAnsi="Arial" w:cs="Arial"/>
          <w:sz w:val="12"/>
          <w:szCs w:val="12"/>
        </w:rPr>
        <w:endnoteRef/>
      </w:r>
      <w:r w:rsidR="00F05A67">
        <w:rPr>
          <w:rFonts w:ascii="Arial" w:hAnsi="Arial" w:cs="Arial"/>
          <w:sz w:val="12"/>
          <w:szCs w:val="12"/>
        </w:rPr>
        <w:tab/>
        <w:t xml:space="preserve">Ceftriaxone (1000mg - MUS): </w:t>
      </w:r>
      <w:r w:rsidR="000672C2" w:rsidRPr="000672C2">
        <w:rPr>
          <w:rFonts w:ascii="Arial" w:hAnsi="Arial" w:cs="Arial"/>
          <w:sz w:val="12"/>
          <w:szCs w:val="12"/>
        </w:rPr>
        <w:t>Fifer H, Natarajan U, Jones L, Alexander S, Hughes G, Golparian D, Unemo M. Failure of Dual Antimicrobial Therapy in Treatment of Gonorrhea. NEJM 2016. 374;25: 2504-2506.</w:t>
      </w:r>
    </w:p>
    <w:p w14:paraId="6457A996" w14:textId="77777777" w:rsidR="00F05A67" w:rsidRPr="00F05A67" w:rsidRDefault="00F05A67" w:rsidP="00F05A67">
      <w:pPr>
        <w:pStyle w:val="EndnoteText"/>
        <w:tabs>
          <w:tab w:val="left" w:pos="142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 xml:space="preserve">Ceftriaxone (1000mg - MUS): </w:t>
      </w:r>
      <w:r w:rsidRPr="00F05A67">
        <w:rPr>
          <w:rFonts w:ascii="Arial" w:hAnsi="Arial" w:cs="Arial"/>
          <w:sz w:val="12"/>
          <w:szCs w:val="12"/>
        </w:rPr>
        <w:t>Bignell C, Unemo M; European STI Guidelines Editorial Board. 2012 European</w:t>
      </w:r>
    </w:p>
    <w:p w14:paraId="1211C10D" w14:textId="77777777" w:rsidR="00F05A67" w:rsidRPr="001574DB" w:rsidRDefault="00F05A67" w:rsidP="00F05A67">
      <w:pPr>
        <w:pStyle w:val="EndnoteText"/>
        <w:tabs>
          <w:tab w:val="left" w:pos="142"/>
        </w:tabs>
        <w:rPr>
          <w:rFonts w:ascii="Arial" w:hAnsi="Arial" w:cs="Arial"/>
          <w:sz w:val="12"/>
          <w:szCs w:val="12"/>
        </w:rPr>
      </w:pPr>
      <w:r w:rsidRPr="00F05A67">
        <w:rPr>
          <w:rFonts w:ascii="Arial" w:hAnsi="Arial" w:cs="Arial"/>
          <w:sz w:val="12"/>
          <w:szCs w:val="12"/>
        </w:rPr>
        <w:t>guideline on the diagnosis and treatment of gonorr</w:t>
      </w:r>
      <w:r w:rsidR="00D35218">
        <w:rPr>
          <w:rFonts w:ascii="Arial" w:hAnsi="Arial" w:cs="Arial"/>
          <w:sz w:val="12"/>
          <w:szCs w:val="12"/>
        </w:rPr>
        <w:t>hoea in adults. Int J STD AIDS.</w:t>
      </w:r>
      <w:r w:rsidRPr="00F05A67">
        <w:rPr>
          <w:rFonts w:ascii="Arial" w:hAnsi="Arial" w:cs="Arial"/>
          <w:sz w:val="12"/>
          <w:szCs w:val="12"/>
        </w:rPr>
        <w:t>2013 Feb;24(2):85-92.</w:t>
      </w:r>
      <w:r w:rsidR="00D35218">
        <w:rPr>
          <w:rFonts w:ascii="Arial" w:hAnsi="Arial" w:cs="Arial"/>
          <w:sz w:val="12"/>
          <w:szCs w:val="12"/>
        </w:rPr>
        <w:t xml:space="preserve"> </w:t>
      </w:r>
      <w:hyperlink r:id="rId1" w:history="1">
        <w:r w:rsidR="00D35218" w:rsidRPr="00D35218">
          <w:rPr>
            <w:rStyle w:val="Hyperlink"/>
            <w:rFonts w:ascii="Arial" w:hAnsi="Arial" w:cs="Arial"/>
            <w:sz w:val="12"/>
            <w:szCs w:val="12"/>
          </w:rPr>
          <w:t>https://www.ncbi.nlm.nih.gov/pubmed/24400344</w:t>
        </w:r>
      </w:hyperlink>
    </w:p>
  </w:endnote>
  <w:endnote w:id="3">
    <w:p w14:paraId="4E27D63B" w14:textId="77777777" w:rsidR="001522C2" w:rsidRPr="008208C1" w:rsidRDefault="001522C2" w:rsidP="001522C2">
      <w:pPr>
        <w:pStyle w:val="EndnoteText"/>
        <w:rPr>
          <w:rFonts w:ascii="Arial" w:hAnsi="Arial" w:cs="Arial"/>
          <w:sz w:val="12"/>
          <w:szCs w:val="12"/>
        </w:rPr>
      </w:pPr>
      <w:r w:rsidRPr="008208C1">
        <w:rPr>
          <w:rStyle w:val="EndnoteReference"/>
          <w:rFonts w:ascii="Arial" w:hAnsi="Arial" w:cs="Arial"/>
          <w:sz w:val="12"/>
          <w:szCs w:val="12"/>
        </w:rPr>
        <w:endnoteRef/>
      </w:r>
      <w:r>
        <w:rPr>
          <w:rFonts w:ascii="Arial" w:hAnsi="Arial" w:cs="Arial"/>
          <w:sz w:val="12"/>
          <w:szCs w:val="12"/>
        </w:rPr>
        <w:t>Lidocaine 1</w:t>
      </w:r>
      <w:r>
        <w:rPr>
          <w:rFonts w:ascii="Arial" w:hAnsi="Arial" w:cs="Arial"/>
          <w:sz w:val="12"/>
          <w:szCs w:val="12"/>
        </w:rPr>
        <w:t>%:</w:t>
      </w:r>
      <w:r w:rsidRPr="001522C2">
        <w:rPr>
          <w:rFonts w:ascii="Arial" w:hAnsi="Arial" w:cs="Arial"/>
          <w:sz w:val="12"/>
          <w:szCs w:val="12"/>
        </w:rPr>
        <w:t xml:space="preserve">MCC registered package inserts of </w:t>
      </w:r>
      <w:r w:rsidRPr="001522C2">
        <w:rPr>
          <w:rFonts w:ascii="Arial" w:hAnsi="Arial" w:cs="Arial"/>
          <w:sz w:val="12"/>
          <w:szCs w:val="12"/>
        </w:rPr>
        <w:t>Kocef® 250 mg, 500 mg, 1 g; Rociject® 500 mg, 1 g; Oframax® 250 mg, 1 g</w:t>
      </w:r>
      <w:r>
        <w:rPr>
          <w:rFonts w:ascii="Arial" w:hAnsi="Arial" w:cs="Arial"/>
          <w:sz w:val="12"/>
          <w:szCs w:val="12"/>
        </w:rPr>
        <w:t>.</w:t>
      </w:r>
    </w:p>
  </w:endnote>
  <w:endnote w:id="4">
    <w:p w14:paraId="69526C59" w14:textId="77777777" w:rsidR="00D35218" w:rsidRPr="00F05A67" w:rsidRDefault="00D35218" w:rsidP="00D35218">
      <w:pPr>
        <w:pStyle w:val="EndnoteText"/>
        <w:tabs>
          <w:tab w:val="left" w:pos="142"/>
        </w:tabs>
        <w:rPr>
          <w:rFonts w:ascii="Arial" w:hAnsi="Arial" w:cs="Arial"/>
          <w:sz w:val="12"/>
          <w:szCs w:val="12"/>
        </w:rPr>
      </w:pPr>
      <w:r w:rsidRPr="008208C1">
        <w:rPr>
          <w:rStyle w:val="EndnoteReference"/>
          <w:rFonts w:ascii="Arial" w:hAnsi="Arial" w:cs="Arial"/>
          <w:sz w:val="12"/>
          <w:szCs w:val="12"/>
        </w:rPr>
        <w:endnoteRef/>
      </w:r>
      <w:r>
        <w:rPr>
          <w:rFonts w:ascii="Arial" w:hAnsi="Arial" w:cs="Arial"/>
          <w:sz w:val="12"/>
          <w:szCs w:val="12"/>
        </w:rPr>
        <w:tab/>
        <w:t xml:space="preserve">Azithromycin (2000mg - MUS): </w:t>
      </w:r>
      <w:r w:rsidRPr="00F05A67">
        <w:rPr>
          <w:rFonts w:ascii="Arial" w:hAnsi="Arial" w:cs="Arial"/>
          <w:sz w:val="12"/>
          <w:szCs w:val="12"/>
        </w:rPr>
        <w:t xml:space="preserve">Bignell C, </w:t>
      </w:r>
      <w:r w:rsidRPr="00F05A67">
        <w:rPr>
          <w:rFonts w:ascii="Arial" w:hAnsi="Arial" w:cs="Arial"/>
          <w:sz w:val="12"/>
          <w:szCs w:val="12"/>
        </w:rPr>
        <w:t>Unemo M; European STI Guidelines Editorial Board. 2012 European</w:t>
      </w:r>
    </w:p>
    <w:p w14:paraId="1A138726" w14:textId="77777777" w:rsidR="00D35218" w:rsidRPr="008208C1" w:rsidRDefault="00D35218" w:rsidP="00D35218">
      <w:pPr>
        <w:pStyle w:val="EndnoteText"/>
        <w:rPr>
          <w:rFonts w:ascii="Arial" w:hAnsi="Arial" w:cs="Arial"/>
          <w:sz w:val="12"/>
          <w:szCs w:val="12"/>
        </w:rPr>
      </w:pPr>
      <w:r w:rsidRPr="00F05A67">
        <w:rPr>
          <w:rFonts w:ascii="Arial" w:hAnsi="Arial" w:cs="Arial"/>
          <w:sz w:val="12"/>
          <w:szCs w:val="12"/>
        </w:rPr>
        <w:t>guideline on the diagnosis and treatment of gonorr</w:t>
      </w:r>
      <w:r>
        <w:rPr>
          <w:rFonts w:ascii="Arial" w:hAnsi="Arial" w:cs="Arial"/>
          <w:sz w:val="12"/>
          <w:szCs w:val="12"/>
        </w:rPr>
        <w:t>hoea in adults. Int J STD AIDS.</w:t>
      </w:r>
      <w:r w:rsidRPr="00F05A67">
        <w:rPr>
          <w:rFonts w:ascii="Arial" w:hAnsi="Arial" w:cs="Arial"/>
          <w:sz w:val="12"/>
          <w:szCs w:val="12"/>
        </w:rPr>
        <w:t>2013 Feb;24(2):85-92.</w:t>
      </w:r>
      <w:r>
        <w:rPr>
          <w:rFonts w:ascii="Arial" w:hAnsi="Arial" w:cs="Arial"/>
          <w:sz w:val="12"/>
          <w:szCs w:val="12"/>
        </w:rPr>
        <w:t xml:space="preserve"> </w:t>
      </w:r>
      <w:hyperlink r:id="rId2" w:history="1">
        <w:r w:rsidRPr="00D35218">
          <w:rPr>
            <w:rStyle w:val="Hyperlink"/>
            <w:rFonts w:ascii="Arial" w:hAnsi="Arial" w:cs="Arial"/>
            <w:sz w:val="12"/>
            <w:szCs w:val="12"/>
          </w:rPr>
          <w:t>https://www.ncbi.nlm.nih.gov/pubmed/24400344</w:t>
        </w:r>
      </w:hyperlink>
    </w:p>
  </w:endnote>
  <w:endnote w:id="5">
    <w:p w14:paraId="7A347718" w14:textId="77777777" w:rsidR="00E12048" w:rsidRPr="008208C1" w:rsidRDefault="00E12048" w:rsidP="00E12048">
      <w:pPr>
        <w:pStyle w:val="EndnoteText"/>
        <w:rPr>
          <w:rFonts w:ascii="Arial" w:hAnsi="Arial" w:cs="Arial"/>
          <w:sz w:val="12"/>
          <w:szCs w:val="12"/>
        </w:rPr>
      </w:pPr>
      <w:r w:rsidRPr="008208C1">
        <w:rPr>
          <w:rStyle w:val="EndnoteReference"/>
          <w:rFonts w:ascii="Arial" w:hAnsi="Arial" w:cs="Arial"/>
          <w:sz w:val="12"/>
          <w:szCs w:val="12"/>
        </w:rPr>
        <w:endnoteRef/>
      </w:r>
      <w:r>
        <w:rPr>
          <w:rFonts w:ascii="Arial" w:hAnsi="Arial" w:cs="Arial"/>
          <w:sz w:val="12"/>
          <w:szCs w:val="12"/>
        </w:rPr>
        <w:t>Gentamicin, IM + azithromycin, oral</w:t>
      </w:r>
      <w:r w:rsidRPr="008208C1">
        <w:rPr>
          <w:rFonts w:ascii="Arial" w:hAnsi="Arial" w:cs="Arial"/>
          <w:sz w:val="12"/>
          <w:szCs w:val="12"/>
        </w:rPr>
        <w:t xml:space="preserve">: Workowski KA, Bolan GA; </w:t>
      </w:r>
      <w:r w:rsidRPr="008208C1">
        <w:rPr>
          <w:rFonts w:ascii="Arial" w:hAnsi="Arial" w:cs="Arial"/>
          <w:sz w:val="12"/>
          <w:szCs w:val="12"/>
        </w:rPr>
        <w:t>Centers for Disease C</w:t>
      </w:r>
      <w:r>
        <w:rPr>
          <w:rFonts w:ascii="Arial" w:hAnsi="Arial" w:cs="Arial"/>
          <w:sz w:val="12"/>
          <w:szCs w:val="12"/>
        </w:rPr>
        <w:t xml:space="preserve">ontrol and Prevention. Sexually </w:t>
      </w:r>
      <w:r w:rsidRPr="008208C1">
        <w:rPr>
          <w:rFonts w:ascii="Arial" w:hAnsi="Arial" w:cs="Arial"/>
          <w:sz w:val="12"/>
          <w:szCs w:val="12"/>
        </w:rPr>
        <w:t xml:space="preserve">transmitted diseases treatment guidelines, </w:t>
      </w:r>
      <w:r>
        <w:rPr>
          <w:rFonts w:ascii="Arial" w:hAnsi="Arial" w:cs="Arial"/>
          <w:sz w:val="12"/>
          <w:szCs w:val="12"/>
        </w:rPr>
        <w:t xml:space="preserve">2015. MMWR Recomm Rep. 2015 Jun </w:t>
      </w:r>
      <w:r w:rsidRPr="008208C1">
        <w:rPr>
          <w:rFonts w:ascii="Arial" w:hAnsi="Arial" w:cs="Arial"/>
          <w:sz w:val="12"/>
          <w:szCs w:val="12"/>
        </w:rPr>
        <w:t>5;64(RR-03):1-137. Erratum in: MMWR Recomm Rep. 2015 Aug 28;64(33):924.</w:t>
      </w:r>
      <w:hyperlink r:id="rId3" w:history="1">
        <w:r w:rsidRPr="008208C1">
          <w:rPr>
            <w:rStyle w:val="Hyperlink"/>
            <w:rFonts w:ascii="Arial" w:hAnsi="Arial" w:cs="Arial"/>
            <w:sz w:val="12"/>
            <w:szCs w:val="12"/>
          </w:rPr>
          <w:t>https://www.ncbi.nlm.nih.gov/pubmed/26042815</w:t>
        </w:r>
      </w:hyperlink>
    </w:p>
  </w:endnote>
  <w:endnote w:id="6">
    <w:p w14:paraId="49C9E00F" w14:textId="77777777" w:rsidR="00D954E6" w:rsidRPr="008208C1" w:rsidRDefault="00D954E6" w:rsidP="00D954E6">
      <w:pPr>
        <w:pStyle w:val="EndnoteText"/>
        <w:rPr>
          <w:rFonts w:ascii="Arial" w:hAnsi="Arial" w:cs="Arial"/>
          <w:sz w:val="12"/>
          <w:szCs w:val="12"/>
        </w:rPr>
      </w:pPr>
      <w:r w:rsidRPr="008208C1">
        <w:rPr>
          <w:rStyle w:val="EndnoteReference"/>
          <w:rFonts w:ascii="Arial" w:hAnsi="Arial" w:cs="Arial"/>
          <w:sz w:val="12"/>
          <w:szCs w:val="12"/>
        </w:rPr>
        <w:endnoteRef/>
      </w:r>
      <w:r w:rsidRPr="008208C1">
        <w:rPr>
          <w:rFonts w:ascii="Arial" w:hAnsi="Arial" w:cs="Arial"/>
          <w:sz w:val="12"/>
          <w:szCs w:val="12"/>
        </w:rPr>
        <w:t xml:space="preserve"> Ceftriaxone, IM</w:t>
      </w:r>
      <w:r>
        <w:rPr>
          <w:rFonts w:ascii="Arial" w:hAnsi="Arial" w:cs="Arial"/>
          <w:sz w:val="12"/>
          <w:szCs w:val="12"/>
        </w:rPr>
        <w:t xml:space="preserve"> + azithromycin</w:t>
      </w:r>
      <w:r w:rsidRPr="008208C1">
        <w:rPr>
          <w:rFonts w:ascii="Arial" w:hAnsi="Arial" w:cs="Arial"/>
          <w:sz w:val="12"/>
          <w:szCs w:val="12"/>
        </w:rPr>
        <w:t xml:space="preserve">: </w:t>
      </w:r>
      <w:r>
        <w:rPr>
          <w:rFonts w:ascii="Arial" w:hAnsi="Arial" w:cs="Arial"/>
          <w:sz w:val="12"/>
          <w:szCs w:val="12"/>
        </w:rPr>
        <w:t xml:space="preserve">World Health Organisation: </w:t>
      </w:r>
      <w:r w:rsidRPr="00E12048">
        <w:rPr>
          <w:rFonts w:ascii="Arial" w:hAnsi="Arial" w:cs="Arial"/>
          <w:sz w:val="12"/>
          <w:szCs w:val="12"/>
        </w:rPr>
        <w:t>WHO guidelines for the</w:t>
      </w:r>
      <w:r>
        <w:rPr>
          <w:rFonts w:ascii="Arial" w:hAnsi="Arial" w:cs="Arial"/>
          <w:sz w:val="12"/>
          <w:szCs w:val="12"/>
        </w:rPr>
        <w:t xml:space="preserve"> t</w:t>
      </w:r>
      <w:r w:rsidRPr="00E12048">
        <w:rPr>
          <w:rFonts w:ascii="Arial" w:hAnsi="Arial" w:cs="Arial"/>
          <w:sz w:val="12"/>
          <w:szCs w:val="12"/>
        </w:rPr>
        <w:t>rea</w:t>
      </w:r>
      <w:r>
        <w:rPr>
          <w:rFonts w:ascii="Arial" w:hAnsi="Arial" w:cs="Arial"/>
          <w:sz w:val="12"/>
          <w:szCs w:val="12"/>
        </w:rPr>
        <w:t xml:space="preserve">tment of </w:t>
      </w:r>
      <w:r w:rsidRPr="00D954E6">
        <w:rPr>
          <w:rFonts w:ascii="Arial" w:hAnsi="Arial" w:cs="Arial"/>
          <w:i/>
          <w:sz w:val="12"/>
          <w:szCs w:val="12"/>
        </w:rPr>
        <w:t>Neisseria gonorrhoeae</w:t>
      </w:r>
      <w:r>
        <w:rPr>
          <w:rFonts w:ascii="Arial" w:hAnsi="Arial" w:cs="Arial"/>
          <w:sz w:val="12"/>
          <w:szCs w:val="12"/>
        </w:rPr>
        <w:t xml:space="preserve">, 2016. </w:t>
      </w:r>
      <w:hyperlink r:id="rId4" w:history="1">
        <w:r w:rsidRPr="00E12048">
          <w:rPr>
            <w:rStyle w:val="Hyperlink"/>
            <w:rFonts w:ascii="Arial" w:hAnsi="Arial" w:cs="Arial"/>
            <w:sz w:val="12"/>
            <w:szCs w:val="12"/>
          </w:rPr>
          <w:t>http://apps.who.int/iris/bitstream/10665/246114/1/9789241549691-eng.pdf</w:t>
        </w:r>
      </w:hyperlink>
    </w:p>
  </w:endnote>
  <w:endnote w:id="7">
    <w:p w14:paraId="60A58187" w14:textId="77777777" w:rsidR="00D954E6" w:rsidRPr="008208C1" w:rsidRDefault="00D954E6" w:rsidP="00D954E6">
      <w:pPr>
        <w:pStyle w:val="EndnoteText"/>
        <w:rPr>
          <w:rFonts w:ascii="Arial" w:hAnsi="Arial" w:cs="Arial"/>
          <w:sz w:val="12"/>
          <w:szCs w:val="12"/>
        </w:rPr>
      </w:pPr>
      <w:r w:rsidRPr="008208C1">
        <w:rPr>
          <w:rStyle w:val="EndnoteReference"/>
          <w:rFonts w:ascii="Arial" w:hAnsi="Arial" w:cs="Arial"/>
          <w:sz w:val="12"/>
          <w:szCs w:val="12"/>
        </w:rPr>
        <w:endnoteRef/>
      </w:r>
      <w:r>
        <w:rPr>
          <w:rFonts w:ascii="Arial" w:hAnsi="Arial" w:cs="Arial"/>
          <w:sz w:val="12"/>
          <w:szCs w:val="12"/>
        </w:rPr>
        <w:t>Lidocaine 1</w:t>
      </w:r>
      <w:r>
        <w:rPr>
          <w:rFonts w:ascii="Arial" w:hAnsi="Arial" w:cs="Arial"/>
          <w:sz w:val="12"/>
          <w:szCs w:val="12"/>
        </w:rPr>
        <w:t>%:</w:t>
      </w:r>
      <w:r w:rsidRPr="001522C2">
        <w:rPr>
          <w:rFonts w:ascii="Arial" w:hAnsi="Arial" w:cs="Arial"/>
          <w:sz w:val="12"/>
          <w:szCs w:val="12"/>
        </w:rPr>
        <w:t xml:space="preserve">MCC registered package inserts of </w:t>
      </w:r>
      <w:r w:rsidRPr="001522C2">
        <w:rPr>
          <w:rFonts w:ascii="Arial" w:hAnsi="Arial" w:cs="Arial"/>
          <w:sz w:val="12"/>
          <w:szCs w:val="12"/>
        </w:rPr>
        <w:t>Kocef® 250 mg, 500 mg, 1 g; Rociject® 500 mg, 1 g; Oframax® 250 mg, 1 g</w:t>
      </w:r>
      <w:r>
        <w:rPr>
          <w:rFonts w:ascii="Arial" w:hAnsi="Arial" w:cs="Arial"/>
          <w:sz w:val="12"/>
          <w:szCs w:val="12"/>
        </w:rPr>
        <w:t>.</w:t>
      </w:r>
    </w:p>
  </w:endnote>
  <w:endnote w:id="8">
    <w:p w14:paraId="48670F54" w14:textId="77777777" w:rsidR="00297A75" w:rsidRPr="00D35218" w:rsidRDefault="00297A75" w:rsidP="00297A75">
      <w:pPr>
        <w:pStyle w:val="EndnoteText"/>
        <w:rPr>
          <w:rFonts w:ascii="Arial" w:hAnsi="Arial" w:cs="Arial"/>
          <w:sz w:val="12"/>
          <w:szCs w:val="12"/>
        </w:rPr>
      </w:pPr>
      <w:r w:rsidRPr="00D35218">
        <w:rPr>
          <w:rStyle w:val="EndnoteReference"/>
          <w:rFonts w:ascii="Arial" w:hAnsi="Arial" w:cs="Arial"/>
          <w:sz w:val="12"/>
          <w:szCs w:val="12"/>
        </w:rPr>
        <w:endnoteRef/>
      </w:r>
      <w:r w:rsidRPr="00D35218">
        <w:rPr>
          <w:rFonts w:ascii="Arial" w:hAnsi="Arial" w:cs="Arial"/>
          <w:sz w:val="12"/>
          <w:szCs w:val="12"/>
        </w:rPr>
        <w:t xml:space="preserve">Metronidazole: </w:t>
      </w:r>
      <w:r w:rsidR="00D35218" w:rsidRPr="00D35218">
        <w:rPr>
          <w:rFonts w:ascii="Arial" w:hAnsi="Arial" w:cs="Arial"/>
          <w:sz w:val="12"/>
          <w:szCs w:val="12"/>
        </w:rPr>
        <w:t xml:space="preserve">Workowski KA, Bolan GA; </w:t>
      </w:r>
      <w:r w:rsidR="00D35218" w:rsidRPr="00D35218">
        <w:rPr>
          <w:rFonts w:ascii="Arial" w:hAnsi="Arial" w:cs="Arial"/>
          <w:sz w:val="12"/>
          <w:szCs w:val="12"/>
        </w:rPr>
        <w:t>Centers for Disease Control and Prevention. Sexually transmitted diseases treatment guidelines, 2015. MMWR Recomm Rep. 2015 Jun 5;64(RR-03):1-137. Erratum in: MMWR Recomm Rep. 2015 Aug 28;64(33):924.</w:t>
      </w:r>
      <w:hyperlink r:id="rId5" w:history="1">
        <w:r w:rsidR="00D35218" w:rsidRPr="00D35218">
          <w:rPr>
            <w:rStyle w:val="Hyperlink"/>
            <w:rFonts w:ascii="Arial" w:hAnsi="Arial" w:cs="Arial"/>
            <w:sz w:val="12"/>
            <w:szCs w:val="12"/>
          </w:rPr>
          <w:t>https://www.ncbi.nlm.nih.gov/pubmed/26042815</w:t>
        </w:r>
      </w:hyperlink>
    </w:p>
  </w:endnote>
  <w:endnote w:id="9">
    <w:p w14:paraId="34C3E9F3" w14:textId="77777777" w:rsidR="00281657" w:rsidRPr="00D35218" w:rsidRDefault="00281657" w:rsidP="00281657">
      <w:pPr>
        <w:pStyle w:val="EndnoteText"/>
        <w:rPr>
          <w:rFonts w:ascii="Arial" w:hAnsi="Arial" w:cs="Arial"/>
          <w:sz w:val="12"/>
          <w:szCs w:val="12"/>
        </w:rPr>
      </w:pPr>
      <w:r w:rsidRPr="00D35218">
        <w:rPr>
          <w:rStyle w:val="EndnoteReference"/>
          <w:rFonts w:ascii="Arial" w:hAnsi="Arial" w:cs="Arial"/>
          <w:sz w:val="12"/>
          <w:szCs w:val="12"/>
        </w:rPr>
        <w:endnoteRef/>
      </w:r>
      <w:r w:rsidRPr="00D35218">
        <w:rPr>
          <w:rFonts w:ascii="Arial" w:hAnsi="Arial" w:cs="Arial"/>
          <w:sz w:val="12"/>
          <w:szCs w:val="12"/>
        </w:rPr>
        <w:t xml:space="preserve">Gentamicin, IM + azithromycin, oral: Workowski KA, Bolan GA; </w:t>
      </w:r>
      <w:r w:rsidRPr="00D35218">
        <w:rPr>
          <w:rFonts w:ascii="Arial" w:hAnsi="Arial" w:cs="Arial"/>
          <w:sz w:val="12"/>
          <w:szCs w:val="12"/>
        </w:rPr>
        <w:t>Centers for Disease Control and Prevention. Sexually transmitted diseases treatment guidelines, 2015. MMWR Recomm Rep. 2015 Jun 5;64(RR-03):1-137. Erratum in: MMWR Recomm Rep. 2015 Aug 28;64(33):924.</w:t>
      </w:r>
      <w:hyperlink r:id="rId6" w:history="1">
        <w:r w:rsidRPr="00D35218">
          <w:rPr>
            <w:rStyle w:val="Hyperlink"/>
            <w:rFonts w:ascii="Arial" w:hAnsi="Arial" w:cs="Arial"/>
            <w:sz w:val="12"/>
            <w:szCs w:val="12"/>
          </w:rPr>
          <w:t>https://www.ncbi.nlm.nih.gov/pubmed/26042815</w:t>
        </w:r>
      </w:hyperlink>
    </w:p>
  </w:endnote>
  <w:endnote w:id="10">
    <w:p w14:paraId="5AF2E059" w14:textId="77777777" w:rsidR="006138E4" w:rsidRPr="00831FDB" w:rsidRDefault="00297A75" w:rsidP="007172B8">
      <w:pPr>
        <w:pStyle w:val="EndnoteText"/>
        <w:rPr>
          <w:rFonts w:ascii="Arial" w:hAnsi="Arial" w:cs="Arial"/>
          <w:sz w:val="12"/>
          <w:szCs w:val="12"/>
        </w:rPr>
      </w:pPr>
      <w:r w:rsidRPr="00D35218">
        <w:rPr>
          <w:rStyle w:val="EndnoteReference"/>
          <w:rFonts w:ascii="Arial" w:hAnsi="Arial" w:cs="Arial"/>
          <w:sz w:val="12"/>
          <w:szCs w:val="12"/>
        </w:rPr>
        <w:endnoteRef/>
      </w:r>
      <w:r w:rsidRPr="00D35218">
        <w:rPr>
          <w:rFonts w:ascii="Arial" w:hAnsi="Arial" w:cs="Arial"/>
          <w:sz w:val="12"/>
          <w:szCs w:val="12"/>
        </w:rPr>
        <w:t xml:space="preserve">Metronidazole: </w:t>
      </w:r>
      <w:r w:rsidR="00D35218" w:rsidRPr="00D35218">
        <w:rPr>
          <w:rFonts w:ascii="Arial" w:hAnsi="Arial" w:cs="Arial"/>
          <w:sz w:val="12"/>
          <w:szCs w:val="12"/>
        </w:rPr>
        <w:t xml:space="preserve">Workowski KA, Bolan GA; </w:t>
      </w:r>
      <w:r w:rsidR="00D35218" w:rsidRPr="00D35218">
        <w:rPr>
          <w:rFonts w:ascii="Arial" w:hAnsi="Arial" w:cs="Arial"/>
          <w:sz w:val="12"/>
          <w:szCs w:val="12"/>
        </w:rPr>
        <w:t xml:space="preserve">Centers for Disease Control and Prevention. Sexually transmitted diseases treatment guidelines, 2015. MMWR Recomm Rep. 2015 Jun 5;64(RR-03):1-137. Erratum in: MMWR </w:t>
      </w:r>
      <w:r w:rsidR="00D35218" w:rsidRPr="00831FDB">
        <w:rPr>
          <w:rFonts w:ascii="Arial" w:hAnsi="Arial" w:cs="Arial"/>
          <w:sz w:val="12"/>
          <w:szCs w:val="12"/>
        </w:rPr>
        <w:t>Recomm Rep. 2015 Aug 28;64(33):924.</w:t>
      </w:r>
      <w:hyperlink r:id="rId7" w:history="1">
        <w:r w:rsidR="00D35218" w:rsidRPr="00831FDB">
          <w:rPr>
            <w:rStyle w:val="Hyperlink"/>
            <w:rFonts w:ascii="Arial" w:hAnsi="Arial" w:cs="Arial"/>
            <w:sz w:val="12"/>
            <w:szCs w:val="12"/>
          </w:rPr>
          <w:t>https://www.ncbi.nlm.nih.gov/pubmed/26042815</w:t>
        </w:r>
      </w:hyperlink>
    </w:p>
  </w:endnote>
  <w:endnote w:id="11">
    <w:p w14:paraId="52405ADE" w14:textId="2114A615" w:rsidR="0017078D" w:rsidRPr="00831FDB" w:rsidRDefault="0017078D" w:rsidP="0017078D">
      <w:pPr>
        <w:pStyle w:val="EndnoteText"/>
        <w:rPr>
          <w:rFonts w:ascii="Arial" w:hAnsi="Arial" w:cs="Arial"/>
          <w:sz w:val="12"/>
          <w:szCs w:val="12"/>
          <w:lang w:val="en-ZA"/>
        </w:rPr>
      </w:pPr>
      <w:r w:rsidRPr="00831FDB">
        <w:rPr>
          <w:rStyle w:val="EndnoteReference"/>
          <w:rFonts w:ascii="Arial" w:hAnsi="Arial" w:cs="Arial"/>
          <w:sz w:val="12"/>
          <w:szCs w:val="12"/>
        </w:rPr>
        <w:endnoteRef/>
      </w:r>
      <w:r w:rsidRPr="00831FDB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lang w:val="en-ZA"/>
        </w:rPr>
        <w:t xml:space="preserve">Benzathine </w:t>
      </w:r>
      <w:r>
        <w:rPr>
          <w:rFonts w:ascii="Arial" w:hAnsi="Arial" w:cs="Arial"/>
          <w:sz w:val="12"/>
          <w:szCs w:val="12"/>
          <w:lang w:val="en-ZA"/>
        </w:rPr>
        <w:t>benzylpencillin (</w:t>
      </w:r>
      <w:r w:rsidRPr="00831FDB">
        <w:rPr>
          <w:rFonts w:ascii="Arial" w:hAnsi="Arial" w:cs="Arial"/>
          <w:sz w:val="12"/>
          <w:szCs w:val="12"/>
          <w:lang w:val="en-ZA"/>
        </w:rPr>
        <w:t xml:space="preserve">GUS): </w:t>
      </w:r>
      <w:r w:rsidRPr="00831FDB">
        <w:rPr>
          <w:rFonts w:ascii="Arial" w:hAnsi="Arial" w:cs="Arial"/>
          <w:sz w:val="12"/>
          <w:szCs w:val="12"/>
        </w:rPr>
        <w:t xml:space="preserve">World Health Organization. </w:t>
      </w:r>
      <w:r w:rsidRPr="00831FDB">
        <w:rPr>
          <w:rFonts w:ascii="Arial" w:hAnsi="Arial" w:cs="Arial"/>
          <w:sz w:val="12"/>
          <w:szCs w:val="12"/>
          <w:vertAlign w:val="superscript"/>
        </w:rPr>
        <w:t>ix</w:t>
      </w:r>
      <w:r w:rsidRPr="00831FDB">
        <w:rPr>
          <w:rFonts w:ascii="Arial" w:hAnsi="Arial" w:cs="Arial"/>
          <w:sz w:val="12"/>
          <w:szCs w:val="12"/>
        </w:rPr>
        <w:t xml:space="preserve">WHO guidelines for the treatment of Treponema pallidum (syphilis), 2016. </w:t>
      </w:r>
      <w:hyperlink r:id="rId8" w:history="1">
        <w:r w:rsidRPr="00831FDB">
          <w:rPr>
            <w:rStyle w:val="Hyperlink"/>
            <w:rFonts w:ascii="Arial" w:hAnsi="Arial" w:cs="Arial"/>
            <w:sz w:val="12"/>
            <w:szCs w:val="12"/>
          </w:rPr>
          <w:t>http://www.who.int/reproductivehealth/publications/rtis/syphilis-treatment-guidelines/en/</w:t>
        </w:r>
      </w:hyperlink>
    </w:p>
  </w:endnote>
  <w:endnote w:id="12">
    <w:p w14:paraId="3620F0B8" w14:textId="77777777" w:rsidR="006B2D06" w:rsidRPr="008208C1" w:rsidRDefault="006B2D06" w:rsidP="006B2D06">
      <w:pPr>
        <w:pStyle w:val="EndnoteText"/>
        <w:tabs>
          <w:tab w:val="left" w:pos="142"/>
        </w:tabs>
        <w:rPr>
          <w:rFonts w:ascii="Arial" w:hAnsi="Arial" w:cs="Arial"/>
          <w:sz w:val="12"/>
          <w:szCs w:val="12"/>
        </w:rPr>
      </w:pPr>
      <w:r w:rsidRPr="008208C1">
        <w:rPr>
          <w:rStyle w:val="EndnoteReference"/>
          <w:rFonts w:ascii="Arial" w:hAnsi="Arial" w:cs="Arial"/>
          <w:sz w:val="12"/>
          <w:szCs w:val="12"/>
        </w:rPr>
        <w:endnoteRef/>
      </w:r>
      <w:r>
        <w:rPr>
          <w:rFonts w:ascii="Arial" w:hAnsi="Arial" w:cs="Arial"/>
          <w:sz w:val="12"/>
          <w:szCs w:val="12"/>
        </w:rPr>
        <w:tab/>
        <w:t>Antiviral therapy, oral (recurrent herpes simplex)</w:t>
      </w:r>
      <w:r w:rsidRPr="008208C1">
        <w:rPr>
          <w:rFonts w:ascii="Arial" w:hAnsi="Arial" w:cs="Arial"/>
          <w:sz w:val="12"/>
          <w:szCs w:val="12"/>
        </w:rPr>
        <w:t xml:space="preserve">: </w:t>
      </w:r>
      <w:r w:rsidRPr="006C12B0">
        <w:rPr>
          <w:rFonts w:ascii="Arial" w:hAnsi="Arial" w:cs="Arial"/>
          <w:sz w:val="12"/>
          <w:szCs w:val="12"/>
        </w:rPr>
        <w:t xml:space="preserve">Le </w:t>
      </w:r>
      <w:r w:rsidRPr="006C12B0">
        <w:rPr>
          <w:rFonts w:ascii="Arial" w:hAnsi="Arial" w:cs="Arial"/>
          <w:sz w:val="12"/>
          <w:szCs w:val="12"/>
        </w:rPr>
        <w:t>Cleach L, Trinquart L, Do G, Maruani A, Lebr</w:t>
      </w:r>
      <w:r>
        <w:rPr>
          <w:rFonts w:ascii="Arial" w:hAnsi="Arial" w:cs="Arial"/>
          <w:sz w:val="12"/>
          <w:szCs w:val="12"/>
        </w:rPr>
        <w:t xml:space="preserve">un-Vignes B, Ravaud P, Chosidow </w:t>
      </w:r>
      <w:r w:rsidRPr="006C12B0">
        <w:rPr>
          <w:rFonts w:ascii="Arial" w:hAnsi="Arial" w:cs="Arial"/>
          <w:sz w:val="12"/>
          <w:szCs w:val="12"/>
        </w:rPr>
        <w:t>O. Oral antiviral therapy for prevention</w:t>
      </w:r>
      <w:r>
        <w:rPr>
          <w:rFonts w:ascii="Arial" w:hAnsi="Arial" w:cs="Arial"/>
          <w:sz w:val="12"/>
          <w:szCs w:val="12"/>
        </w:rPr>
        <w:t xml:space="preserve"> of genital herpes outbreaks in </w:t>
      </w:r>
      <w:r w:rsidRPr="006C12B0">
        <w:rPr>
          <w:rFonts w:ascii="Arial" w:hAnsi="Arial" w:cs="Arial"/>
          <w:sz w:val="12"/>
          <w:szCs w:val="12"/>
        </w:rPr>
        <w:t>immunocompetent and nonpregnant patients. Cochr</w:t>
      </w:r>
      <w:r>
        <w:rPr>
          <w:rFonts w:ascii="Arial" w:hAnsi="Arial" w:cs="Arial"/>
          <w:sz w:val="12"/>
          <w:szCs w:val="12"/>
        </w:rPr>
        <w:t xml:space="preserve">ane Database Syst Rev. 2014 Aug </w:t>
      </w:r>
      <w:r w:rsidRPr="006C12B0">
        <w:rPr>
          <w:rFonts w:ascii="Arial" w:hAnsi="Arial" w:cs="Arial"/>
          <w:sz w:val="12"/>
          <w:szCs w:val="12"/>
        </w:rPr>
        <w:t>3;(8):CD009036.</w:t>
      </w:r>
      <w:r>
        <w:rPr>
          <w:rFonts w:ascii="Arial" w:hAnsi="Arial" w:cs="Arial"/>
          <w:sz w:val="12"/>
          <w:szCs w:val="12"/>
        </w:rPr>
        <w:t xml:space="preserve"> </w:t>
      </w:r>
      <w:hyperlink r:id="rId9" w:history="1">
        <w:r w:rsidRPr="006C12B0">
          <w:rPr>
            <w:rStyle w:val="Hyperlink"/>
            <w:rFonts w:ascii="Arial" w:hAnsi="Arial" w:cs="Arial"/>
            <w:sz w:val="12"/>
            <w:szCs w:val="12"/>
          </w:rPr>
          <w:t>https://www.ncbi.nlm.nih.gov/pubmed/25086573</w:t>
        </w:r>
      </w:hyperlink>
    </w:p>
  </w:endnote>
  <w:endnote w:id="13">
    <w:p w14:paraId="122170C5" w14:textId="5080CDC9" w:rsidR="005A46F6" w:rsidRDefault="009A677B" w:rsidP="00C80BF2">
      <w:pPr>
        <w:pStyle w:val="EndnoteText"/>
        <w:tabs>
          <w:tab w:val="left" w:pos="142"/>
        </w:tabs>
        <w:rPr>
          <w:rFonts w:ascii="Arial" w:hAnsi="Arial" w:cs="Arial"/>
          <w:sz w:val="12"/>
          <w:szCs w:val="12"/>
        </w:rPr>
      </w:pPr>
      <w:r w:rsidRPr="008208C1">
        <w:rPr>
          <w:rStyle w:val="EndnoteReference"/>
          <w:rFonts w:ascii="Arial" w:hAnsi="Arial" w:cs="Arial"/>
          <w:sz w:val="12"/>
          <w:szCs w:val="12"/>
        </w:rPr>
        <w:endnoteRef/>
      </w:r>
      <w:r>
        <w:rPr>
          <w:rFonts w:ascii="Arial" w:hAnsi="Arial" w:cs="Arial"/>
          <w:sz w:val="12"/>
          <w:szCs w:val="12"/>
        </w:rPr>
        <w:tab/>
        <w:t>Antiviral therapy, oral (recurrent herpes simplex)</w:t>
      </w:r>
      <w:r w:rsidRPr="008208C1">
        <w:rPr>
          <w:rFonts w:ascii="Arial" w:hAnsi="Arial" w:cs="Arial"/>
          <w:sz w:val="12"/>
          <w:szCs w:val="12"/>
        </w:rPr>
        <w:t xml:space="preserve">: </w:t>
      </w:r>
      <w:r w:rsidR="00C80BF2" w:rsidRPr="00C80BF2">
        <w:rPr>
          <w:rFonts w:ascii="Arial" w:hAnsi="Arial" w:cs="Arial"/>
          <w:sz w:val="12"/>
          <w:szCs w:val="12"/>
        </w:rPr>
        <w:t xml:space="preserve">Workowski KA, Bolan GA; </w:t>
      </w:r>
      <w:r w:rsidR="00C80BF2" w:rsidRPr="00C80BF2">
        <w:rPr>
          <w:rFonts w:ascii="Arial" w:hAnsi="Arial" w:cs="Arial"/>
          <w:sz w:val="12"/>
          <w:szCs w:val="12"/>
        </w:rPr>
        <w:t>Centers for Disease C</w:t>
      </w:r>
      <w:r w:rsidR="00C80BF2">
        <w:rPr>
          <w:rFonts w:ascii="Arial" w:hAnsi="Arial" w:cs="Arial"/>
          <w:sz w:val="12"/>
          <w:szCs w:val="12"/>
        </w:rPr>
        <w:t xml:space="preserve">ontrol and Prevention. Sexually </w:t>
      </w:r>
      <w:r w:rsidR="00C80BF2" w:rsidRPr="00C80BF2">
        <w:rPr>
          <w:rFonts w:ascii="Arial" w:hAnsi="Arial" w:cs="Arial"/>
          <w:sz w:val="12"/>
          <w:szCs w:val="12"/>
        </w:rPr>
        <w:t xml:space="preserve">transmitted diseases treatment guidelines, </w:t>
      </w:r>
      <w:r w:rsidR="00C80BF2">
        <w:rPr>
          <w:rFonts w:ascii="Arial" w:hAnsi="Arial" w:cs="Arial"/>
          <w:sz w:val="12"/>
          <w:szCs w:val="12"/>
        </w:rPr>
        <w:t xml:space="preserve">2015. MMWR Recomm Rep. 2015 Jun </w:t>
      </w:r>
      <w:r w:rsidR="00C80BF2" w:rsidRPr="00C80BF2">
        <w:rPr>
          <w:rFonts w:ascii="Arial" w:hAnsi="Arial" w:cs="Arial"/>
          <w:sz w:val="12"/>
          <w:szCs w:val="12"/>
        </w:rPr>
        <w:t>5;64(RR-03):1-137. Erratum in: MMWR Recomm Rep. 2015 Aug 28;64(33):924.</w:t>
      </w:r>
      <w:r w:rsidR="00C80BF2">
        <w:rPr>
          <w:rFonts w:ascii="Arial" w:hAnsi="Arial" w:cs="Arial"/>
          <w:sz w:val="12"/>
          <w:szCs w:val="12"/>
        </w:rPr>
        <w:t xml:space="preserve"> </w:t>
      </w:r>
      <w:hyperlink r:id="rId10" w:history="1">
        <w:r w:rsidR="00C80BF2" w:rsidRPr="00C80BF2">
          <w:rPr>
            <w:rStyle w:val="Hyperlink"/>
            <w:rFonts w:ascii="Arial" w:hAnsi="Arial" w:cs="Arial"/>
            <w:sz w:val="12"/>
            <w:szCs w:val="12"/>
          </w:rPr>
          <w:t>https://www.ncbi.nlm.nih.gov/pubmed/26042815</w:t>
        </w:r>
      </w:hyperlink>
    </w:p>
    <w:p w14:paraId="1E81A970" w14:textId="1F2AB3D3" w:rsidR="009A677B" w:rsidRPr="008208C1" w:rsidRDefault="005A46F6" w:rsidP="009A677B">
      <w:pPr>
        <w:pStyle w:val="EndnoteText"/>
        <w:tabs>
          <w:tab w:val="left" w:pos="142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 xml:space="preserve">Aciclovir, oral: </w:t>
      </w:r>
      <w:r w:rsidR="00C80BF2" w:rsidRPr="00C80BF2">
        <w:rPr>
          <w:rFonts w:ascii="Arial" w:hAnsi="Arial" w:cs="Arial"/>
          <w:sz w:val="12"/>
          <w:szCs w:val="12"/>
        </w:rPr>
        <w:t>Workowski KA, Bolan GA; Centers for Disease C</w:t>
      </w:r>
      <w:r w:rsidR="00C80BF2">
        <w:rPr>
          <w:rFonts w:ascii="Arial" w:hAnsi="Arial" w:cs="Arial"/>
          <w:sz w:val="12"/>
          <w:szCs w:val="12"/>
        </w:rPr>
        <w:t xml:space="preserve">ontrol and Prevention. Sexually </w:t>
      </w:r>
      <w:r w:rsidR="00C80BF2" w:rsidRPr="00C80BF2">
        <w:rPr>
          <w:rFonts w:ascii="Arial" w:hAnsi="Arial" w:cs="Arial"/>
          <w:sz w:val="12"/>
          <w:szCs w:val="12"/>
        </w:rPr>
        <w:t xml:space="preserve">transmitted diseases treatment guidelines, </w:t>
      </w:r>
      <w:r w:rsidR="00C80BF2">
        <w:rPr>
          <w:rFonts w:ascii="Arial" w:hAnsi="Arial" w:cs="Arial"/>
          <w:sz w:val="12"/>
          <w:szCs w:val="12"/>
        </w:rPr>
        <w:t xml:space="preserve">2015. MMWR Recomm Rep. 2015 Jun </w:t>
      </w:r>
      <w:r w:rsidR="00C80BF2" w:rsidRPr="00C80BF2">
        <w:rPr>
          <w:rFonts w:ascii="Arial" w:hAnsi="Arial" w:cs="Arial"/>
          <w:sz w:val="12"/>
          <w:szCs w:val="12"/>
        </w:rPr>
        <w:t>5;64(RR-03):1-137. Erratum in: MMWR Recomm Rep. 2015 Aug 28;64(33):924.</w:t>
      </w:r>
      <w:r w:rsidR="00C80BF2">
        <w:rPr>
          <w:rFonts w:ascii="Arial" w:hAnsi="Arial" w:cs="Arial"/>
          <w:sz w:val="12"/>
          <w:szCs w:val="12"/>
        </w:rPr>
        <w:t xml:space="preserve"> </w:t>
      </w:r>
      <w:hyperlink r:id="rId11" w:history="1">
        <w:r w:rsidR="00C80BF2" w:rsidRPr="00C80BF2">
          <w:rPr>
            <w:rStyle w:val="Hyperlink"/>
            <w:rFonts w:ascii="Arial" w:hAnsi="Arial" w:cs="Arial"/>
            <w:sz w:val="12"/>
            <w:szCs w:val="12"/>
          </w:rPr>
          <w:t>https://www.ncbi.nlm.nih.gov/pubmed/26042815</w:t>
        </w:r>
      </w:hyperlink>
    </w:p>
  </w:endnote>
  <w:endnote w:id="14">
    <w:p w14:paraId="31DC5639" w14:textId="77777777" w:rsidR="00831FDB" w:rsidRPr="00831FDB" w:rsidRDefault="00831FDB" w:rsidP="00831FDB">
      <w:pPr>
        <w:pStyle w:val="EndnoteText"/>
        <w:rPr>
          <w:rFonts w:ascii="Arial" w:hAnsi="Arial" w:cs="Arial"/>
          <w:sz w:val="12"/>
          <w:szCs w:val="12"/>
        </w:rPr>
      </w:pPr>
      <w:r w:rsidRPr="00831FDB">
        <w:rPr>
          <w:rStyle w:val="EndnoteReference"/>
          <w:rFonts w:ascii="Arial" w:hAnsi="Arial" w:cs="Arial"/>
          <w:sz w:val="12"/>
          <w:szCs w:val="12"/>
        </w:rPr>
        <w:endnoteRef/>
      </w:r>
      <w:r w:rsidRPr="00831FDB">
        <w:rPr>
          <w:rFonts w:ascii="Arial" w:hAnsi="Arial" w:cs="Arial"/>
          <w:sz w:val="12"/>
          <w:szCs w:val="12"/>
        </w:rPr>
        <w:t xml:space="preserve"> </w:t>
      </w:r>
      <w:r w:rsidRPr="00831FDB">
        <w:rPr>
          <w:rFonts w:ascii="Arial" w:hAnsi="Arial" w:cs="Arial"/>
          <w:sz w:val="12"/>
          <w:szCs w:val="12"/>
        </w:rPr>
        <w:t>Doxycyline (</w:t>
      </w:r>
      <w:r w:rsidR="006A4D8C">
        <w:rPr>
          <w:rFonts w:ascii="Arial" w:hAnsi="Arial" w:cs="Arial"/>
          <w:sz w:val="12"/>
          <w:szCs w:val="12"/>
        </w:rPr>
        <w:t xml:space="preserve">21 days: </w:t>
      </w:r>
      <w:r w:rsidRPr="00831FDB">
        <w:rPr>
          <w:rFonts w:ascii="Arial" w:hAnsi="Arial" w:cs="Arial"/>
          <w:sz w:val="12"/>
          <w:szCs w:val="12"/>
        </w:rPr>
        <w:t>Bubo): de Vries HJ, Smelov V, Middelburg JG, Pleijster J, Speksnijder AG, Morré SA.</w:t>
      </w:r>
    </w:p>
    <w:p w14:paraId="6CE49176" w14:textId="77777777" w:rsidR="00831FDB" w:rsidRPr="00831FDB" w:rsidRDefault="00831FDB" w:rsidP="00831FDB">
      <w:pPr>
        <w:pStyle w:val="EndnoteText"/>
        <w:rPr>
          <w:rFonts w:ascii="Arial" w:hAnsi="Arial" w:cs="Arial"/>
          <w:sz w:val="12"/>
          <w:szCs w:val="12"/>
        </w:rPr>
      </w:pPr>
      <w:r w:rsidRPr="00831FDB">
        <w:rPr>
          <w:rFonts w:ascii="Arial" w:hAnsi="Arial" w:cs="Arial"/>
          <w:sz w:val="12"/>
          <w:szCs w:val="12"/>
        </w:rPr>
        <w:t>Delayed microbial cure of lymphogranuloma venereum proctitis with doxycycline</w:t>
      </w:r>
    </w:p>
    <w:p w14:paraId="17AD4405" w14:textId="77777777" w:rsidR="00831FDB" w:rsidRPr="00831FDB" w:rsidRDefault="00831FDB" w:rsidP="00831FDB">
      <w:pPr>
        <w:pStyle w:val="EndnoteText"/>
        <w:rPr>
          <w:lang w:val="en-ZA"/>
        </w:rPr>
      </w:pPr>
      <w:r w:rsidRPr="00831FDB">
        <w:rPr>
          <w:rFonts w:ascii="Arial" w:hAnsi="Arial" w:cs="Arial"/>
          <w:sz w:val="12"/>
          <w:szCs w:val="12"/>
        </w:rPr>
        <w:t>treatment. Clin Infect Dis. 2009 Mar 1;48(5</w:t>
      </w:r>
      <w:r w:rsidRPr="00831FDB">
        <w:rPr>
          <w:rFonts w:ascii="Arial" w:hAnsi="Arial" w:cs="Arial"/>
          <w:sz w:val="12"/>
          <w:szCs w:val="12"/>
        </w:rPr>
        <w:t>):e53-6.</w:t>
      </w:r>
      <w:r w:rsidRPr="00831FDB">
        <w:t xml:space="preserve"> </w:t>
      </w:r>
      <w:hyperlink r:id="rId12" w:history="1">
        <w:r w:rsidRPr="00831FDB">
          <w:rPr>
            <w:rStyle w:val="Hyperlink"/>
            <w:rFonts w:ascii="Arial" w:hAnsi="Arial" w:cs="Arial"/>
            <w:sz w:val="12"/>
            <w:szCs w:val="12"/>
          </w:rPr>
          <w:t>https://www.ncbi.nlm.nih.gov/pubmed/19191633</w:t>
        </w:r>
      </w:hyperlink>
    </w:p>
  </w:endnote>
  <w:endnote w:id="15">
    <w:p w14:paraId="6D1739DF" w14:textId="77777777" w:rsidR="00422E70" w:rsidRPr="00422E70" w:rsidRDefault="006A4D8C" w:rsidP="00422E70">
      <w:pPr>
        <w:pStyle w:val="EndnoteText"/>
        <w:rPr>
          <w:rFonts w:ascii="Arial" w:hAnsi="Arial" w:cs="Arial"/>
          <w:sz w:val="12"/>
          <w:szCs w:val="12"/>
        </w:rPr>
      </w:pPr>
      <w:r w:rsidRPr="00422E70">
        <w:rPr>
          <w:rStyle w:val="EndnoteReference"/>
          <w:rFonts w:ascii="Arial" w:hAnsi="Arial" w:cs="Arial"/>
          <w:sz w:val="12"/>
          <w:szCs w:val="12"/>
        </w:rPr>
        <w:endnoteRef/>
      </w:r>
      <w:r w:rsidRPr="00422E70">
        <w:rPr>
          <w:rFonts w:ascii="Arial" w:hAnsi="Arial" w:cs="Arial"/>
          <w:sz w:val="12"/>
          <w:szCs w:val="12"/>
        </w:rPr>
        <w:t xml:space="preserve"> </w:t>
      </w:r>
      <w:r w:rsidRPr="00422E70">
        <w:rPr>
          <w:rFonts w:ascii="Arial" w:hAnsi="Arial" w:cs="Arial"/>
          <w:sz w:val="12"/>
          <w:szCs w:val="12"/>
        </w:rPr>
        <w:t>Doxycyline (&gt; 21 days: Bubo):</w:t>
      </w:r>
      <w:r w:rsidR="00422E70">
        <w:rPr>
          <w:rFonts w:ascii="Arial" w:hAnsi="Arial" w:cs="Arial"/>
          <w:sz w:val="12"/>
          <w:szCs w:val="12"/>
        </w:rPr>
        <w:t xml:space="preserve"> </w:t>
      </w:r>
      <w:r w:rsidR="00422E70" w:rsidRPr="00422E70">
        <w:rPr>
          <w:rFonts w:ascii="Arial" w:hAnsi="Arial" w:cs="Arial"/>
          <w:sz w:val="12"/>
          <w:szCs w:val="12"/>
        </w:rPr>
        <w:t>Oud EV, de Vrieze NH, de Meij A, de Vries HJ. Pitfalls in the diagnosis and</w:t>
      </w:r>
    </w:p>
    <w:p w14:paraId="2F1419D9" w14:textId="77777777" w:rsidR="00422E70" w:rsidRPr="00422E70" w:rsidRDefault="00422E70" w:rsidP="00422E70">
      <w:pPr>
        <w:pStyle w:val="EndnoteText"/>
        <w:rPr>
          <w:rFonts w:ascii="Arial" w:hAnsi="Arial" w:cs="Arial"/>
          <w:sz w:val="12"/>
          <w:szCs w:val="12"/>
        </w:rPr>
      </w:pPr>
      <w:r w:rsidRPr="00422E70">
        <w:rPr>
          <w:rFonts w:ascii="Arial" w:hAnsi="Arial" w:cs="Arial"/>
          <w:sz w:val="12"/>
          <w:szCs w:val="12"/>
        </w:rPr>
        <w:t>management of inguinal lymphogranuloma venereum: important lessons from a case</w:t>
      </w:r>
    </w:p>
    <w:p w14:paraId="31305ACC" w14:textId="77777777" w:rsidR="006A4D8C" w:rsidRPr="00831FDB" w:rsidRDefault="00422E70" w:rsidP="00422E70">
      <w:pPr>
        <w:pStyle w:val="EndnoteText"/>
        <w:rPr>
          <w:lang w:val="en-ZA"/>
        </w:rPr>
      </w:pPr>
      <w:r w:rsidRPr="00422E70">
        <w:rPr>
          <w:rFonts w:ascii="Arial" w:hAnsi="Arial" w:cs="Arial"/>
          <w:sz w:val="12"/>
          <w:szCs w:val="12"/>
        </w:rPr>
        <w:t>series. Sex Transm Infect. 2014 Jun;90(4):279-82.</w:t>
      </w:r>
      <w:r>
        <w:rPr>
          <w:rFonts w:ascii="Arial" w:hAnsi="Arial" w:cs="Arial"/>
          <w:sz w:val="12"/>
          <w:szCs w:val="12"/>
        </w:rPr>
        <w:t xml:space="preserve"> </w:t>
      </w:r>
      <w:hyperlink r:id="rId13" w:history="1">
        <w:r w:rsidRPr="00422E70">
          <w:rPr>
            <w:rStyle w:val="Hyperlink"/>
            <w:rFonts w:ascii="Arial" w:hAnsi="Arial" w:cs="Arial"/>
            <w:sz w:val="12"/>
            <w:szCs w:val="12"/>
          </w:rPr>
          <w:t>https://www.ncbi.nlm.nih.gov/pubmed/24787368</w:t>
        </w:r>
      </w:hyperlink>
    </w:p>
    <w:p w14:paraId="27180A18" w14:textId="77777777" w:rsidR="006A4D8C" w:rsidRPr="00831FDB" w:rsidRDefault="006A4D8C" w:rsidP="006A4D8C">
      <w:pPr>
        <w:pStyle w:val="EndnoteText"/>
        <w:rPr>
          <w:lang w:val="en-Z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94F9" w14:textId="77777777" w:rsidR="005371E8" w:rsidRDefault="00EB514A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3F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F26">
      <w:rPr>
        <w:rStyle w:val="PageNumber"/>
        <w:noProof/>
      </w:rPr>
      <w:t>3</w:t>
    </w:r>
    <w:r>
      <w:rPr>
        <w:rStyle w:val="PageNumber"/>
      </w:rPr>
      <w:fldChar w:fldCharType="end"/>
    </w:r>
  </w:p>
  <w:p w14:paraId="754CC921" w14:textId="77777777" w:rsidR="005371E8" w:rsidRDefault="005371E8">
    <w:pPr>
      <w:ind w:right="360"/>
    </w:pPr>
  </w:p>
  <w:p w14:paraId="1DCCEB6E" w14:textId="77777777" w:rsidR="005371E8" w:rsidRDefault="005371E8"/>
  <w:p w14:paraId="597098ED" w14:textId="77777777" w:rsidR="005371E8" w:rsidRDefault="005371E8"/>
  <w:p w14:paraId="4FA79E41" w14:textId="77777777" w:rsidR="005371E8" w:rsidRDefault="005371E8"/>
  <w:p w14:paraId="6C6EFB80" w14:textId="77777777" w:rsidR="005371E8" w:rsidRDefault="005371E8"/>
  <w:p w14:paraId="78B3602C" w14:textId="77777777" w:rsidR="005371E8" w:rsidRDefault="005371E8"/>
  <w:p w14:paraId="147D6FCC" w14:textId="77777777" w:rsidR="005371E8" w:rsidRDefault="005371E8"/>
  <w:p w14:paraId="2B36A9AC" w14:textId="77777777" w:rsidR="005371E8" w:rsidRDefault="005371E8" w:rsidP="0031672F"/>
  <w:p w14:paraId="6B17E6AD" w14:textId="77777777" w:rsidR="005371E8" w:rsidRDefault="005371E8" w:rsidP="0031672F"/>
  <w:p w14:paraId="0EF967B9" w14:textId="77777777" w:rsidR="005371E8" w:rsidRDefault="005371E8" w:rsidP="0031672F"/>
  <w:p w14:paraId="110CD4D7" w14:textId="77777777" w:rsidR="005371E8" w:rsidRDefault="005371E8" w:rsidP="0031672F"/>
  <w:p w14:paraId="344DEB29" w14:textId="77777777" w:rsidR="005371E8" w:rsidRDefault="005371E8" w:rsidP="0031672F"/>
  <w:p w14:paraId="2C43606F" w14:textId="77777777" w:rsidR="005371E8" w:rsidRDefault="005371E8" w:rsidP="0031672F"/>
  <w:p w14:paraId="2FD74250" w14:textId="77777777" w:rsidR="005371E8" w:rsidRDefault="005371E8" w:rsidP="0031672F"/>
  <w:p w14:paraId="7017D58B" w14:textId="77777777" w:rsidR="005371E8" w:rsidRDefault="005371E8" w:rsidP="0031672F"/>
  <w:p w14:paraId="5D683792" w14:textId="77777777" w:rsidR="005371E8" w:rsidRDefault="005371E8" w:rsidP="0031672F"/>
  <w:p w14:paraId="0228C278" w14:textId="77777777" w:rsidR="005371E8" w:rsidRDefault="005371E8" w:rsidP="0031672F"/>
  <w:p w14:paraId="70B934AE" w14:textId="77777777" w:rsidR="005371E8" w:rsidRDefault="005371E8" w:rsidP="003167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4A10" w14:textId="3130AA34" w:rsidR="005371E8" w:rsidRPr="005B70CD" w:rsidRDefault="001F6540" w:rsidP="005B70CD">
    <w:pPr>
      <w:pStyle w:val="Footer"/>
      <w:pBdr>
        <w:top w:val="single" w:sz="4" w:space="1" w:color="auto"/>
      </w:pBdr>
      <w:jc w:val="center"/>
      <w:rPr>
        <w:sz w:val="16"/>
      </w:rPr>
    </w:pPr>
    <w:r>
      <w:rPr>
        <w:sz w:val="16"/>
      </w:rPr>
      <w:tab/>
    </w:r>
    <w:r>
      <w:rPr>
        <w:sz w:val="16"/>
      </w:rPr>
      <w:tab/>
    </w:r>
    <w:r w:rsidR="00EE0213">
      <w:rPr>
        <w:sz w:val="16"/>
      </w:rPr>
      <w:t>2</w:t>
    </w:r>
    <w:r w:rsidR="00B67669">
      <w:rPr>
        <w:sz w:val="16"/>
      </w:rPr>
      <w:t>6</w:t>
    </w:r>
    <w:r w:rsidR="005B70CD" w:rsidRPr="005B70CD">
      <w:rPr>
        <w:sz w:val="16"/>
      </w:rPr>
      <w:t>.</w:t>
    </w:r>
    <w:r w:rsidR="00EB514A" w:rsidRPr="005B70CD">
      <w:rPr>
        <w:sz w:val="16"/>
      </w:rPr>
      <w:fldChar w:fldCharType="begin"/>
    </w:r>
    <w:r w:rsidR="006E3F26" w:rsidRPr="005B70CD">
      <w:rPr>
        <w:sz w:val="16"/>
      </w:rPr>
      <w:instrText xml:space="preserve"> PAGE   \* MERGEFORMAT </w:instrText>
    </w:r>
    <w:r w:rsidR="00EB514A" w:rsidRPr="005B70CD">
      <w:rPr>
        <w:sz w:val="16"/>
      </w:rPr>
      <w:fldChar w:fldCharType="separate"/>
    </w:r>
    <w:r w:rsidR="001E62C3">
      <w:rPr>
        <w:noProof/>
        <w:sz w:val="16"/>
      </w:rPr>
      <w:t>6</w:t>
    </w:r>
    <w:r w:rsidR="00EB514A" w:rsidRPr="005B70CD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705" w14:textId="51B971AB" w:rsidR="009B6BCD" w:rsidRPr="005B70CD" w:rsidRDefault="0041314A" w:rsidP="00C805D8">
    <w:pPr>
      <w:pStyle w:val="Footer"/>
      <w:pBdr>
        <w:top w:val="single" w:sz="4" w:space="1" w:color="auto"/>
      </w:pBdr>
      <w:tabs>
        <w:tab w:val="clear" w:pos="4513"/>
        <w:tab w:val="center" w:pos="5940"/>
      </w:tabs>
      <w:rPr>
        <w:sz w:val="16"/>
      </w:rPr>
    </w:pPr>
    <w:r w:rsidRPr="005B70CD">
      <w:rPr>
        <w:sz w:val="16"/>
      </w:rPr>
      <w:tab/>
    </w:r>
    <w:r w:rsidR="00EE0213">
      <w:rPr>
        <w:sz w:val="16"/>
      </w:rPr>
      <w:t>2</w:t>
    </w:r>
    <w:r w:rsidR="00B67669">
      <w:rPr>
        <w:sz w:val="16"/>
      </w:rPr>
      <w:t>6</w:t>
    </w:r>
    <w:r w:rsidR="001C6750" w:rsidRPr="005B70CD">
      <w:rPr>
        <w:sz w:val="16"/>
      </w:rPr>
      <w:t>.</w:t>
    </w:r>
    <w:r w:rsidR="00EB514A" w:rsidRPr="005B70CD">
      <w:rPr>
        <w:sz w:val="16"/>
      </w:rPr>
      <w:fldChar w:fldCharType="begin"/>
    </w:r>
    <w:r w:rsidR="00BF3226" w:rsidRPr="005B70CD">
      <w:rPr>
        <w:sz w:val="16"/>
      </w:rPr>
      <w:instrText xml:space="preserve"> PAGE   \* MERGEFORMAT </w:instrText>
    </w:r>
    <w:r w:rsidR="00EB514A" w:rsidRPr="005B70CD">
      <w:rPr>
        <w:sz w:val="16"/>
      </w:rPr>
      <w:fldChar w:fldCharType="separate"/>
    </w:r>
    <w:r w:rsidR="00487C8F">
      <w:rPr>
        <w:noProof/>
        <w:sz w:val="16"/>
      </w:rPr>
      <w:t>1</w:t>
    </w:r>
    <w:r w:rsidR="00EB514A" w:rsidRPr="005B70CD">
      <w:rPr>
        <w:sz w:val="16"/>
      </w:rPr>
      <w:fldChar w:fldCharType="end"/>
    </w:r>
  </w:p>
  <w:p w14:paraId="799AE36A" w14:textId="77777777" w:rsidR="009B6BCD" w:rsidRDefault="009B6BCD">
    <w:pPr>
      <w:pStyle w:val="Footer"/>
    </w:pPr>
  </w:p>
  <w:p w14:paraId="1CE70CE0" w14:textId="77777777" w:rsidR="00C805D8" w:rsidRDefault="00C80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3DB8" w14:textId="77777777" w:rsidR="00F73A1D" w:rsidRDefault="00F73A1D">
      <w:r>
        <w:separator/>
      </w:r>
    </w:p>
    <w:p w14:paraId="49B78593" w14:textId="77777777" w:rsidR="00F73A1D" w:rsidRDefault="00F73A1D"/>
    <w:p w14:paraId="208C280E" w14:textId="77777777" w:rsidR="00F73A1D" w:rsidRDefault="00F73A1D" w:rsidP="0031672F"/>
    <w:p w14:paraId="3BE957C9" w14:textId="77777777" w:rsidR="00F73A1D" w:rsidRDefault="00F73A1D" w:rsidP="0031672F"/>
    <w:p w14:paraId="01D9846D" w14:textId="77777777" w:rsidR="00F73A1D" w:rsidRDefault="00F73A1D" w:rsidP="0031672F"/>
    <w:p w14:paraId="10BA0B3D" w14:textId="77777777" w:rsidR="00F73A1D" w:rsidRDefault="00F73A1D" w:rsidP="0031672F"/>
    <w:p w14:paraId="4C4DDB22" w14:textId="77777777" w:rsidR="00F73A1D" w:rsidRDefault="00F73A1D"/>
    <w:p w14:paraId="61DC8C21" w14:textId="77777777" w:rsidR="00F73A1D" w:rsidRDefault="00F73A1D"/>
    <w:p w14:paraId="64F8B397" w14:textId="77777777" w:rsidR="00F73A1D" w:rsidRDefault="00F73A1D" w:rsidP="0031672F"/>
    <w:p w14:paraId="340E8D62" w14:textId="77777777" w:rsidR="00F73A1D" w:rsidRDefault="00F73A1D"/>
    <w:p w14:paraId="2D52C72A" w14:textId="77777777" w:rsidR="00F73A1D" w:rsidRDefault="00F73A1D" w:rsidP="0031672F"/>
    <w:p w14:paraId="5BAF5293" w14:textId="77777777" w:rsidR="00F73A1D" w:rsidRDefault="00F73A1D" w:rsidP="0031672F"/>
    <w:p w14:paraId="6FFFB3B5" w14:textId="77777777" w:rsidR="00F73A1D" w:rsidRDefault="00F73A1D"/>
  </w:footnote>
  <w:footnote w:type="continuationSeparator" w:id="0">
    <w:p w14:paraId="2D558446" w14:textId="77777777" w:rsidR="00F73A1D" w:rsidRDefault="00F73A1D">
      <w:r>
        <w:continuationSeparator/>
      </w:r>
    </w:p>
    <w:p w14:paraId="44C04A98" w14:textId="77777777" w:rsidR="00F73A1D" w:rsidRDefault="00F73A1D"/>
    <w:p w14:paraId="1FFA88E8" w14:textId="77777777" w:rsidR="00F73A1D" w:rsidRDefault="00F73A1D" w:rsidP="0031672F"/>
    <w:p w14:paraId="6962DE08" w14:textId="77777777" w:rsidR="00F73A1D" w:rsidRDefault="00F73A1D" w:rsidP="0031672F"/>
    <w:p w14:paraId="10ECCA20" w14:textId="77777777" w:rsidR="00F73A1D" w:rsidRDefault="00F73A1D" w:rsidP="0031672F"/>
    <w:p w14:paraId="6712F2B5" w14:textId="77777777" w:rsidR="00F73A1D" w:rsidRDefault="00F73A1D" w:rsidP="0031672F"/>
    <w:p w14:paraId="5CF5F5B9" w14:textId="77777777" w:rsidR="00F73A1D" w:rsidRDefault="00F73A1D"/>
    <w:p w14:paraId="62E0B098" w14:textId="77777777" w:rsidR="00F73A1D" w:rsidRDefault="00F73A1D"/>
    <w:p w14:paraId="60E390C2" w14:textId="77777777" w:rsidR="00F73A1D" w:rsidRDefault="00F73A1D" w:rsidP="0031672F"/>
    <w:p w14:paraId="15353EA4" w14:textId="77777777" w:rsidR="00F73A1D" w:rsidRDefault="00F73A1D"/>
    <w:p w14:paraId="36B0DD17" w14:textId="77777777" w:rsidR="00F73A1D" w:rsidRDefault="00F73A1D" w:rsidP="0031672F"/>
    <w:p w14:paraId="3A1E8815" w14:textId="77777777" w:rsidR="00F73A1D" w:rsidRDefault="00F73A1D" w:rsidP="0031672F"/>
    <w:p w14:paraId="40576778" w14:textId="77777777" w:rsidR="00F73A1D" w:rsidRDefault="00F73A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A4BF" w14:textId="69E1297B" w:rsidR="005371E8" w:rsidRDefault="005371E8"/>
  <w:p w14:paraId="3AA6FA6B" w14:textId="77777777" w:rsidR="005371E8" w:rsidRDefault="005371E8"/>
  <w:p w14:paraId="32E1BC34" w14:textId="77777777" w:rsidR="005371E8" w:rsidRDefault="005371E8"/>
  <w:p w14:paraId="18FDEEDC" w14:textId="77777777" w:rsidR="005371E8" w:rsidRDefault="005371E8"/>
  <w:p w14:paraId="60C12AD6" w14:textId="77777777" w:rsidR="005371E8" w:rsidRDefault="005371E8"/>
  <w:p w14:paraId="6D95476E" w14:textId="77777777" w:rsidR="005371E8" w:rsidRDefault="005371E8"/>
  <w:p w14:paraId="12E23230" w14:textId="77777777" w:rsidR="005371E8" w:rsidRDefault="005371E8" w:rsidP="0031672F"/>
  <w:p w14:paraId="0AAC0C38" w14:textId="77777777" w:rsidR="005371E8" w:rsidRDefault="005371E8" w:rsidP="0031672F"/>
  <w:p w14:paraId="055D7D57" w14:textId="77777777" w:rsidR="005371E8" w:rsidRDefault="005371E8" w:rsidP="0031672F"/>
  <w:p w14:paraId="6E9E2089" w14:textId="77777777" w:rsidR="005371E8" w:rsidRDefault="005371E8" w:rsidP="0031672F"/>
  <w:p w14:paraId="43530EDF" w14:textId="77777777" w:rsidR="005371E8" w:rsidRDefault="005371E8" w:rsidP="0031672F"/>
  <w:p w14:paraId="646E5873" w14:textId="77777777" w:rsidR="005371E8" w:rsidRDefault="005371E8" w:rsidP="0031672F"/>
  <w:p w14:paraId="78443301" w14:textId="77777777" w:rsidR="005371E8" w:rsidRDefault="005371E8" w:rsidP="0031672F"/>
  <w:p w14:paraId="6B659789" w14:textId="77777777" w:rsidR="005371E8" w:rsidRDefault="005371E8" w:rsidP="0031672F"/>
  <w:p w14:paraId="33734B72" w14:textId="77777777" w:rsidR="005371E8" w:rsidRDefault="005371E8" w:rsidP="0031672F"/>
  <w:p w14:paraId="692224CF" w14:textId="77777777" w:rsidR="005371E8" w:rsidRDefault="005371E8" w:rsidP="0031672F"/>
  <w:p w14:paraId="5DEB1594" w14:textId="77777777" w:rsidR="005371E8" w:rsidRDefault="005371E8" w:rsidP="003167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7153" w14:textId="5E7D5219" w:rsidR="005371E8" w:rsidRDefault="006E3F26" w:rsidP="006D621B">
    <w:pPr>
      <w:pBdr>
        <w:bottom w:val="single" w:sz="12" w:space="1" w:color="auto"/>
      </w:pBdr>
      <w:tabs>
        <w:tab w:val="left" w:pos="1560"/>
      </w:tabs>
      <w:spacing w:after="120"/>
      <w:jc w:val="center"/>
    </w:pPr>
    <w:r>
      <w:rPr>
        <w:b/>
        <w:sz w:val="16"/>
      </w:rPr>
      <w:t xml:space="preserve">CHAPTER </w:t>
    </w:r>
    <w:r w:rsidR="005B70CD">
      <w:rPr>
        <w:b/>
        <w:sz w:val="16"/>
      </w:rPr>
      <w:t>2</w:t>
    </w:r>
    <w:r w:rsidR="00964883">
      <w:rPr>
        <w:b/>
        <w:sz w:val="16"/>
      </w:rPr>
      <w:t>8</w:t>
    </w:r>
    <w:r>
      <w:rPr>
        <w:b/>
        <w:sz w:val="16"/>
      </w:rPr>
      <w:tab/>
    </w:r>
    <w:r w:rsidR="005B70CD">
      <w:rPr>
        <w:b/>
        <w:sz w:val="16"/>
      </w:rPr>
      <w:t xml:space="preserve">                                 SEXUALLY TRANSMITTED INFECTIONS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D83"/>
    <w:multiLevelType w:val="hybridMultilevel"/>
    <w:tmpl w:val="F5FEB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D77E0"/>
    <w:multiLevelType w:val="hybridMultilevel"/>
    <w:tmpl w:val="7FF8F352"/>
    <w:lvl w:ilvl="0" w:tplc="F8580EDE">
      <w:start w:val="1"/>
      <w:numFmt w:val="bullet"/>
      <w:pStyle w:val="elis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732A0"/>
    <w:multiLevelType w:val="multilevel"/>
    <w:tmpl w:val="D50A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72486E"/>
    <w:multiLevelType w:val="hybridMultilevel"/>
    <w:tmpl w:val="B700F6F0"/>
    <w:lvl w:ilvl="0" w:tplc="F8580E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57CF"/>
    <w:multiLevelType w:val="hybridMultilevel"/>
    <w:tmpl w:val="E5B62998"/>
    <w:lvl w:ilvl="0" w:tplc="3648C126">
      <w:numFmt w:val="bullet"/>
      <w:lvlText w:val="&gt;"/>
      <w:lvlJc w:val="left"/>
      <w:pPr>
        <w:ind w:left="1080" w:hanging="360"/>
      </w:pPr>
      <w:rPr>
        <w:rFonts w:ascii="Courier New" w:hAnsi="Courier New" w:cs="Times New Roman" w:hint="default"/>
        <w:b/>
        <w:i w:val="0"/>
        <w:sz w:val="14"/>
      </w:rPr>
    </w:lvl>
    <w:lvl w:ilvl="1" w:tplc="0409000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307F53"/>
    <w:multiLevelType w:val="hybridMultilevel"/>
    <w:tmpl w:val="9DE6232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00711"/>
    <w:multiLevelType w:val="hybridMultilevel"/>
    <w:tmpl w:val="87A66978"/>
    <w:lvl w:ilvl="0" w:tplc="94FC0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50AD"/>
    <w:multiLevelType w:val="hybridMultilevel"/>
    <w:tmpl w:val="FF96ABF8"/>
    <w:lvl w:ilvl="0" w:tplc="04090001">
      <w:numFmt w:val="none"/>
      <w:pStyle w:val="Textbullet"/>
      <w:lvlText w:val="»"/>
      <w:lvlJc w:val="left"/>
      <w:pPr>
        <w:ind w:left="360" w:hanging="360"/>
      </w:pPr>
    </w:lvl>
    <w:lvl w:ilvl="1" w:tplc="04090003">
      <w:numFmt w:val="bullet"/>
      <w:lvlText w:val="&gt;"/>
      <w:lvlJc w:val="left"/>
      <w:pPr>
        <w:ind w:left="1080" w:hanging="360"/>
      </w:pPr>
      <w:rPr>
        <w:rFonts w:ascii="Courier New" w:hAnsi="Courier New" w:cs="Times New Roman" w:hint="default"/>
        <w:b/>
        <w:i w:val="0"/>
        <w:sz w:val="1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B0E83"/>
    <w:multiLevelType w:val="hybridMultilevel"/>
    <w:tmpl w:val="DD0A7F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483BCE"/>
    <w:multiLevelType w:val="hybridMultilevel"/>
    <w:tmpl w:val="1A0A305E"/>
    <w:lvl w:ilvl="0" w:tplc="00BEEE2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648C126">
      <w:numFmt w:val="bullet"/>
      <w:lvlText w:val="&gt;"/>
      <w:lvlJc w:val="left"/>
      <w:pPr>
        <w:ind w:left="360" w:hanging="360"/>
      </w:pPr>
      <w:rPr>
        <w:rFonts w:ascii="Courier New" w:hAnsi="Courier New" w:cs="Times New Roman" w:hint="default"/>
        <w:b/>
        <w:i w:val="0"/>
        <w:sz w:val="14"/>
      </w:rPr>
    </w:lvl>
    <w:lvl w:ilvl="2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F0547A0"/>
    <w:multiLevelType w:val="hybridMultilevel"/>
    <w:tmpl w:val="16BCAB68"/>
    <w:lvl w:ilvl="0" w:tplc="1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0DA5174"/>
    <w:multiLevelType w:val="hybridMultilevel"/>
    <w:tmpl w:val="1FCC1930"/>
    <w:lvl w:ilvl="0" w:tplc="59B4C2F6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b w:val="0"/>
        <w:i w:val="0"/>
        <w:color w:val="00000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443A8B"/>
    <w:multiLevelType w:val="hybridMultilevel"/>
    <w:tmpl w:val="4426F46A"/>
    <w:lvl w:ilvl="0" w:tplc="59B4C2F6">
      <w:start w:val="1"/>
      <w:numFmt w:val="bullet"/>
      <w:lvlText w:val="»"/>
      <w:lvlJc w:val="left"/>
      <w:pPr>
        <w:ind w:left="360" w:hanging="360"/>
      </w:pPr>
      <w:rPr>
        <w:rFonts w:ascii="Arial" w:hAnsi="Arial" w:hint="default"/>
        <w:b w:val="0"/>
        <w:i w:val="0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6836536">
    <w:abstractNumId w:val="1"/>
  </w:num>
  <w:num w:numId="2" w16cid:durableId="79841381">
    <w:abstractNumId w:val="3"/>
  </w:num>
  <w:num w:numId="3" w16cid:durableId="64547944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425342">
    <w:abstractNumId w:val="9"/>
  </w:num>
  <w:num w:numId="5" w16cid:durableId="385419617">
    <w:abstractNumId w:val="4"/>
  </w:num>
  <w:num w:numId="6" w16cid:durableId="626470084">
    <w:abstractNumId w:val="6"/>
  </w:num>
  <w:num w:numId="7" w16cid:durableId="333337735">
    <w:abstractNumId w:val="0"/>
  </w:num>
  <w:num w:numId="8" w16cid:durableId="276178823">
    <w:abstractNumId w:val="12"/>
  </w:num>
  <w:num w:numId="9" w16cid:durableId="1914387480">
    <w:abstractNumId w:val="11"/>
  </w:num>
  <w:num w:numId="10" w16cid:durableId="803933940">
    <w:abstractNumId w:val="5"/>
  </w:num>
  <w:num w:numId="11" w16cid:durableId="824585260">
    <w:abstractNumId w:val="8"/>
  </w:num>
  <w:num w:numId="12" w16cid:durableId="1690372859">
    <w:abstractNumId w:val="10"/>
  </w:num>
  <w:num w:numId="13" w16cid:durableId="572279693">
    <w:abstractNumId w:val="2"/>
  </w:num>
  <w:num w:numId="14" w16cid:durableId="1875465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3237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6132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8443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6300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0171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7898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241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B7"/>
    <w:rsid w:val="000012B3"/>
    <w:rsid w:val="00004B97"/>
    <w:rsid w:val="00005464"/>
    <w:rsid w:val="000054FB"/>
    <w:rsid w:val="00005D4A"/>
    <w:rsid w:val="000235BA"/>
    <w:rsid w:val="0003072D"/>
    <w:rsid w:val="00062D78"/>
    <w:rsid w:val="00065DA6"/>
    <w:rsid w:val="000672C2"/>
    <w:rsid w:val="000673C1"/>
    <w:rsid w:val="00072149"/>
    <w:rsid w:val="00072802"/>
    <w:rsid w:val="00074AA4"/>
    <w:rsid w:val="000852AA"/>
    <w:rsid w:val="000A7B56"/>
    <w:rsid w:val="000B53B1"/>
    <w:rsid w:val="000D4C5A"/>
    <w:rsid w:val="000D5EB6"/>
    <w:rsid w:val="000D6225"/>
    <w:rsid w:val="000D7C6C"/>
    <w:rsid w:val="000E1217"/>
    <w:rsid w:val="000E2A56"/>
    <w:rsid w:val="000E4F5A"/>
    <w:rsid w:val="000E7EC5"/>
    <w:rsid w:val="000F2730"/>
    <w:rsid w:val="000F2D56"/>
    <w:rsid w:val="001034AB"/>
    <w:rsid w:val="001109B3"/>
    <w:rsid w:val="00112BA8"/>
    <w:rsid w:val="001270D7"/>
    <w:rsid w:val="001351F0"/>
    <w:rsid w:val="00135821"/>
    <w:rsid w:val="00140093"/>
    <w:rsid w:val="00140F62"/>
    <w:rsid w:val="001522C2"/>
    <w:rsid w:val="00155B76"/>
    <w:rsid w:val="00156776"/>
    <w:rsid w:val="001571ED"/>
    <w:rsid w:val="001574DB"/>
    <w:rsid w:val="001635A0"/>
    <w:rsid w:val="0016396A"/>
    <w:rsid w:val="00165007"/>
    <w:rsid w:val="0017078D"/>
    <w:rsid w:val="001824D8"/>
    <w:rsid w:val="00185823"/>
    <w:rsid w:val="00192782"/>
    <w:rsid w:val="0019613B"/>
    <w:rsid w:val="001A1D85"/>
    <w:rsid w:val="001A1EA7"/>
    <w:rsid w:val="001B08BC"/>
    <w:rsid w:val="001B6F0E"/>
    <w:rsid w:val="001B7705"/>
    <w:rsid w:val="001C0AB7"/>
    <w:rsid w:val="001C6750"/>
    <w:rsid w:val="001C771D"/>
    <w:rsid w:val="001E2754"/>
    <w:rsid w:val="001E57F3"/>
    <w:rsid w:val="001E62C3"/>
    <w:rsid w:val="001E6949"/>
    <w:rsid w:val="001F519A"/>
    <w:rsid w:val="001F6540"/>
    <w:rsid w:val="0021502D"/>
    <w:rsid w:val="00220D6D"/>
    <w:rsid w:val="002262E4"/>
    <w:rsid w:val="0022766D"/>
    <w:rsid w:val="0023727E"/>
    <w:rsid w:val="0026440E"/>
    <w:rsid w:val="0028120B"/>
    <w:rsid w:val="00281657"/>
    <w:rsid w:val="002818C8"/>
    <w:rsid w:val="00282B88"/>
    <w:rsid w:val="00297A75"/>
    <w:rsid w:val="002A38E7"/>
    <w:rsid w:val="002B23DC"/>
    <w:rsid w:val="002E3EA3"/>
    <w:rsid w:val="002F19AF"/>
    <w:rsid w:val="002F207F"/>
    <w:rsid w:val="002F56BF"/>
    <w:rsid w:val="002F7BC9"/>
    <w:rsid w:val="00304653"/>
    <w:rsid w:val="0031156D"/>
    <w:rsid w:val="00312634"/>
    <w:rsid w:val="00335BB4"/>
    <w:rsid w:val="003809F6"/>
    <w:rsid w:val="003978DC"/>
    <w:rsid w:val="003A6A5C"/>
    <w:rsid w:val="003C4967"/>
    <w:rsid w:val="003C4CF2"/>
    <w:rsid w:val="003E4276"/>
    <w:rsid w:val="003E6249"/>
    <w:rsid w:val="003F23EB"/>
    <w:rsid w:val="00412E27"/>
    <w:rsid w:val="0041314A"/>
    <w:rsid w:val="00422E70"/>
    <w:rsid w:val="004511FC"/>
    <w:rsid w:val="0045286C"/>
    <w:rsid w:val="00453F02"/>
    <w:rsid w:val="004568D2"/>
    <w:rsid w:val="00466F17"/>
    <w:rsid w:val="00471C55"/>
    <w:rsid w:val="00487C8F"/>
    <w:rsid w:val="0049153D"/>
    <w:rsid w:val="00492BC8"/>
    <w:rsid w:val="00493C7C"/>
    <w:rsid w:val="00497BAA"/>
    <w:rsid w:val="004A38F0"/>
    <w:rsid w:val="004B5A48"/>
    <w:rsid w:val="004C7E1C"/>
    <w:rsid w:val="004D7650"/>
    <w:rsid w:val="004E7DC1"/>
    <w:rsid w:val="004F0B49"/>
    <w:rsid w:val="00500DE3"/>
    <w:rsid w:val="00506E6C"/>
    <w:rsid w:val="00510877"/>
    <w:rsid w:val="00517118"/>
    <w:rsid w:val="00524126"/>
    <w:rsid w:val="00526084"/>
    <w:rsid w:val="005371E8"/>
    <w:rsid w:val="0054215A"/>
    <w:rsid w:val="00544491"/>
    <w:rsid w:val="005502C7"/>
    <w:rsid w:val="0055743F"/>
    <w:rsid w:val="00561A88"/>
    <w:rsid w:val="005636E0"/>
    <w:rsid w:val="005636ED"/>
    <w:rsid w:val="00571FA2"/>
    <w:rsid w:val="005741CB"/>
    <w:rsid w:val="0058073B"/>
    <w:rsid w:val="00591219"/>
    <w:rsid w:val="005A46F6"/>
    <w:rsid w:val="005B70CD"/>
    <w:rsid w:val="005D63AC"/>
    <w:rsid w:val="005E0F7F"/>
    <w:rsid w:val="005F1A34"/>
    <w:rsid w:val="005F5588"/>
    <w:rsid w:val="006138E4"/>
    <w:rsid w:val="00622224"/>
    <w:rsid w:val="006279B9"/>
    <w:rsid w:val="00627E23"/>
    <w:rsid w:val="006375B8"/>
    <w:rsid w:val="00640CBD"/>
    <w:rsid w:val="00647194"/>
    <w:rsid w:val="00650D92"/>
    <w:rsid w:val="0066280B"/>
    <w:rsid w:val="00670BD4"/>
    <w:rsid w:val="006737BE"/>
    <w:rsid w:val="006964BB"/>
    <w:rsid w:val="0069672B"/>
    <w:rsid w:val="006A4D8C"/>
    <w:rsid w:val="006B2D06"/>
    <w:rsid w:val="006B5DDD"/>
    <w:rsid w:val="006B69FC"/>
    <w:rsid w:val="006C12B0"/>
    <w:rsid w:val="006C31B8"/>
    <w:rsid w:val="006C3A1C"/>
    <w:rsid w:val="006C3EA2"/>
    <w:rsid w:val="006D06DF"/>
    <w:rsid w:val="006D344C"/>
    <w:rsid w:val="006D621B"/>
    <w:rsid w:val="006E1B56"/>
    <w:rsid w:val="006E2E6E"/>
    <w:rsid w:val="006E3F26"/>
    <w:rsid w:val="006F4573"/>
    <w:rsid w:val="00707250"/>
    <w:rsid w:val="00712EDE"/>
    <w:rsid w:val="00714C11"/>
    <w:rsid w:val="00716F1C"/>
    <w:rsid w:val="007172B8"/>
    <w:rsid w:val="00721F37"/>
    <w:rsid w:val="007274BF"/>
    <w:rsid w:val="00733421"/>
    <w:rsid w:val="00734EA8"/>
    <w:rsid w:val="007376F6"/>
    <w:rsid w:val="0074127A"/>
    <w:rsid w:val="007467CD"/>
    <w:rsid w:val="00755E6A"/>
    <w:rsid w:val="00756984"/>
    <w:rsid w:val="007616E7"/>
    <w:rsid w:val="0076321D"/>
    <w:rsid w:val="007648EA"/>
    <w:rsid w:val="00783BF2"/>
    <w:rsid w:val="007868B3"/>
    <w:rsid w:val="00786D1B"/>
    <w:rsid w:val="00793AEF"/>
    <w:rsid w:val="007A0DD1"/>
    <w:rsid w:val="007A7418"/>
    <w:rsid w:val="007B59AC"/>
    <w:rsid w:val="007C4E86"/>
    <w:rsid w:val="007C5C1A"/>
    <w:rsid w:val="007D64E4"/>
    <w:rsid w:val="007E2055"/>
    <w:rsid w:val="007E6E3D"/>
    <w:rsid w:val="007F5DD8"/>
    <w:rsid w:val="0081655A"/>
    <w:rsid w:val="00820205"/>
    <w:rsid w:val="008218E2"/>
    <w:rsid w:val="0082253F"/>
    <w:rsid w:val="00831FDB"/>
    <w:rsid w:val="00837B94"/>
    <w:rsid w:val="00841AD1"/>
    <w:rsid w:val="0085335D"/>
    <w:rsid w:val="00881219"/>
    <w:rsid w:val="00882E54"/>
    <w:rsid w:val="0088547A"/>
    <w:rsid w:val="008A0328"/>
    <w:rsid w:val="008B4A93"/>
    <w:rsid w:val="008C07BA"/>
    <w:rsid w:val="008C4DFD"/>
    <w:rsid w:val="008C6E18"/>
    <w:rsid w:val="008D1CF5"/>
    <w:rsid w:val="008E0817"/>
    <w:rsid w:val="008F26E5"/>
    <w:rsid w:val="008F2CC3"/>
    <w:rsid w:val="008F63A6"/>
    <w:rsid w:val="00903C05"/>
    <w:rsid w:val="00907B4F"/>
    <w:rsid w:val="00910324"/>
    <w:rsid w:val="00950DF1"/>
    <w:rsid w:val="00957C2E"/>
    <w:rsid w:val="00963AF2"/>
    <w:rsid w:val="00964883"/>
    <w:rsid w:val="009651B5"/>
    <w:rsid w:val="00966D36"/>
    <w:rsid w:val="00972D44"/>
    <w:rsid w:val="0097387A"/>
    <w:rsid w:val="0097594A"/>
    <w:rsid w:val="009A0B63"/>
    <w:rsid w:val="009A30BE"/>
    <w:rsid w:val="009A4066"/>
    <w:rsid w:val="009A677B"/>
    <w:rsid w:val="009B53EC"/>
    <w:rsid w:val="009B6BCD"/>
    <w:rsid w:val="009B6EE3"/>
    <w:rsid w:val="009C4E9A"/>
    <w:rsid w:val="009C5AFC"/>
    <w:rsid w:val="009C6502"/>
    <w:rsid w:val="009C7789"/>
    <w:rsid w:val="009E1F9D"/>
    <w:rsid w:val="009E5B52"/>
    <w:rsid w:val="009F15E6"/>
    <w:rsid w:val="009F5601"/>
    <w:rsid w:val="009F5CEC"/>
    <w:rsid w:val="009F6FAB"/>
    <w:rsid w:val="00A02495"/>
    <w:rsid w:val="00A04393"/>
    <w:rsid w:val="00A10804"/>
    <w:rsid w:val="00A11F43"/>
    <w:rsid w:val="00A13616"/>
    <w:rsid w:val="00A1506C"/>
    <w:rsid w:val="00A23C85"/>
    <w:rsid w:val="00A42EAF"/>
    <w:rsid w:val="00A51FEE"/>
    <w:rsid w:val="00A5481A"/>
    <w:rsid w:val="00A60CE9"/>
    <w:rsid w:val="00A81CAB"/>
    <w:rsid w:val="00A84427"/>
    <w:rsid w:val="00A94DAD"/>
    <w:rsid w:val="00A951B1"/>
    <w:rsid w:val="00AB1F2A"/>
    <w:rsid w:val="00AB5B2B"/>
    <w:rsid w:val="00AD06F4"/>
    <w:rsid w:val="00AD4829"/>
    <w:rsid w:val="00AE3551"/>
    <w:rsid w:val="00AE63ED"/>
    <w:rsid w:val="00AE7ADD"/>
    <w:rsid w:val="00AF3A67"/>
    <w:rsid w:val="00B05419"/>
    <w:rsid w:val="00B17CF3"/>
    <w:rsid w:val="00B20987"/>
    <w:rsid w:val="00B22830"/>
    <w:rsid w:val="00B22F2F"/>
    <w:rsid w:val="00B3051A"/>
    <w:rsid w:val="00B407D1"/>
    <w:rsid w:val="00B45499"/>
    <w:rsid w:val="00B459B1"/>
    <w:rsid w:val="00B45AE5"/>
    <w:rsid w:val="00B5232C"/>
    <w:rsid w:val="00B525CB"/>
    <w:rsid w:val="00B53FAA"/>
    <w:rsid w:val="00B67669"/>
    <w:rsid w:val="00B832D9"/>
    <w:rsid w:val="00B90060"/>
    <w:rsid w:val="00BB329A"/>
    <w:rsid w:val="00BB44D2"/>
    <w:rsid w:val="00BB4576"/>
    <w:rsid w:val="00BC2692"/>
    <w:rsid w:val="00BC2D1A"/>
    <w:rsid w:val="00BC4F32"/>
    <w:rsid w:val="00BC6208"/>
    <w:rsid w:val="00BC6E5C"/>
    <w:rsid w:val="00BD3E58"/>
    <w:rsid w:val="00BE666D"/>
    <w:rsid w:val="00BF10FF"/>
    <w:rsid w:val="00BF2CD4"/>
    <w:rsid w:val="00BF3226"/>
    <w:rsid w:val="00C02F5E"/>
    <w:rsid w:val="00C12277"/>
    <w:rsid w:val="00C1693C"/>
    <w:rsid w:val="00C20554"/>
    <w:rsid w:val="00C2113E"/>
    <w:rsid w:val="00C26B54"/>
    <w:rsid w:val="00C337BB"/>
    <w:rsid w:val="00C41026"/>
    <w:rsid w:val="00C46D1E"/>
    <w:rsid w:val="00C6371D"/>
    <w:rsid w:val="00C80452"/>
    <w:rsid w:val="00C805D8"/>
    <w:rsid w:val="00C80AC7"/>
    <w:rsid w:val="00C80BF2"/>
    <w:rsid w:val="00C829A4"/>
    <w:rsid w:val="00C83190"/>
    <w:rsid w:val="00C83C60"/>
    <w:rsid w:val="00C955A8"/>
    <w:rsid w:val="00CA02F9"/>
    <w:rsid w:val="00CA240A"/>
    <w:rsid w:val="00CA65E9"/>
    <w:rsid w:val="00CB1E47"/>
    <w:rsid w:val="00CD0EDB"/>
    <w:rsid w:val="00CD2DA8"/>
    <w:rsid w:val="00CD67E7"/>
    <w:rsid w:val="00CE1D42"/>
    <w:rsid w:val="00CE728B"/>
    <w:rsid w:val="00CF243F"/>
    <w:rsid w:val="00D02332"/>
    <w:rsid w:val="00D03C01"/>
    <w:rsid w:val="00D044D5"/>
    <w:rsid w:val="00D20544"/>
    <w:rsid w:val="00D23122"/>
    <w:rsid w:val="00D25A3C"/>
    <w:rsid w:val="00D2608E"/>
    <w:rsid w:val="00D27DA3"/>
    <w:rsid w:val="00D306C8"/>
    <w:rsid w:val="00D31048"/>
    <w:rsid w:val="00D35218"/>
    <w:rsid w:val="00D45780"/>
    <w:rsid w:val="00D45977"/>
    <w:rsid w:val="00D47B63"/>
    <w:rsid w:val="00D52A79"/>
    <w:rsid w:val="00D575B5"/>
    <w:rsid w:val="00D64881"/>
    <w:rsid w:val="00D954E6"/>
    <w:rsid w:val="00D966B6"/>
    <w:rsid w:val="00DA04FC"/>
    <w:rsid w:val="00DA21EF"/>
    <w:rsid w:val="00DA4676"/>
    <w:rsid w:val="00DA4746"/>
    <w:rsid w:val="00DB1E69"/>
    <w:rsid w:val="00DB2145"/>
    <w:rsid w:val="00DB5058"/>
    <w:rsid w:val="00DB50DE"/>
    <w:rsid w:val="00DB5E90"/>
    <w:rsid w:val="00DB78EF"/>
    <w:rsid w:val="00DB7A43"/>
    <w:rsid w:val="00DC2FEF"/>
    <w:rsid w:val="00DC3E12"/>
    <w:rsid w:val="00DF382C"/>
    <w:rsid w:val="00E00A30"/>
    <w:rsid w:val="00E02EB8"/>
    <w:rsid w:val="00E12048"/>
    <w:rsid w:val="00E1403F"/>
    <w:rsid w:val="00E2117B"/>
    <w:rsid w:val="00E24FD0"/>
    <w:rsid w:val="00E3054E"/>
    <w:rsid w:val="00E40DF4"/>
    <w:rsid w:val="00E55A2D"/>
    <w:rsid w:val="00E57729"/>
    <w:rsid w:val="00E7162F"/>
    <w:rsid w:val="00E71F83"/>
    <w:rsid w:val="00E7376F"/>
    <w:rsid w:val="00E817CB"/>
    <w:rsid w:val="00E81BDE"/>
    <w:rsid w:val="00E82DAD"/>
    <w:rsid w:val="00E90B9B"/>
    <w:rsid w:val="00EA21F9"/>
    <w:rsid w:val="00EB4815"/>
    <w:rsid w:val="00EB514A"/>
    <w:rsid w:val="00EB725A"/>
    <w:rsid w:val="00EC1602"/>
    <w:rsid w:val="00EC1F33"/>
    <w:rsid w:val="00EC5FFA"/>
    <w:rsid w:val="00ED1D7E"/>
    <w:rsid w:val="00EE0213"/>
    <w:rsid w:val="00EE032E"/>
    <w:rsid w:val="00EE5490"/>
    <w:rsid w:val="00EF1BFA"/>
    <w:rsid w:val="00EF4A82"/>
    <w:rsid w:val="00F05A67"/>
    <w:rsid w:val="00F10773"/>
    <w:rsid w:val="00F13DA7"/>
    <w:rsid w:val="00F1467E"/>
    <w:rsid w:val="00F15EFC"/>
    <w:rsid w:val="00F25523"/>
    <w:rsid w:val="00F270CF"/>
    <w:rsid w:val="00F302C1"/>
    <w:rsid w:val="00F36E13"/>
    <w:rsid w:val="00F40C23"/>
    <w:rsid w:val="00F606A0"/>
    <w:rsid w:val="00F65743"/>
    <w:rsid w:val="00F70C62"/>
    <w:rsid w:val="00F71CBC"/>
    <w:rsid w:val="00F73A1D"/>
    <w:rsid w:val="00F91175"/>
    <w:rsid w:val="00FC5A34"/>
    <w:rsid w:val="00FC7214"/>
    <w:rsid w:val="00FC796D"/>
    <w:rsid w:val="00FD10C4"/>
    <w:rsid w:val="00FD1688"/>
    <w:rsid w:val="00FD2EE5"/>
    <w:rsid w:val="00FD6280"/>
    <w:rsid w:val="00FE04F1"/>
    <w:rsid w:val="00FE4279"/>
    <w:rsid w:val="00FE5DD8"/>
    <w:rsid w:val="00FF1256"/>
    <w:rsid w:val="00FF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5A39E"/>
  <w15:docId w15:val="{BAFC0D06-B0F7-474E-8918-207DAAE8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8E2"/>
    <w:rPr>
      <w:rFonts w:ascii="Arial" w:hAnsi="Arial" w:cs="Arial"/>
      <w:bCs/>
      <w:color w:val="000000"/>
      <w:sz w:val="18"/>
      <w:szCs w:val="16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2F207F"/>
    <w:pPr>
      <w:keepNext/>
      <w:shd w:val="clear" w:color="auto" w:fill="E6E6E6"/>
      <w:ind w:left="540" w:hanging="540"/>
      <w:outlineLvl w:val="0"/>
    </w:pPr>
    <w:rPr>
      <w:b/>
      <w:caps/>
      <w:color w:val="auto"/>
      <w:sz w:val="22"/>
      <w:szCs w:val="22"/>
      <w:lang w:val="en-GB" w:eastAsia="en-GB"/>
    </w:rPr>
  </w:style>
  <w:style w:type="paragraph" w:styleId="Heading2">
    <w:name w:val="heading 2"/>
    <w:basedOn w:val="Normal"/>
    <w:next w:val="Normal"/>
    <w:autoRedefine/>
    <w:qFormat/>
    <w:rsid w:val="008218E2"/>
    <w:pPr>
      <w:keepNext/>
      <w:outlineLvl w:val="1"/>
    </w:pPr>
    <w:rPr>
      <w:b/>
      <w:iCs/>
      <w:caps/>
      <w:sz w:val="20"/>
      <w:szCs w:val="28"/>
    </w:rPr>
  </w:style>
  <w:style w:type="paragraph" w:styleId="Heading3">
    <w:name w:val="heading 3"/>
    <w:basedOn w:val="Normal"/>
    <w:next w:val="Normal"/>
    <w:autoRedefine/>
    <w:qFormat/>
    <w:rsid w:val="008218E2"/>
    <w:pPr>
      <w:keepNext/>
      <w:outlineLvl w:val="2"/>
    </w:pPr>
    <w:rPr>
      <w:b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AB7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autoRedefine/>
    <w:rsid w:val="008218E2"/>
    <w:pPr>
      <w:shd w:val="clear" w:color="auto" w:fill="000000"/>
      <w:jc w:val="center"/>
      <w:outlineLvl w:val="0"/>
    </w:pPr>
    <w:rPr>
      <w:rFonts w:cs="Times New Roman"/>
      <w:b/>
      <w:bCs w:val="0"/>
      <w:caps/>
      <w:color w:val="auto"/>
      <w:sz w:val="24"/>
      <w:szCs w:val="20"/>
      <w:lang w:val="en-ZA"/>
    </w:rPr>
  </w:style>
  <w:style w:type="paragraph" w:customStyle="1" w:styleId="ep0">
    <w:name w:val="ep0"/>
    <w:autoRedefine/>
    <w:rsid w:val="0017078D"/>
    <w:pPr>
      <w:widowControl w:val="0"/>
      <w:jc w:val="both"/>
    </w:pPr>
    <w:rPr>
      <w:rFonts w:ascii="Arial" w:hAnsi="Arial" w:cs="Arial"/>
      <w:spacing w:val="-4"/>
      <w:sz w:val="18"/>
      <w:lang w:eastAsia="en-US"/>
    </w:rPr>
  </w:style>
  <w:style w:type="character" w:styleId="PageNumber">
    <w:name w:val="page number"/>
    <w:basedOn w:val="DefaultParagraphFont"/>
    <w:semiHidden/>
    <w:rsid w:val="008218E2"/>
  </w:style>
  <w:style w:type="paragraph" w:styleId="Footer">
    <w:name w:val="footer"/>
    <w:basedOn w:val="Normal"/>
    <w:link w:val="FooterChar"/>
    <w:uiPriority w:val="99"/>
    <w:unhideWhenUsed/>
    <w:rsid w:val="004E5975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autoRedefine/>
    <w:semiHidden/>
    <w:rsid w:val="00577F2B"/>
    <w:pPr>
      <w:tabs>
        <w:tab w:val="center" w:pos="5220"/>
        <w:tab w:val="right" w:pos="8306"/>
      </w:tabs>
    </w:pPr>
    <w:rPr>
      <w:b/>
      <w:smallCaps/>
      <w:lang w:val="en-ZA"/>
    </w:rPr>
  </w:style>
  <w:style w:type="paragraph" w:styleId="BodyText2">
    <w:name w:val="Body Text 2"/>
    <w:basedOn w:val="Normal"/>
    <w:semiHidden/>
    <w:rsid w:val="008218E2"/>
    <w:rPr>
      <w:b/>
      <w:bCs w:val="0"/>
    </w:rPr>
  </w:style>
  <w:style w:type="paragraph" w:styleId="BalloonText">
    <w:name w:val="Balloon Text"/>
    <w:basedOn w:val="Normal"/>
    <w:semiHidden/>
    <w:rsid w:val="008218E2"/>
    <w:rPr>
      <w:rFonts w:ascii="Tahoma" w:hAnsi="Tahoma" w:cs="Tahoma"/>
      <w:sz w:val="16"/>
    </w:rPr>
  </w:style>
  <w:style w:type="paragraph" w:styleId="BodyTextIndent">
    <w:name w:val="Body Text Indent"/>
    <w:basedOn w:val="Normal"/>
    <w:semiHidden/>
    <w:rsid w:val="008218E2"/>
    <w:pPr>
      <w:ind w:left="340"/>
    </w:pPr>
    <w:rPr>
      <w:bCs w:val="0"/>
      <w:color w:val="auto"/>
      <w:spacing w:val="-2"/>
      <w:szCs w:val="20"/>
      <w:lang w:val="en-GB"/>
    </w:rPr>
  </w:style>
  <w:style w:type="paragraph" w:styleId="BodyText">
    <w:name w:val="Body Text"/>
    <w:basedOn w:val="Normal"/>
    <w:semiHidden/>
    <w:rsid w:val="008218E2"/>
    <w:pPr>
      <w:jc w:val="both"/>
    </w:pPr>
  </w:style>
  <w:style w:type="paragraph" w:styleId="BodyText3">
    <w:name w:val="Body Text 3"/>
    <w:basedOn w:val="Normal"/>
    <w:semiHidden/>
    <w:rsid w:val="008218E2"/>
    <w:rPr>
      <w:rFonts w:cs="Times New Roman"/>
      <w:bCs w:val="0"/>
      <w:color w:val="auto"/>
      <w:szCs w:val="24"/>
      <w:lang w:val="en-ZA"/>
    </w:rPr>
  </w:style>
  <w:style w:type="paragraph" w:customStyle="1" w:styleId="elist">
    <w:name w:val="elist"/>
    <w:basedOn w:val="ep0"/>
    <w:autoRedefine/>
    <w:rsid w:val="008218E2"/>
    <w:pPr>
      <w:numPr>
        <w:numId w:val="1"/>
      </w:numPr>
      <w:tabs>
        <w:tab w:val="left" w:pos="113"/>
      </w:tabs>
    </w:pPr>
  </w:style>
  <w:style w:type="character" w:customStyle="1" w:styleId="Heading6Char">
    <w:name w:val="Heading 6 Char"/>
    <w:link w:val="Heading6"/>
    <w:uiPriority w:val="9"/>
    <w:semiHidden/>
    <w:rsid w:val="001C0AB7"/>
    <w:rPr>
      <w:rFonts w:ascii="Calibri" w:eastAsia="Times New Roman" w:hAnsi="Calibri" w:cs="Times New Roman"/>
      <w:b/>
      <w:color w:val="000000"/>
      <w:sz w:val="22"/>
      <w:szCs w:val="22"/>
      <w:lang w:val="en-US" w:eastAsia="en-US"/>
    </w:rPr>
  </w:style>
  <w:style w:type="paragraph" w:customStyle="1" w:styleId="ep4">
    <w:name w:val="ep4"/>
    <w:basedOn w:val="ep0"/>
    <w:autoRedefine/>
    <w:rsid w:val="0017078D"/>
    <w:pPr>
      <w:jc w:val="left"/>
    </w:pPr>
  </w:style>
  <w:style w:type="character" w:styleId="CommentReference">
    <w:name w:val="annotation reference"/>
    <w:semiHidden/>
    <w:rsid w:val="009174AB"/>
    <w:rPr>
      <w:sz w:val="16"/>
      <w:szCs w:val="16"/>
    </w:rPr>
  </w:style>
  <w:style w:type="paragraph" w:styleId="CommentText">
    <w:name w:val="annotation text"/>
    <w:basedOn w:val="Normal"/>
    <w:semiHidden/>
    <w:rsid w:val="009174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174AB"/>
    <w:rPr>
      <w:b/>
    </w:rPr>
  </w:style>
  <w:style w:type="paragraph" w:customStyle="1" w:styleId="ListBulletleftalign">
    <w:name w:val="List Bullet left align"/>
    <w:basedOn w:val="ListBullet"/>
    <w:rsid w:val="001C13DA"/>
    <w:pPr>
      <w:numPr>
        <w:numId w:val="0"/>
      </w:numPr>
      <w:tabs>
        <w:tab w:val="num" w:pos="720"/>
      </w:tabs>
      <w:spacing w:after="240" w:line="360" w:lineRule="auto"/>
      <w:ind w:left="720" w:hanging="360"/>
      <w:contextualSpacing w:val="0"/>
    </w:pPr>
    <w:rPr>
      <w:rFonts w:cs="Times New Roman"/>
      <w:bCs w:val="0"/>
      <w:color w:val="auto"/>
      <w:sz w:val="24"/>
      <w:szCs w:val="24"/>
    </w:rPr>
  </w:style>
  <w:style w:type="character" w:customStyle="1" w:styleId="Numberedheading5Char">
    <w:name w:val="Numbered heading 5 Char"/>
    <w:rsid w:val="001C13DA"/>
    <w:rPr>
      <w:rFonts w:ascii="Arial" w:hAnsi="Arial" w:cs="Arial" w:hint="default"/>
      <w:b/>
      <w:bCs/>
      <w:i/>
      <w:iCs/>
      <w:noProof w:val="0"/>
      <w:sz w:val="24"/>
      <w:szCs w:val="26"/>
      <w:lang w:val="en-GB" w:eastAsia="en-US" w:bidi="ar-SA"/>
    </w:rPr>
  </w:style>
  <w:style w:type="paragraph" w:customStyle="1" w:styleId="Numberedlevel3text">
    <w:name w:val="Numbered level 3 text"/>
    <w:basedOn w:val="Normal"/>
    <w:rsid w:val="001C13DA"/>
    <w:pPr>
      <w:keepNext/>
      <w:tabs>
        <w:tab w:val="num" w:pos="2160"/>
      </w:tabs>
      <w:spacing w:before="240" w:after="120" w:line="360" w:lineRule="auto"/>
    </w:pPr>
    <w:rPr>
      <w:color w:val="auto"/>
      <w:sz w:val="24"/>
      <w:szCs w:val="24"/>
      <w:lang w:val="en-GB"/>
    </w:rPr>
  </w:style>
  <w:style w:type="character" w:customStyle="1" w:styleId="StyleLastiteminlistBoldChar">
    <w:name w:val="Style Last item in list + Bold Char"/>
    <w:rsid w:val="001C13DA"/>
    <w:rPr>
      <w:rFonts w:ascii="Arial" w:hAnsi="Arial" w:cs="Arial" w:hint="default"/>
      <w:b/>
      <w:bCs/>
      <w:sz w:val="24"/>
      <w:szCs w:val="24"/>
      <w:lang w:val="en-GB" w:eastAsia="en-US" w:bidi="ar-SA"/>
    </w:rPr>
  </w:style>
  <w:style w:type="character" w:customStyle="1" w:styleId="UnnumberedboldheadingChar">
    <w:name w:val="Unnumbered bold heading Char"/>
    <w:link w:val="Unnumberedboldheading"/>
    <w:locked/>
    <w:rsid w:val="001C13DA"/>
    <w:rPr>
      <w:rFonts w:ascii="Arial" w:hAnsi="Arial" w:cs="Arial"/>
      <w:b/>
      <w:bCs/>
      <w:sz w:val="24"/>
      <w:szCs w:val="24"/>
    </w:rPr>
  </w:style>
  <w:style w:type="paragraph" w:customStyle="1" w:styleId="Unnumberedboldheading">
    <w:name w:val="Unnumbered bold heading"/>
    <w:basedOn w:val="Normal"/>
    <w:next w:val="Normal"/>
    <w:link w:val="UnnumberedboldheadingChar"/>
    <w:rsid w:val="001C13DA"/>
    <w:pPr>
      <w:keepNext/>
      <w:spacing w:before="240" w:after="120" w:line="360" w:lineRule="auto"/>
    </w:pPr>
    <w:rPr>
      <w:rFonts w:cs="Times New Roman"/>
      <w:b/>
      <w:color w:val="auto"/>
      <w:sz w:val="24"/>
      <w:szCs w:val="24"/>
    </w:rPr>
  </w:style>
  <w:style w:type="character" w:customStyle="1" w:styleId="RecommendationtextChar">
    <w:name w:val="Recommendation text Char"/>
    <w:rsid w:val="001C13DA"/>
    <w:rPr>
      <w:rFonts w:ascii="Arial" w:hAnsi="Arial" w:cs="Arial" w:hint="default"/>
      <w:iCs/>
      <w:sz w:val="24"/>
      <w:szCs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C13DA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color w:val="auto"/>
      <w:sz w:val="22"/>
      <w:szCs w:val="22"/>
      <w:lang w:val="en-ZA"/>
    </w:rPr>
  </w:style>
  <w:style w:type="table" w:styleId="TableGrid">
    <w:name w:val="Table Grid"/>
    <w:basedOn w:val="TableNormal"/>
    <w:uiPriority w:val="59"/>
    <w:rsid w:val="001C13DA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uiPriority w:val="99"/>
    <w:semiHidden/>
    <w:unhideWhenUsed/>
    <w:rsid w:val="001C13DA"/>
    <w:pPr>
      <w:numPr>
        <w:numId w:val="2"/>
      </w:num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E5975"/>
    <w:rPr>
      <w:rFonts w:ascii="Arial" w:hAnsi="Arial" w:cs="Arial"/>
      <w:bCs/>
      <w:color w:val="000000"/>
      <w:sz w:val="18"/>
      <w:szCs w:val="16"/>
      <w:lang w:val="en-US" w:eastAsia="en-US"/>
    </w:rPr>
  </w:style>
  <w:style w:type="character" w:customStyle="1" w:styleId="st1">
    <w:name w:val="st1"/>
    <w:basedOn w:val="DefaultParagraphFont"/>
    <w:rsid w:val="00A14C45"/>
  </w:style>
  <w:style w:type="paragraph" w:customStyle="1" w:styleId="ChapterHeader">
    <w:name w:val="Chapter Header"/>
    <w:qFormat/>
    <w:rsid w:val="00E64F04"/>
    <w:pPr>
      <w:spacing w:line="360" w:lineRule="auto"/>
      <w:jc w:val="center"/>
    </w:pPr>
    <w:rPr>
      <w:rFonts w:ascii="Arial" w:hAnsi="Arial" w:cs="Arial"/>
      <w:b/>
      <w:noProof/>
      <w:color w:val="000000"/>
      <w:sz w:val="28"/>
      <w:szCs w:val="18"/>
      <w:lang w:eastAsia="en-US"/>
    </w:rPr>
  </w:style>
  <w:style w:type="paragraph" w:customStyle="1" w:styleId="Textbullet">
    <w:name w:val="Text bullet"/>
    <w:basedOn w:val="Normal"/>
    <w:qFormat/>
    <w:rsid w:val="00CE3291"/>
    <w:pPr>
      <w:numPr>
        <w:numId w:val="3"/>
      </w:numPr>
      <w:jc w:val="both"/>
    </w:pPr>
    <w:rPr>
      <w:bCs w:val="0"/>
      <w:noProof/>
      <w:szCs w:val="18"/>
      <w:lang w:val="en-ZA"/>
    </w:rPr>
  </w:style>
  <w:style w:type="paragraph" w:customStyle="1" w:styleId="Default">
    <w:name w:val="Default"/>
    <w:rsid w:val="00910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571FA2"/>
    <w:rPr>
      <w:color w:val="0000FF"/>
      <w:u w:val="single"/>
    </w:rPr>
  </w:style>
  <w:style w:type="character" w:styleId="EndnoteReference">
    <w:name w:val="endnote reference"/>
    <w:basedOn w:val="DefaultParagraphFont"/>
    <w:rsid w:val="00571FA2"/>
    <w:rPr>
      <w:vertAlign w:val="superscript"/>
    </w:rPr>
  </w:style>
  <w:style w:type="paragraph" w:customStyle="1" w:styleId="Level1">
    <w:name w:val="Level 1"/>
    <w:basedOn w:val="Normal"/>
    <w:rsid w:val="000235BA"/>
    <w:pPr>
      <w:widowControl w:val="0"/>
      <w:autoSpaceDE w:val="0"/>
      <w:autoSpaceDN w:val="0"/>
      <w:adjustRightInd w:val="0"/>
      <w:ind w:left="333" w:hanging="170"/>
      <w:jc w:val="both"/>
    </w:pPr>
    <w:rPr>
      <w:rFonts w:ascii="Times New Roman" w:hAnsi="Times New Roman" w:cs="Times New Roman"/>
      <w:b/>
      <w:bCs w:val="0"/>
      <w:color w:val="auto"/>
      <w:szCs w:val="24"/>
    </w:rPr>
  </w:style>
  <w:style w:type="paragraph" w:styleId="NoSpacing">
    <w:name w:val="No Spacing"/>
    <w:uiPriority w:val="1"/>
    <w:qFormat/>
    <w:rsid w:val="005B70C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B1E69"/>
    <w:rPr>
      <w:rFonts w:ascii="Arial" w:hAnsi="Arial" w:cs="Arial"/>
      <w:bCs/>
      <w:color w:val="000000"/>
      <w:sz w:val="18"/>
      <w:szCs w:val="16"/>
      <w:lang w:val="en-US" w:eastAsia="en-US"/>
    </w:rPr>
  </w:style>
  <w:style w:type="paragraph" w:styleId="EndnoteText">
    <w:name w:val="endnote text"/>
    <w:basedOn w:val="Normal"/>
    <w:link w:val="EndnoteTextChar"/>
    <w:rsid w:val="00E12048"/>
    <w:rPr>
      <w:rFonts w:ascii="Times New Roman" w:hAnsi="Times New Roman" w:cs="Times New Roman"/>
      <w:bCs w:val="0"/>
      <w:color w:val="auto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E12048"/>
    <w:rPr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F70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reproductivehealth/publications/rtis/syphilis-treatment-guidelines/en/" TargetMode="External"/><Relationship Id="rId13" Type="http://schemas.openxmlformats.org/officeDocument/2006/relationships/hyperlink" Target="https://www.ncbi.nlm.nih.gov/pubmed/24787368" TargetMode="External"/><Relationship Id="rId3" Type="http://schemas.openxmlformats.org/officeDocument/2006/relationships/hyperlink" Target="https://www.ncbi.nlm.nih.gov/pubmed/26042815" TargetMode="External"/><Relationship Id="rId7" Type="http://schemas.openxmlformats.org/officeDocument/2006/relationships/hyperlink" Target="https://www.ncbi.nlm.nih.gov/pubmed/26042815" TargetMode="External"/><Relationship Id="rId12" Type="http://schemas.openxmlformats.org/officeDocument/2006/relationships/hyperlink" Target="https://www.ncbi.nlm.nih.gov/pubmed/19191633" TargetMode="External"/><Relationship Id="rId2" Type="http://schemas.openxmlformats.org/officeDocument/2006/relationships/hyperlink" Target="https://www.ncbi.nlm.nih.gov/pubmed/24400344" TargetMode="External"/><Relationship Id="rId1" Type="http://schemas.openxmlformats.org/officeDocument/2006/relationships/hyperlink" Target="https://www.ncbi.nlm.nih.gov/pubmed/24400344" TargetMode="External"/><Relationship Id="rId6" Type="http://schemas.openxmlformats.org/officeDocument/2006/relationships/hyperlink" Target="https://www.ncbi.nlm.nih.gov/pubmed/26042815" TargetMode="External"/><Relationship Id="rId11" Type="http://schemas.openxmlformats.org/officeDocument/2006/relationships/hyperlink" Target="https://www.ncbi.nlm.nih.gov/pubmed/26042815" TargetMode="External"/><Relationship Id="rId5" Type="http://schemas.openxmlformats.org/officeDocument/2006/relationships/hyperlink" Target="https://www.ncbi.nlm.nih.gov/pubmed/26042815" TargetMode="External"/><Relationship Id="rId10" Type="http://schemas.openxmlformats.org/officeDocument/2006/relationships/hyperlink" Target="https://www.ncbi.nlm.nih.gov/pubmed/26042815" TargetMode="External"/><Relationship Id="rId4" Type="http://schemas.openxmlformats.org/officeDocument/2006/relationships/hyperlink" Target="http://apps.who.int/iris/bitstream/10665/246114/1/9789241549691-eng.pdf" TargetMode="External"/><Relationship Id="rId9" Type="http://schemas.openxmlformats.org/officeDocument/2006/relationships/hyperlink" Target="https://www.ncbi.nlm.nih.gov/pubmed/2508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C613B-2ACA-4DE1-827E-1BD9B093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DoH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LeongT</dc:creator>
  <cp:lastModifiedBy>Maropeng Rapetsoa</cp:lastModifiedBy>
  <cp:revision>5</cp:revision>
  <cp:lastPrinted>2012-05-23T20:19:00Z</cp:lastPrinted>
  <dcterms:created xsi:type="dcterms:W3CDTF">2020-03-25T13:29:00Z</dcterms:created>
  <dcterms:modified xsi:type="dcterms:W3CDTF">2025-08-04T12:42:00Z</dcterms:modified>
</cp:coreProperties>
</file>