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02F85" w14:textId="77777777" w:rsidR="00C605DA" w:rsidRPr="00D6340F" w:rsidRDefault="00C605DA" w:rsidP="00C605DA">
      <w:pPr>
        <w:pStyle w:val="ChapterHeader"/>
        <w:rPr>
          <w:lang w:val="en-GB"/>
        </w:rPr>
      </w:pPr>
      <w:r w:rsidRPr="00D6340F">
        <w:rPr>
          <w:lang w:val="en-GB"/>
        </w:rPr>
        <w:t>CHAPTER 8</w:t>
      </w:r>
    </w:p>
    <w:p w14:paraId="3ACBDDC7" w14:textId="63315EB1" w:rsidR="00C605DA" w:rsidRPr="00D6340F" w:rsidRDefault="00C605DA" w:rsidP="00C605DA">
      <w:pPr>
        <w:pStyle w:val="ChapterHeader"/>
        <w:pBdr>
          <w:bottom w:val="single" w:sz="18" w:space="1" w:color="auto"/>
        </w:pBdr>
        <w:rPr>
          <w:lang w:val="en-GB"/>
        </w:rPr>
      </w:pPr>
      <w:r w:rsidRPr="00D6340F">
        <w:rPr>
          <w:lang w:val="en-GB"/>
        </w:rPr>
        <w:t xml:space="preserve">ENDOCRINE </w:t>
      </w:r>
      <w:r w:rsidR="00830B1D">
        <w:rPr>
          <w:lang w:val="en-GB"/>
        </w:rPr>
        <w:t>DISORDERS</w:t>
      </w:r>
    </w:p>
    <w:p w14:paraId="3A07FAAD" w14:textId="77777777" w:rsidR="00F722DF" w:rsidRDefault="00F722DF" w:rsidP="00C605DA">
      <w:pPr>
        <w:rPr>
          <w:rFonts w:cs="Arial"/>
          <w:lang w:val="en-GB"/>
        </w:rPr>
      </w:pPr>
    </w:p>
    <w:p w14:paraId="5F28A174" w14:textId="77777777" w:rsidR="00340709" w:rsidRPr="00D6340F" w:rsidRDefault="00340709" w:rsidP="00340709">
      <w:pPr>
        <w:pStyle w:val="StyleHeading111pt"/>
        <w:rPr>
          <w:rFonts w:cs="Arial"/>
          <w:lang w:val="en-GB"/>
        </w:rPr>
      </w:pPr>
      <w:r w:rsidRPr="00D6340F">
        <w:rPr>
          <w:rFonts w:cs="Arial"/>
          <w:lang w:val="en-GB"/>
        </w:rPr>
        <w:t>8.1 ACROMEGALY</w:t>
      </w:r>
    </w:p>
    <w:p w14:paraId="34C6BA7B" w14:textId="77777777" w:rsidR="00340709" w:rsidRPr="00D6340F" w:rsidRDefault="00340709" w:rsidP="00C02921">
      <w:pPr>
        <w:pStyle w:val="Heading4"/>
      </w:pPr>
      <w:r w:rsidRPr="00D6340F">
        <w:t>e22.0</w:t>
      </w:r>
    </w:p>
    <w:p w14:paraId="46ECC445" w14:textId="77777777" w:rsidR="00340709" w:rsidRPr="00D6340F" w:rsidRDefault="00340709" w:rsidP="00340709">
      <w:pPr>
        <w:rPr>
          <w:rFonts w:cs="Arial"/>
          <w:lang w:val="en-GB"/>
        </w:rPr>
      </w:pPr>
    </w:p>
    <w:p w14:paraId="04325EC4" w14:textId="77777777" w:rsidR="003B4696" w:rsidRPr="00D6340F" w:rsidRDefault="003B4696" w:rsidP="003B4696">
      <w:pPr>
        <w:rPr>
          <w:rFonts w:cs="Arial"/>
          <w:b/>
          <w:color w:val="auto"/>
          <w:sz w:val="20"/>
          <w:szCs w:val="20"/>
          <w:lang w:val="en-GB"/>
        </w:rPr>
      </w:pPr>
      <w:r w:rsidRPr="00D6340F">
        <w:rPr>
          <w:rFonts w:cs="Arial"/>
          <w:b/>
          <w:color w:val="auto"/>
          <w:sz w:val="20"/>
          <w:szCs w:val="20"/>
          <w:lang w:val="en-GB"/>
        </w:rPr>
        <w:t xml:space="preserve">DESCRIPTION </w:t>
      </w:r>
    </w:p>
    <w:p w14:paraId="1B6A348F" w14:textId="77777777" w:rsidR="0028726C" w:rsidRPr="00D6340F" w:rsidRDefault="0028726C" w:rsidP="0028726C">
      <w:pPr>
        <w:rPr>
          <w:rFonts w:cs="Arial"/>
          <w:color w:val="auto"/>
          <w:lang w:val="en-GB"/>
        </w:rPr>
      </w:pPr>
      <w:r w:rsidRPr="00D6340F">
        <w:rPr>
          <w:rFonts w:cs="Arial"/>
          <w:color w:val="auto"/>
          <w:lang w:val="en-GB"/>
        </w:rPr>
        <w:t xml:space="preserve">Acromegaly is a disorder caused by growth hormone (GH) hypersecretion </w:t>
      </w:r>
      <w:r w:rsidR="003646A3" w:rsidRPr="00D6340F">
        <w:rPr>
          <w:rFonts w:cs="Arial"/>
          <w:color w:val="auto"/>
          <w:lang w:val="en-GB"/>
        </w:rPr>
        <w:t xml:space="preserve">usually </w:t>
      </w:r>
      <w:r w:rsidRPr="00D6340F">
        <w:rPr>
          <w:rFonts w:cs="Arial"/>
          <w:color w:val="auto"/>
          <w:lang w:val="en-GB"/>
        </w:rPr>
        <w:t xml:space="preserve">due to a pituitary adenoma, with associated morbidities, and increased mortality.  </w:t>
      </w:r>
    </w:p>
    <w:p w14:paraId="546F23FF" w14:textId="77777777" w:rsidR="0028726C" w:rsidRPr="00D6340F" w:rsidRDefault="0028726C" w:rsidP="0028726C">
      <w:pPr>
        <w:rPr>
          <w:rFonts w:cs="Arial"/>
          <w:lang w:val="en-GB"/>
        </w:rPr>
      </w:pPr>
      <w:r w:rsidRPr="00D6340F">
        <w:rPr>
          <w:rFonts w:cs="Arial"/>
          <w:lang w:val="en-GB"/>
        </w:rPr>
        <w:t>This condition should be managed at a tertiary centre.</w:t>
      </w:r>
    </w:p>
    <w:p w14:paraId="46C4C381" w14:textId="77777777" w:rsidR="0028726C" w:rsidRPr="00D6340F" w:rsidRDefault="0028726C" w:rsidP="0028726C">
      <w:pPr>
        <w:rPr>
          <w:rFonts w:cs="Arial"/>
          <w:lang w:val="en-GB"/>
        </w:rPr>
      </w:pPr>
      <w:r w:rsidRPr="00D6340F">
        <w:rPr>
          <w:rFonts w:cs="Arial"/>
          <w:lang w:val="en-GB"/>
        </w:rPr>
        <w:t>Transsphenoidal</w:t>
      </w:r>
      <w:r w:rsidR="0096473F">
        <w:rPr>
          <w:rFonts w:cs="Arial"/>
          <w:lang w:val="en-GB"/>
        </w:rPr>
        <w:t xml:space="preserve"> </w:t>
      </w:r>
      <w:proofErr w:type="spellStart"/>
      <w:r w:rsidR="003646A3" w:rsidRPr="00D6340F">
        <w:rPr>
          <w:rFonts w:cs="Arial"/>
          <w:lang w:val="en-GB"/>
        </w:rPr>
        <w:t>adenomectomy</w:t>
      </w:r>
      <w:proofErr w:type="spellEnd"/>
      <w:r w:rsidR="00BC25C6" w:rsidRPr="00D6340F">
        <w:rPr>
          <w:rFonts w:cs="Arial"/>
          <w:lang w:val="en-GB"/>
        </w:rPr>
        <w:t xml:space="preserve"> </w:t>
      </w:r>
      <w:r w:rsidRPr="00D6340F">
        <w:rPr>
          <w:rFonts w:cs="Arial"/>
          <w:lang w:val="en-GB"/>
        </w:rPr>
        <w:t xml:space="preserve">is the accepted form of </w:t>
      </w:r>
      <w:r w:rsidR="003646A3" w:rsidRPr="00D6340F">
        <w:rPr>
          <w:rFonts w:cs="Arial"/>
          <w:lang w:val="en-GB"/>
        </w:rPr>
        <w:t xml:space="preserve">primary </w:t>
      </w:r>
      <w:r w:rsidRPr="00D6340F">
        <w:rPr>
          <w:rFonts w:cs="Arial"/>
          <w:lang w:val="en-GB"/>
        </w:rPr>
        <w:t>therapy.</w:t>
      </w:r>
    </w:p>
    <w:p w14:paraId="058D0BDA" w14:textId="77777777" w:rsidR="0028726C" w:rsidRPr="00D6340F" w:rsidRDefault="0028726C" w:rsidP="003B4696">
      <w:pPr>
        <w:rPr>
          <w:rFonts w:cs="Arial"/>
          <w:lang w:val="en-GB"/>
        </w:rPr>
      </w:pPr>
      <w:r w:rsidRPr="00D6340F">
        <w:rPr>
          <w:rFonts w:cs="Arial"/>
          <w:lang w:val="en-GB"/>
        </w:rPr>
        <w:t xml:space="preserve">Radiotherapy post operatively </w:t>
      </w:r>
      <w:r w:rsidR="003646A3" w:rsidRPr="00D6340F">
        <w:rPr>
          <w:rFonts w:cs="Arial"/>
          <w:lang w:val="en-GB"/>
        </w:rPr>
        <w:t>may be</w:t>
      </w:r>
      <w:r w:rsidR="00BC25C6" w:rsidRPr="00D6340F">
        <w:rPr>
          <w:rFonts w:cs="Arial"/>
          <w:lang w:val="en-GB"/>
        </w:rPr>
        <w:t xml:space="preserve"> </w:t>
      </w:r>
      <w:r w:rsidRPr="00D6340F">
        <w:rPr>
          <w:rFonts w:cs="Arial"/>
          <w:lang w:val="en-GB"/>
        </w:rPr>
        <w:t>required</w:t>
      </w:r>
      <w:r w:rsidR="003646A3" w:rsidRPr="00D6340F">
        <w:rPr>
          <w:rFonts w:cs="Arial"/>
          <w:lang w:val="en-GB"/>
        </w:rPr>
        <w:t>.</w:t>
      </w:r>
      <w:r w:rsidR="00BC25C6" w:rsidRPr="00D6340F">
        <w:rPr>
          <w:rFonts w:cs="Arial"/>
          <w:lang w:val="en-GB"/>
        </w:rPr>
        <w:t xml:space="preserve"> </w:t>
      </w:r>
      <w:r w:rsidR="003646A3" w:rsidRPr="00D6340F">
        <w:rPr>
          <w:rFonts w:cs="Arial"/>
          <w:color w:val="auto"/>
          <w:lang w:val="en-GB"/>
        </w:rPr>
        <w:t>In addition, adjunctive medical therapy may be required in specific circumstances.</w:t>
      </w:r>
    </w:p>
    <w:p w14:paraId="0F0C5176" w14:textId="77777777" w:rsidR="003B6E6C" w:rsidRPr="00D6340F" w:rsidRDefault="003B6E6C" w:rsidP="003B6E6C">
      <w:pPr>
        <w:rPr>
          <w:rFonts w:asciiTheme="minorHAnsi" w:hAnsiTheme="minorHAnsi"/>
          <w:color w:val="auto"/>
          <w:sz w:val="10"/>
          <w:lang w:val="en-GB"/>
        </w:rPr>
      </w:pPr>
    </w:p>
    <w:p w14:paraId="669DD63C" w14:textId="77777777" w:rsidR="003B6E6C" w:rsidRPr="00D6340F" w:rsidRDefault="003B6E6C" w:rsidP="003B6E6C">
      <w:pPr>
        <w:rPr>
          <w:rFonts w:cs="Arial"/>
          <w:b/>
          <w:color w:val="auto"/>
          <w:sz w:val="20"/>
          <w:szCs w:val="20"/>
          <w:lang w:val="en-GB"/>
        </w:rPr>
      </w:pPr>
      <w:r w:rsidRPr="00D6340F">
        <w:rPr>
          <w:rFonts w:cs="Arial"/>
          <w:b/>
          <w:color w:val="auto"/>
          <w:sz w:val="20"/>
          <w:szCs w:val="20"/>
          <w:lang w:val="en-GB"/>
        </w:rPr>
        <w:t>Investigations</w:t>
      </w:r>
    </w:p>
    <w:p w14:paraId="5030A8BE" w14:textId="77777777" w:rsidR="00D728DB" w:rsidRPr="00D6340F" w:rsidRDefault="003B6E6C" w:rsidP="004E1B09">
      <w:pPr>
        <w:rPr>
          <w:rFonts w:cs="Arial"/>
          <w:color w:val="auto"/>
          <w:lang w:val="en-GB"/>
        </w:rPr>
      </w:pPr>
      <w:r w:rsidRPr="00D6340F">
        <w:rPr>
          <w:rFonts w:cs="Arial"/>
          <w:color w:val="auto"/>
          <w:lang w:val="en-GB"/>
        </w:rPr>
        <w:t xml:space="preserve">If the diagnosis is </w:t>
      </w:r>
      <w:r w:rsidR="003B4696" w:rsidRPr="00D6340F">
        <w:rPr>
          <w:rFonts w:cs="Arial"/>
          <w:color w:val="auto"/>
          <w:lang w:val="en-GB"/>
        </w:rPr>
        <w:t>suspected, screening should be done in consultation with a specialist.</w:t>
      </w:r>
      <w:r w:rsidR="00FE1E77">
        <w:rPr>
          <w:rFonts w:cs="Arial"/>
          <w:color w:val="auto"/>
          <w:lang w:val="en-GB"/>
        </w:rPr>
        <w:t xml:space="preserve"> </w:t>
      </w:r>
    </w:p>
    <w:p w14:paraId="75C65EE8" w14:textId="77777777" w:rsidR="00340709" w:rsidRPr="00D6340F" w:rsidRDefault="00340709" w:rsidP="003B6E6C">
      <w:pPr>
        <w:pStyle w:val="Heading5"/>
        <w:rPr>
          <w:rFonts w:cs="Arial"/>
          <w:b w:val="0"/>
          <w:sz w:val="18"/>
          <w:szCs w:val="18"/>
          <w:lang w:val="en-GB"/>
        </w:rPr>
      </w:pPr>
    </w:p>
    <w:p w14:paraId="5633DAF9" w14:textId="77777777" w:rsidR="00340709" w:rsidRPr="00D6340F" w:rsidRDefault="00340709" w:rsidP="00340709">
      <w:pPr>
        <w:pStyle w:val="Heading5"/>
        <w:rPr>
          <w:rFonts w:cs="Arial"/>
          <w:lang w:val="en-GB"/>
        </w:rPr>
      </w:pPr>
      <w:r w:rsidRPr="00D6340F">
        <w:rPr>
          <w:rFonts w:cs="Arial"/>
          <w:lang w:val="en-GB"/>
        </w:rPr>
        <w:t>REFERRAL</w:t>
      </w:r>
    </w:p>
    <w:p w14:paraId="1E64637E" w14:textId="77777777" w:rsidR="00340709" w:rsidRPr="00D6340F" w:rsidRDefault="00340709" w:rsidP="00340709">
      <w:pPr>
        <w:rPr>
          <w:rFonts w:cs="Arial"/>
          <w:lang w:val="en-GB"/>
        </w:rPr>
      </w:pPr>
      <w:r w:rsidRPr="00D6340F">
        <w:rPr>
          <w:rFonts w:cs="Arial"/>
          <w:lang w:val="en-GB"/>
        </w:rPr>
        <w:t xml:space="preserve">All patients </w:t>
      </w:r>
      <w:r w:rsidR="0064191D" w:rsidRPr="00D6340F">
        <w:rPr>
          <w:rFonts w:cs="Arial"/>
          <w:lang w:val="en-GB"/>
        </w:rPr>
        <w:t xml:space="preserve">with suspected </w:t>
      </w:r>
      <w:r w:rsidR="003C2405" w:rsidRPr="00D6340F">
        <w:rPr>
          <w:rFonts w:cs="Arial"/>
          <w:lang w:val="en-GB"/>
        </w:rPr>
        <w:t>a</w:t>
      </w:r>
      <w:r w:rsidR="0064191D" w:rsidRPr="00D6340F">
        <w:rPr>
          <w:rFonts w:cs="Arial"/>
          <w:lang w:val="en-GB"/>
        </w:rPr>
        <w:t xml:space="preserve">cromegaly </w:t>
      </w:r>
      <w:r w:rsidRPr="00D6340F">
        <w:rPr>
          <w:rFonts w:cs="Arial"/>
          <w:lang w:val="en-GB"/>
        </w:rPr>
        <w:t>to a hospital with endocrine and neurosurgery facilities.</w:t>
      </w:r>
    </w:p>
    <w:p w14:paraId="0C4994DF" w14:textId="77777777" w:rsidR="00340709" w:rsidRPr="00D6340F" w:rsidRDefault="00340709" w:rsidP="00340709">
      <w:pPr>
        <w:rPr>
          <w:rFonts w:cs="Arial"/>
          <w:lang w:val="en-GB"/>
        </w:rPr>
      </w:pPr>
    </w:p>
    <w:p w14:paraId="7DE0D60C" w14:textId="77777777" w:rsidR="00340709" w:rsidRPr="00D6340F" w:rsidRDefault="00340709" w:rsidP="00340709">
      <w:pPr>
        <w:pStyle w:val="Heading1"/>
        <w:rPr>
          <w:rFonts w:cs="Arial"/>
          <w:sz w:val="22"/>
          <w:szCs w:val="22"/>
          <w:lang w:val="en-GB"/>
        </w:rPr>
      </w:pPr>
      <w:r w:rsidRPr="00D6340F">
        <w:rPr>
          <w:rFonts w:cs="Arial"/>
          <w:sz w:val="22"/>
          <w:szCs w:val="22"/>
          <w:lang w:val="en-GB"/>
        </w:rPr>
        <w:t>8.2 ADRENAL INSUFFICIENCY (ADDISON DISEASE)</w:t>
      </w:r>
    </w:p>
    <w:p w14:paraId="35807C8D" w14:textId="77777777" w:rsidR="00340709" w:rsidRPr="00D6340F" w:rsidRDefault="00340709" w:rsidP="00C02921">
      <w:pPr>
        <w:pStyle w:val="Heading4"/>
      </w:pPr>
      <w:r w:rsidRPr="00D6340F">
        <w:t>e27.1</w:t>
      </w:r>
      <w:r w:rsidR="00A658E3">
        <w:t>/E27.2</w:t>
      </w:r>
    </w:p>
    <w:p w14:paraId="1D37002C" w14:textId="77777777" w:rsidR="00340709" w:rsidRPr="00D6340F" w:rsidRDefault="00340709" w:rsidP="00340709">
      <w:pPr>
        <w:rPr>
          <w:rFonts w:cs="Arial"/>
          <w:lang w:val="en-GB"/>
        </w:rPr>
      </w:pPr>
    </w:p>
    <w:p w14:paraId="620E4E61" w14:textId="77777777" w:rsidR="00340709" w:rsidRPr="00D6340F" w:rsidRDefault="00340709" w:rsidP="00340709">
      <w:pPr>
        <w:pStyle w:val="Heading5"/>
        <w:rPr>
          <w:rFonts w:cs="Arial"/>
          <w:lang w:val="en-GB"/>
        </w:rPr>
      </w:pPr>
      <w:r w:rsidRPr="00D6340F">
        <w:rPr>
          <w:rFonts w:cs="Arial"/>
          <w:lang w:val="en-GB"/>
        </w:rPr>
        <w:t>DESCRIPTION</w:t>
      </w:r>
    </w:p>
    <w:p w14:paraId="59E1DA7E" w14:textId="77777777" w:rsidR="00340709" w:rsidRPr="00D6340F" w:rsidRDefault="00340709" w:rsidP="00340709">
      <w:pPr>
        <w:rPr>
          <w:rFonts w:cs="Arial"/>
          <w:lang w:val="en-GB"/>
        </w:rPr>
      </w:pPr>
      <w:r w:rsidRPr="00D6340F">
        <w:rPr>
          <w:rFonts w:cs="Arial"/>
          <w:lang w:val="en-GB"/>
        </w:rPr>
        <w:t>Primary adrenocortical insufficiency.</w:t>
      </w:r>
    </w:p>
    <w:p w14:paraId="48880C42" w14:textId="77777777" w:rsidR="00340709" w:rsidRPr="00D6340F" w:rsidRDefault="00340709" w:rsidP="00340709">
      <w:pPr>
        <w:rPr>
          <w:rFonts w:cs="Arial"/>
          <w:lang w:val="en-GB"/>
        </w:rPr>
      </w:pPr>
    </w:p>
    <w:p w14:paraId="264B1CD1" w14:textId="77777777" w:rsidR="00340709" w:rsidRPr="00D6340F" w:rsidRDefault="00340709" w:rsidP="00340709">
      <w:pPr>
        <w:pStyle w:val="Heading5"/>
        <w:rPr>
          <w:rFonts w:cs="Arial"/>
          <w:lang w:val="en-GB"/>
        </w:rPr>
      </w:pPr>
      <w:r w:rsidRPr="00D6340F">
        <w:rPr>
          <w:rFonts w:cs="Arial"/>
          <w:lang w:val="en-GB"/>
        </w:rPr>
        <w:t>Clinical presentation</w:t>
      </w:r>
    </w:p>
    <w:p w14:paraId="2A9D336D" w14:textId="77777777" w:rsidR="00340709" w:rsidRPr="00D6340F" w:rsidRDefault="00340709" w:rsidP="00340709">
      <w:pPr>
        <w:pStyle w:val="Heading9"/>
        <w:rPr>
          <w:u w:val="none"/>
          <w:lang w:val="en-GB"/>
        </w:rPr>
      </w:pPr>
      <w:r w:rsidRPr="00D6340F">
        <w:rPr>
          <w:lang w:val="en-GB"/>
        </w:rPr>
        <w:t>Acute crisis:</w:t>
      </w:r>
      <w:r w:rsidR="008B549A" w:rsidRPr="00D6340F">
        <w:rPr>
          <w:u w:val="none"/>
          <w:lang w:val="en-GB"/>
        </w:rPr>
        <w:t xml:space="preserve"> (not all symptoms and signs may occur in a </w:t>
      </w:r>
      <w:r w:rsidR="003B6E6C" w:rsidRPr="00D6340F">
        <w:rPr>
          <w:u w:val="none"/>
          <w:lang w:val="en-GB"/>
        </w:rPr>
        <w:t>particular</w:t>
      </w:r>
      <w:r w:rsidR="008B549A" w:rsidRPr="00D6340F">
        <w:rPr>
          <w:u w:val="none"/>
          <w:lang w:val="en-GB"/>
        </w:rPr>
        <w:t xml:space="preserve"> patient, so a high index of suspicion is needed</w:t>
      </w:r>
      <w:r w:rsidR="003B6E6C" w:rsidRPr="00D6340F">
        <w:rPr>
          <w:u w:val="none"/>
          <w:lang w:val="en-GB"/>
        </w:rPr>
        <w:t>).</w:t>
      </w:r>
    </w:p>
    <w:tbl>
      <w:tblPr>
        <w:tblW w:w="0" w:type="auto"/>
        <w:tblInd w:w="108" w:type="dxa"/>
        <w:tblLook w:val="0000" w:firstRow="0" w:lastRow="0" w:firstColumn="0" w:lastColumn="0" w:noHBand="0" w:noVBand="0"/>
      </w:tblPr>
      <w:tblGrid>
        <w:gridCol w:w="2782"/>
        <w:gridCol w:w="3234"/>
      </w:tblGrid>
      <w:tr w:rsidR="00340709" w:rsidRPr="00D6340F" w14:paraId="5EC92016" w14:textId="77777777" w:rsidTr="003B4696">
        <w:tc>
          <w:tcPr>
            <w:tcW w:w="2880" w:type="dxa"/>
          </w:tcPr>
          <w:p w14:paraId="6BCAAA98" w14:textId="77777777" w:rsidR="00A44CFE" w:rsidRPr="00D6340F" w:rsidRDefault="00324E81">
            <w:pPr>
              <w:pStyle w:val="ep4"/>
              <w:numPr>
                <w:ilvl w:val="0"/>
                <w:numId w:val="9"/>
              </w:numPr>
              <w:ind w:left="284" w:hanging="284"/>
              <w:rPr>
                <w:lang w:val="en-GB"/>
              </w:rPr>
            </w:pPr>
            <w:r>
              <w:rPr>
                <w:lang w:val="en-GB"/>
              </w:rPr>
              <w:t>h</w:t>
            </w:r>
            <w:r w:rsidR="00340709" w:rsidRPr="00D6340F">
              <w:rPr>
                <w:lang w:val="en-GB"/>
              </w:rPr>
              <w:t>ypotensi</w:t>
            </w:r>
            <w:r w:rsidR="00180F0D" w:rsidRPr="00D6340F">
              <w:rPr>
                <w:lang w:val="en-GB"/>
              </w:rPr>
              <w:t>on</w:t>
            </w:r>
          </w:p>
        </w:tc>
        <w:tc>
          <w:tcPr>
            <w:tcW w:w="3352" w:type="dxa"/>
          </w:tcPr>
          <w:p w14:paraId="58FF8CCB" w14:textId="77777777" w:rsidR="00340709" w:rsidRPr="00D6340F" w:rsidRDefault="00340709" w:rsidP="003B4696">
            <w:pPr>
              <w:pStyle w:val="ep4"/>
              <w:numPr>
                <w:ilvl w:val="0"/>
                <w:numId w:val="9"/>
              </w:numPr>
              <w:ind w:left="284" w:hanging="284"/>
              <w:rPr>
                <w:lang w:val="en-GB"/>
              </w:rPr>
            </w:pPr>
            <w:r w:rsidRPr="00D6340F">
              <w:rPr>
                <w:lang w:val="en-GB"/>
              </w:rPr>
              <w:t>depressed mentation</w:t>
            </w:r>
          </w:p>
        </w:tc>
      </w:tr>
      <w:tr w:rsidR="00340709" w:rsidRPr="00D6340F" w14:paraId="4703CF79" w14:textId="77777777" w:rsidTr="003B4696">
        <w:tc>
          <w:tcPr>
            <w:tcW w:w="2880" w:type="dxa"/>
          </w:tcPr>
          <w:p w14:paraId="64E0CBC0" w14:textId="77777777" w:rsidR="00340709" w:rsidRPr="00D6340F" w:rsidRDefault="00340709" w:rsidP="003B4696">
            <w:pPr>
              <w:pStyle w:val="ep4"/>
              <w:numPr>
                <w:ilvl w:val="0"/>
                <w:numId w:val="9"/>
              </w:numPr>
              <w:ind w:left="284" w:hanging="284"/>
              <w:rPr>
                <w:lang w:val="en-GB"/>
              </w:rPr>
            </w:pPr>
            <w:r w:rsidRPr="00D6340F">
              <w:rPr>
                <w:lang w:val="en-GB"/>
              </w:rPr>
              <w:t>fever</w:t>
            </w:r>
          </w:p>
        </w:tc>
        <w:tc>
          <w:tcPr>
            <w:tcW w:w="3352" w:type="dxa"/>
          </w:tcPr>
          <w:p w14:paraId="1EF563D6" w14:textId="77777777" w:rsidR="00340709" w:rsidRPr="00D6340F" w:rsidRDefault="00340709" w:rsidP="003B4696">
            <w:pPr>
              <w:pStyle w:val="ep4"/>
              <w:numPr>
                <w:ilvl w:val="0"/>
                <w:numId w:val="9"/>
              </w:numPr>
              <w:ind w:left="284" w:hanging="284"/>
              <w:rPr>
                <w:lang w:val="en-GB"/>
              </w:rPr>
            </w:pPr>
            <w:r w:rsidRPr="00D6340F">
              <w:rPr>
                <w:lang w:val="en-GB"/>
              </w:rPr>
              <w:t>hypoglycaemia</w:t>
            </w:r>
          </w:p>
        </w:tc>
      </w:tr>
      <w:tr w:rsidR="00340709" w:rsidRPr="00D6340F" w14:paraId="36102CF5" w14:textId="77777777" w:rsidTr="003B4696">
        <w:tc>
          <w:tcPr>
            <w:tcW w:w="2880" w:type="dxa"/>
          </w:tcPr>
          <w:p w14:paraId="783B40C7" w14:textId="77777777" w:rsidR="00340709" w:rsidRPr="00D6340F" w:rsidRDefault="00340709" w:rsidP="003B4696">
            <w:pPr>
              <w:pStyle w:val="ep4"/>
              <w:numPr>
                <w:ilvl w:val="0"/>
                <w:numId w:val="9"/>
              </w:numPr>
              <w:ind w:left="284" w:hanging="284"/>
              <w:rPr>
                <w:lang w:val="en-GB"/>
              </w:rPr>
            </w:pPr>
            <w:r w:rsidRPr="00D6340F">
              <w:rPr>
                <w:lang w:val="en-GB"/>
              </w:rPr>
              <w:t>GIT disturbances</w:t>
            </w:r>
          </w:p>
        </w:tc>
        <w:tc>
          <w:tcPr>
            <w:tcW w:w="3352" w:type="dxa"/>
          </w:tcPr>
          <w:p w14:paraId="1430FABF" w14:textId="77777777" w:rsidR="00340709" w:rsidRPr="00D6340F" w:rsidRDefault="00340709" w:rsidP="003B4696">
            <w:pPr>
              <w:pStyle w:val="ep4"/>
              <w:numPr>
                <w:ilvl w:val="0"/>
                <w:numId w:val="9"/>
              </w:numPr>
              <w:ind w:left="284" w:hanging="284"/>
              <w:rPr>
                <w:lang w:val="en-GB"/>
              </w:rPr>
            </w:pPr>
            <w:r w:rsidRPr="00D6340F">
              <w:rPr>
                <w:lang w:val="en-GB"/>
              </w:rPr>
              <w:t>hyponatr</w:t>
            </w:r>
            <w:r w:rsidR="00D6340F">
              <w:rPr>
                <w:lang w:val="en-GB"/>
              </w:rPr>
              <w:t>a</w:t>
            </w:r>
            <w:r w:rsidRPr="00D6340F">
              <w:rPr>
                <w:lang w:val="en-GB"/>
              </w:rPr>
              <w:t>emia</w:t>
            </w:r>
          </w:p>
        </w:tc>
      </w:tr>
      <w:tr w:rsidR="00340709" w:rsidRPr="00D6340F" w14:paraId="23A371D1" w14:textId="77777777" w:rsidTr="003B4696">
        <w:tc>
          <w:tcPr>
            <w:tcW w:w="2880" w:type="dxa"/>
          </w:tcPr>
          <w:p w14:paraId="259975FE" w14:textId="77777777" w:rsidR="00340709" w:rsidRPr="00D6340F" w:rsidRDefault="00340709" w:rsidP="003B4696">
            <w:pPr>
              <w:pStyle w:val="ep4"/>
              <w:numPr>
                <w:ilvl w:val="0"/>
                <w:numId w:val="9"/>
              </w:numPr>
              <w:ind w:left="284" w:hanging="284"/>
              <w:rPr>
                <w:lang w:val="en-GB"/>
              </w:rPr>
            </w:pPr>
            <w:r w:rsidRPr="00D6340F">
              <w:rPr>
                <w:lang w:val="en-GB"/>
              </w:rPr>
              <w:t>dehydration</w:t>
            </w:r>
          </w:p>
        </w:tc>
        <w:tc>
          <w:tcPr>
            <w:tcW w:w="3352" w:type="dxa"/>
          </w:tcPr>
          <w:p w14:paraId="0B505397" w14:textId="77777777" w:rsidR="00340709" w:rsidRPr="00D6340F" w:rsidRDefault="00340709" w:rsidP="003B4696">
            <w:pPr>
              <w:pStyle w:val="ep4"/>
              <w:numPr>
                <w:ilvl w:val="0"/>
                <w:numId w:val="9"/>
              </w:numPr>
              <w:ind w:left="284" w:hanging="284"/>
              <w:rPr>
                <w:lang w:val="en-GB"/>
              </w:rPr>
            </w:pPr>
            <w:r w:rsidRPr="00D6340F">
              <w:rPr>
                <w:lang w:val="en-GB"/>
              </w:rPr>
              <w:t>hyperkalaemia</w:t>
            </w:r>
          </w:p>
        </w:tc>
      </w:tr>
      <w:tr w:rsidR="00340709" w:rsidRPr="00D6340F" w14:paraId="40EC4282" w14:textId="77777777" w:rsidTr="003B4696">
        <w:tc>
          <w:tcPr>
            <w:tcW w:w="2880" w:type="dxa"/>
          </w:tcPr>
          <w:p w14:paraId="50522DF9" w14:textId="77777777" w:rsidR="00340709" w:rsidRPr="00D6340F" w:rsidRDefault="00340709" w:rsidP="003B4696">
            <w:pPr>
              <w:pStyle w:val="ep4"/>
              <w:numPr>
                <w:ilvl w:val="0"/>
                <w:numId w:val="9"/>
              </w:numPr>
              <w:ind w:left="284" w:hanging="284"/>
              <w:rPr>
                <w:lang w:val="en-GB"/>
              </w:rPr>
            </w:pPr>
            <w:r w:rsidRPr="00D6340F">
              <w:rPr>
                <w:lang w:val="en-GB"/>
              </w:rPr>
              <w:t>weakness</w:t>
            </w:r>
          </w:p>
        </w:tc>
        <w:tc>
          <w:tcPr>
            <w:tcW w:w="3352" w:type="dxa"/>
          </w:tcPr>
          <w:p w14:paraId="7BBA9B7F" w14:textId="77777777" w:rsidR="00340709" w:rsidRPr="00D6340F" w:rsidRDefault="00340709" w:rsidP="003B4696">
            <w:pPr>
              <w:pStyle w:val="ep4"/>
              <w:numPr>
                <w:ilvl w:val="0"/>
                <w:numId w:val="9"/>
              </w:numPr>
              <w:ind w:left="284" w:hanging="284"/>
              <w:rPr>
                <w:lang w:val="en-GB"/>
              </w:rPr>
            </w:pPr>
            <w:r w:rsidRPr="00D6340F">
              <w:rPr>
                <w:lang w:val="en-GB"/>
              </w:rPr>
              <w:t>acidosis</w:t>
            </w:r>
          </w:p>
        </w:tc>
      </w:tr>
    </w:tbl>
    <w:p w14:paraId="42C05A4E" w14:textId="77777777" w:rsidR="00340709" w:rsidRPr="00D6340F" w:rsidRDefault="00340709" w:rsidP="00340709">
      <w:pPr>
        <w:pStyle w:val="Heading9"/>
        <w:rPr>
          <w:lang w:val="en-GB"/>
        </w:rPr>
      </w:pPr>
      <w:r w:rsidRPr="00D6340F">
        <w:rPr>
          <w:lang w:val="en-GB"/>
        </w:rPr>
        <w:t>Chronic:</w:t>
      </w:r>
    </w:p>
    <w:tbl>
      <w:tblPr>
        <w:tblW w:w="0" w:type="auto"/>
        <w:tblInd w:w="108" w:type="dxa"/>
        <w:tblLook w:val="0000" w:firstRow="0" w:lastRow="0" w:firstColumn="0" w:lastColumn="0" w:noHBand="0" w:noVBand="0"/>
      </w:tblPr>
      <w:tblGrid>
        <w:gridCol w:w="2804"/>
        <w:gridCol w:w="3212"/>
      </w:tblGrid>
      <w:tr w:rsidR="00340709" w:rsidRPr="00D6340F" w14:paraId="476E0D59" w14:textId="77777777" w:rsidTr="00BF6142">
        <w:tc>
          <w:tcPr>
            <w:tcW w:w="2880" w:type="dxa"/>
          </w:tcPr>
          <w:p w14:paraId="68553D72" w14:textId="77777777" w:rsidR="00340709" w:rsidRPr="00D6340F" w:rsidRDefault="00340709" w:rsidP="003B4696">
            <w:pPr>
              <w:pStyle w:val="ep4"/>
              <w:numPr>
                <w:ilvl w:val="0"/>
                <w:numId w:val="9"/>
              </w:numPr>
              <w:ind w:left="284" w:hanging="284"/>
              <w:rPr>
                <w:lang w:val="en-GB"/>
              </w:rPr>
            </w:pPr>
            <w:r w:rsidRPr="00D6340F">
              <w:rPr>
                <w:lang w:val="en-GB"/>
              </w:rPr>
              <w:t>hyperpigmentation</w:t>
            </w:r>
          </w:p>
        </w:tc>
        <w:tc>
          <w:tcPr>
            <w:tcW w:w="3352" w:type="dxa"/>
          </w:tcPr>
          <w:p w14:paraId="292339D3" w14:textId="77777777" w:rsidR="00340709" w:rsidRPr="00D6340F" w:rsidRDefault="00340709" w:rsidP="003B4696">
            <w:pPr>
              <w:pStyle w:val="ep4"/>
              <w:numPr>
                <w:ilvl w:val="0"/>
                <w:numId w:val="9"/>
              </w:numPr>
              <w:ind w:left="284" w:hanging="284"/>
              <w:rPr>
                <w:lang w:val="en-GB"/>
              </w:rPr>
            </w:pPr>
            <w:r w:rsidRPr="00D6340F">
              <w:rPr>
                <w:lang w:val="en-GB"/>
              </w:rPr>
              <w:t>GIT disturbances</w:t>
            </w:r>
          </w:p>
        </w:tc>
      </w:tr>
      <w:tr w:rsidR="00340709" w:rsidRPr="00D6340F" w14:paraId="2ED62813" w14:textId="77777777" w:rsidTr="00BF6142">
        <w:tc>
          <w:tcPr>
            <w:tcW w:w="2880" w:type="dxa"/>
          </w:tcPr>
          <w:p w14:paraId="6402E3ED" w14:textId="77777777" w:rsidR="00340709" w:rsidRPr="00D6340F" w:rsidRDefault="00340709" w:rsidP="003B4696">
            <w:pPr>
              <w:pStyle w:val="ep4"/>
              <w:numPr>
                <w:ilvl w:val="0"/>
                <w:numId w:val="9"/>
              </w:numPr>
              <w:ind w:left="284" w:hanging="284"/>
              <w:rPr>
                <w:lang w:val="en-GB"/>
              </w:rPr>
            </w:pPr>
            <w:r w:rsidRPr="00D6340F">
              <w:rPr>
                <w:lang w:val="en-GB"/>
              </w:rPr>
              <w:t>weakness and fatigue</w:t>
            </w:r>
          </w:p>
        </w:tc>
        <w:tc>
          <w:tcPr>
            <w:tcW w:w="3352" w:type="dxa"/>
          </w:tcPr>
          <w:p w14:paraId="5DEED7B5" w14:textId="77777777" w:rsidR="00340709" w:rsidRPr="00D6340F" w:rsidRDefault="00340709" w:rsidP="003B4696">
            <w:pPr>
              <w:pStyle w:val="ep4"/>
              <w:numPr>
                <w:ilvl w:val="0"/>
                <w:numId w:val="9"/>
              </w:numPr>
              <w:ind w:left="284" w:hanging="284"/>
              <w:rPr>
                <w:lang w:val="en-GB"/>
              </w:rPr>
            </w:pPr>
            <w:r w:rsidRPr="00D6340F">
              <w:rPr>
                <w:lang w:val="en-GB"/>
              </w:rPr>
              <w:t>hypotension</w:t>
            </w:r>
          </w:p>
        </w:tc>
      </w:tr>
      <w:tr w:rsidR="00340709" w:rsidRPr="00D6340F" w14:paraId="733BD749" w14:textId="77777777" w:rsidTr="00BF6142">
        <w:tc>
          <w:tcPr>
            <w:tcW w:w="2880" w:type="dxa"/>
          </w:tcPr>
          <w:p w14:paraId="68CC3B44" w14:textId="77777777" w:rsidR="00340709" w:rsidRPr="00D6340F" w:rsidRDefault="00340709" w:rsidP="003B4696">
            <w:pPr>
              <w:pStyle w:val="ep4"/>
              <w:numPr>
                <w:ilvl w:val="0"/>
                <w:numId w:val="9"/>
              </w:numPr>
              <w:ind w:left="284" w:hanging="284"/>
              <w:rPr>
                <w:lang w:val="en-GB"/>
              </w:rPr>
            </w:pPr>
            <w:r w:rsidRPr="00D6340F">
              <w:rPr>
                <w:lang w:val="en-GB"/>
              </w:rPr>
              <w:t>loss of weight</w:t>
            </w:r>
          </w:p>
        </w:tc>
        <w:tc>
          <w:tcPr>
            <w:tcW w:w="3352" w:type="dxa"/>
          </w:tcPr>
          <w:p w14:paraId="7E0A7BC9" w14:textId="77777777" w:rsidR="00340709" w:rsidRPr="00D6340F" w:rsidRDefault="00340709" w:rsidP="003B4696">
            <w:pPr>
              <w:pStyle w:val="ep4"/>
              <w:numPr>
                <w:ilvl w:val="0"/>
                <w:numId w:val="9"/>
              </w:numPr>
              <w:ind w:left="284" w:hanging="284"/>
              <w:rPr>
                <w:lang w:val="en-GB"/>
              </w:rPr>
            </w:pPr>
            <w:r w:rsidRPr="00D6340F">
              <w:rPr>
                <w:lang w:val="en-GB"/>
              </w:rPr>
              <w:t>hypoglycaemia</w:t>
            </w:r>
          </w:p>
        </w:tc>
      </w:tr>
      <w:tr w:rsidR="00340709" w:rsidRPr="00D6340F" w14:paraId="568BABA8" w14:textId="77777777" w:rsidTr="00BF6142">
        <w:tc>
          <w:tcPr>
            <w:tcW w:w="2880" w:type="dxa"/>
          </w:tcPr>
          <w:p w14:paraId="59BF02BB" w14:textId="77777777" w:rsidR="00340709" w:rsidRPr="00D6340F" w:rsidRDefault="00340709" w:rsidP="003B4696">
            <w:pPr>
              <w:pStyle w:val="ep4"/>
              <w:numPr>
                <w:ilvl w:val="0"/>
                <w:numId w:val="9"/>
              </w:numPr>
              <w:ind w:left="284" w:hanging="284"/>
              <w:rPr>
                <w:lang w:val="en-GB"/>
              </w:rPr>
            </w:pPr>
            <w:r w:rsidRPr="00D6340F">
              <w:rPr>
                <w:lang w:val="en-GB"/>
              </w:rPr>
              <w:t>postural dizziness</w:t>
            </w:r>
          </w:p>
          <w:p w14:paraId="522C47DE" w14:textId="77777777" w:rsidR="00340709" w:rsidRDefault="003B4696" w:rsidP="003B4696">
            <w:pPr>
              <w:pStyle w:val="ep4"/>
              <w:numPr>
                <w:ilvl w:val="0"/>
                <w:numId w:val="9"/>
              </w:numPr>
              <w:ind w:left="284" w:hanging="284"/>
              <w:rPr>
                <w:lang w:val="en-GB"/>
              </w:rPr>
            </w:pPr>
            <w:r w:rsidRPr="00D6340F">
              <w:rPr>
                <w:lang w:val="en-GB"/>
              </w:rPr>
              <w:t>a</w:t>
            </w:r>
            <w:r w:rsidR="002C4794" w:rsidRPr="00D6340F">
              <w:rPr>
                <w:lang w:val="en-GB"/>
              </w:rPr>
              <w:t>rthralgia</w:t>
            </w:r>
          </w:p>
          <w:p w14:paraId="0032E138" w14:textId="77777777" w:rsidR="00B47B8D" w:rsidRPr="00B47B8D" w:rsidRDefault="00B47B8D" w:rsidP="00B47B8D">
            <w:pPr>
              <w:rPr>
                <w:lang w:val="en-GB"/>
              </w:rPr>
            </w:pPr>
          </w:p>
          <w:p w14:paraId="0FD8997A" w14:textId="77777777" w:rsidR="00B47B8D" w:rsidRPr="00B47B8D" w:rsidRDefault="00B47B8D" w:rsidP="00B47B8D">
            <w:pPr>
              <w:rPr>
                <w:lang w:val="en-GB"/>
              </w:rPr>
            </w:pPr>
          </w:p>
        </w:tc>
        <w:tc>
          <w:tcPr>
            <w:tcW w:w="3352" w:type="dxa"/>
          </w:tcPr>
          <w:p w14:paraId="0384931F" w14:textId="77777777" w:rsidR="00340709" w:rsidRPr="00D6340F" w:rsidRDefault="00340709" w:rsidP="003B4696">
            <w:pPr>
              <w:pStyle w:val="ep4"/>
              <w:numPr>
                <w:ilvl w:val="0"/>
                <w:numId w:val="9"/>
              </w:numPr>
              <w:ind w:left="284" w:hanging="284"/>
              <w:rPr>
                <w:lang w:val="en-GB"/>
              </w:rPr>
            </w:pPr>
            <w:r w:rsidRPr="00D6340F">
              <w:rPr>
                <w:lang w:val="en-GB"/>
              </w:rPr>
              <w:t>hyponatraemia</w:t>
            </w:r>
          </w:p>
          <w:p w14:paraId="100CCFC6" w14:textId="77777777" w:rsidR="00340709" w:rsidRPr="00D6340F" w:rsidRDefault="00340709" w:rsidP="003B4696">
            <w:pPr>
              <w:pStyle w:val="ep4"/>
              <w:numPr>
                <w:ilvl w:val="0"/>
                <w:numId w:val="9"/>
              </w:numPr>
              <w:ind w:left="284" w:hanging="284"/>
              <w:rPr>
                <w:lang w:val="en-GB"/>
              </w:rPr>
            </w:pPr>
            <w:r w:rsidRPr="00D6340F">
              <w:rPr>
                <w:lang w:val="en-GB"/>
              </w:rPr>
              <w:t>hyperkalaemia</w:t>
            </w:r>
          </w:p>
        </w:tc>
      </w:tr>
    </w:tbl>
    <w:p w14:paraId="474525DF" w14:textId="77777777" w:rsidR="00340709" w:rsidRDefault="00340709" w:rsidP="00340709">
      <w:pPr>
        <w:rPr>
          <w:rFonts w:cs="Arial"/>
          <w:b/>
          <w:color w:val="auto"/>
          <w:lang w:val="en-GB"/>
        </w:rPr>
      </w:pPr>
      <w:r w:rsidRPr="00D6340F">
        <w:rPr>
          <w:rFonts w:cs="Arial"/>
          <w:color w:val="auto"/>
          <w:lang w:val="en-GB"/>
        </w:rPr>
        <w:lastRenderedPageBreak/>
        <w:t xml:space="preserve">Always consider this diagnosis in a thin, hypotensive, </w:t>
      </w:r>
      <w:r w:rsidR="0028726C" w:rsidRPr="00D6340F">
        <w:rPr>
          <w:rFonts w:cs="Arial"/>
          <w:color w:val="auto"/>
          <w:lang w:val="en-GB"/>
        </w:rPr>
        <w:t>hypoglycaemic</w:t>
      </w:r>
      <w:r w:rsidR="00D6340F">
        <w:rPr>
          <w:rFonts w:cs="Arial"/>
          <w:color w:val="auto"/>
          <w:lang w:val="en-GB"/>
        </w:rPr>
        <w:t xml:space="preserve"> </w:t>
      </w:r>
      <w:r w:rsidRPr="00D6340F">
        <w:rPr>
          <w:rFonts w:cs="Arial"/>
          <w:color w:val="auto"/>
          <w:lang w:val="en-GB"/>
        </w:rPr>
        <w:t xml:space="preserve">patient, or during stress e.g. sepsis. </w:t>
      </w:r>
      <w:r w:rsidRPr="00D6340F">
        <w:rPr>
          <w:rFonts w:cs="Arial"/>
          <w:b/>
          <w:color w:val="auto"/>
          <w:lang w:val="en-GB"/>
        </w:rPr>
        <w:t xml:space="preserve">The combination of hyponatraemia and hyperkalaemia should suggest possible </w:t>
      </w:r>
      <w:r w:rsidR="0028726C" w:rsidRPr="00D6340F">
        <w:rPr>
          <w:rFonts w:cs="Arial"/>
          <w:b/>
          <w:color w:val="auto"/>
          <w:lang w:val="en-GB"/>
        </w:rPr>
        <w:t>primary</w:t>
      </w:r>
      <w:r w:rsidR="00D6340F">
        <w:rPr>
          <w:rFonts w:cs="Arial"/>
          <w:b/>
          <w:color w:val="auto"/>
          <w:lang w:val="en-GB"/>
        </w:rPr>
        <w:t xml:space="preserve"> </w:t>
      </w:r>
      <w:r w:rsidRPr="00D6340F">
        <w:rPr>
          <w:rFonts w:cs="Arial"/>
          <w:b/>
          <w:color w:val="auto"/>
          <w:lang w:val="en-GB"/>
        </w:rPr>
        <w:t>adrenal insufficiency.</w:t>
      </w:r>
    </w:p>
    <w:p w14:paraId="42CAADAF" w14:textId="77777777" w:rsidR="00AE2766" w:rsidRPr="00AE2766" w:rsidRDefault="00143776" w:rsidP="00AE2766">
      <w:pPr>
        <w:rPr>
          <w:rFonts w:cs="Arial"/>
          <w:color w:val="auto"/>
          <w:lang w:val="en-GB"/>
        </w:rPr>
      </w:pPr>
      <w:r>
        <w:rPr>
          <w:rFonts w:cs="Arial"/>
          <w:b/>
          <w:color w:val="auto"/>
          <w:lang w:val="en-GB"/>
        </w:rPr>
        <w:t xml:space="preserve">Note: </w:t>
      </w:r>
      <w:r w:rsidR="00AE2766" w:rsidRPr="00062BBE">
        <w:rPr>
          <w:rFonts w:cs="Arial"/>
          <w:color w:val="auto"/>
          <w:lang w:val="en-GB"/>
        </w:rPr>
        <w:t xml:space="preserve">Treatment of suspected acute adrenal failure should never be delayed </w:t>
      </w:r>
      <w:proofErr w:type="gramStart"/>
      <w:r w:rsidR="00AE2766" w:rsidRPr="00062BBE">
        <w:rPr>
          <w:rFonts w:cs="Arial"/>
          <w:color w:val="auto"/>
          <w:lang w:val="en-GB"/>
        </w:rPr>
        <w:t>to obtain</w:t>
      </w:r>
      <w:proofErr w:type="gramEnd"/>
      <w:r w:rsidR="00AE2766" w:rsidRPr="00062BBE">
        <w:rPr>
          <w:rFonts w:cs="Arial"/>
          <w:color w:val="auto"/>
          <w:lang w:val="en-GB"/>
        </w:rPr>
        <w:t xml:space="preserve"> results of diagnostic procedures</w:t>
      </w:r>
      <w:r w:rsidR="00AE2766" w:rsidRPr="00143776">
        <w:rPr>
          <w:rFonts w:cs="Arial"/>
          <w:color w:val="auto"/>
          <w:lang w:val="en-GB"/>
        </w:rPr>
        <w:t>.</w:t>
      </w:r>
    </w:p>
    <w:p w14:paraId="7475EBF6" w14:textId="77777777" w:rsidR="00AE2766" w:rsidRDefault="00AE2766" w:rsidP="00340709">
      <w:pPr>
        <w:rPr>
          <w:rFonts w:cs="Arial"/>
          <w:b/>
          <w:color w:val="auto"/>
          <w:lang w:val="en-GB"/>
        </w:rPr>
      </w:pPr>
    </w:p>
    <w:p w14:paraId="6AEA30F4" w14:textId="77777777" w:rsidR="00340709" w:rsidRPr="00D6340F" w:rsidRDefault="00340709" w:rsidP="00340709">
      <w:pPr>
        <w:pStyle w:val="Heading5"/>
        <w:rPr>
          <w:rFonts w:cs="Arial"/>
          <w:color w:val="auto"/>
          <w:lang w:val="en-GB"/>
        </w:rPr>
      </w:pPr>
      <w:r w:rsidRPr="00D6340F">
        <w:rPr>
          <w:rFonts w:cs="Arial"/>
          <w:color w:val="auto"/>
          <w:lang w:val="en-GB"/>
        </w:rPr>
        <w:t>Investigations</w:t>
      </w:r>
    </w:p>
    <w:p w14:paraId="3564F2C2" w14:textId="77777777" w:rsidR="00340709" w:rsidRPr="00D6340F" w:rsidRDefault="00340709" w:rsidP="00340709">
      <w:pPr>
        <w:rPr>
          <w:rFonts w:cs="Arial"/>
          <w:lang w:val="en-GB"/>
        </w:rPr>
      </w:pPr>
      <w:r w:rsidRPr="00D6340F">
        <w:rPr>
          <w:rFonts w:cs="Arial"/>
          <w:lang w:val="en-GB"/>
        </w:rPr>
        <w:t>08h00 serum cortisol level (or at time of presentation in acute crisis):</w:t>
      </w:r>
    </w:p>
    <w:p w14:paraId="7CC1C887" w14:textId="77777777" w:rsidR="00463E34" w:rsidRDefault="00D023D3" w:rsidP="007E4E67">
      <w:pPr>
        <w:pStyle w:val="Styleep0BlackNotStrikethrough"/>
        <w:numPr>
          <w:ilvl w:val="0"/>
          <w:numId w:val="54"/>
        </w:numPr>
        <w:tabs>
          <w:tab w:val="left" w:pos="284"/>
        </w:tabs>
        <w:ind w:left="284" w:hanging="284"/>
        <w:rPr>
          <w:rFonts w:cs="Arial"/>
          <w:lang w:val="en-GB"/>
        </w:rPr>
      </w:pPr>
      <w:r>
        <w:rPr>
          <w:rFonts w:cs="Arial"/>
          <w:lang w:val="en-GB"/>
        </w:rPr>
        <w:t>&gt;</w:t>
      </w:r>
      <w:proofErr w:type="gramStart"/>
      <w:r>
        <w:rPr>
          <w:rFonts w:cs="Arial"/>
          <w:lang w:val="en-GB"/>
        </w:rPr>
        <w:t xml:space="preserve">500 </w:t>
      </w:r>
      <w:r w:rsidR="00340709" w:rsidRPr="00D6340F">
        <w:rPr>
          <w:rFonts w:cs="Arial"/>
          <w:lang w:val="en-GB"/>
        </w:rPr>
        <w:t xml:space="preserve"> nmol</w:t>
      </w:r>
      <w:proofErr w:type="gramEnd"/>
      <w:r w:rsidR="00340709" w:rsidRPr="00D6340F">
        <w:rPr>
          <w:rFonts w:cs="Arial"/>
          <w:lang w:val="en-GB"/>
        </w:rPr>
        <w:t>/</w:t>
      </w:r>
      <w:proofErr w:type="gramStart"/>
      <w:r w:rsidR="00340709" w:rsidRPr="00D6340F">
        <w:rPr>
          <w:rFonts w:cs="Arial"/>
          <w:lang w:val="en-GB"/>
        </w:rPr>
        <w:t>L:</w:t>
      </w:r>
      <w:proofErr w:type="gramEnd"/>
      <w:r w:rsidR="00340709" w:rsidRPr="00D6340F">
        <w:rPr>
          <w:rFonts w:cs="Arial"/>
          <w:lang w:val="en-GB"/>
        </w:rPr>
        <w:t xml:space="preserve"> virtually excludes the diagnosis</w:t>
      </w:r>
    </w:p>
    <w:p w14:paraId="3136CAE5" w14:textId="77777777" w:rsidR="00463E34" w:rsidRPr="00B71D2B" w:rsidRDefault="00D023D3" w:rsidP="007E4E67">
      <w:pPr>
        <w:pStyle w:val="Styleep0BlackNotStrikethrough"/>
        <w:numPr>
          <w:ilvl w:val="0"/>
          <w:numId w:val="54"/>
        </w:numPr>
        <w:tabs>
          <w:tab w:val="left" w:pos="284"/>
        </w:tabs>
        <w:ind w:left="284" w:hanging="284"/>
        <w:rPr>
          <w:rFonts w:cs="Arial"/>
          <w:color w:val="auto"/>
          <w:lang w:val="en-GB" w:eastAsia="en-ZA"/>
        </w:rPr>
      </w:pPr>
      <w:r w:rsidRPr="00AB44A9">
        <w:rPr>
          <w:rFonts w:cs="Arial"/>
          <w:color w:val="auto"/>
          <w:lang w:val="en-GB"/>
        </w:rPr>
        <w:t>with newer assays cortisol concentrations &gt;450 nmol/L are acceptable to exclude hypoadrenalism</w:t>
      </w:r>
    </w:p>
    <w:p w14:paraId="1E1283BE" w14:textId="77777777" w:rsidR="00463E34" w:rsidRPr="00AB44A9" w:rsidRDefault="00340709" w:rsidP="007E4E67">
      <w:pPr>
        <w:pStyle w:val="Styleep0BlackNotStrikethrough"/>
        <w:numPr>
          <w:ilvl w:val="0"/>
          <w:numId w:val="54"/>
        </w:numPr>
        <w:tabs>
          <w:tab w:val="left" w:pos="284"/>
        </w:tabs>
        <w:ind w:left="284" w:hanging="284"/>
        <w:rPr>
          <w:rFonts w:cs="Arial"/>
          <w:lang w:val="en-GB"/>
        </w:rPr>
      </w:pPr>
      <w:r w:rsidRPr="00AB44A9">
        <w:rPr>
          <w:rFonts w:cs="Arial"/>
          <w:color w:val="auto"/>
          <w:lang w:val="en-GB"/>
        </w:rPr>
        <w:t>100–</w:t>
      </w:r>
      <w:r w:rsidR="00D023D3" w:rsidRPr="00AB44A9">
        <w:rPr>
          <w:rFonts w:cs="Arial"/>
          <w:color w:val="auto"/>
          <w:lang w:val="en-GB"/>
        </w:rPr>
        <w:t>4</w:t>
      </w:r>
      <w:r w:rsidRPr="00AB44A9">
        <w:rPr>
          <w:rFonts w:cs="Arial"/>
          <w:color w:val="auto"/>
          <w:lang w:val="en-GB"/>
        </w:rPr>
        <w:t>50 nmol/L is indeterminate and may require an adrenocorticotropic hormone (ACTH) stimulation test:</w:t>
      </w:r>
    </w:p>
    <w:p w14:paraId="4754CD9D" w14:textId="77777777" w:rsidR="00AB44A9" w:rsidRPr="00D6340F" w:rsidRDefault="00AB44A9" w:rsidP="00AB44A9">
      <w:pPr>
        <w:pStyle w:val="Styleep0BlackNotStrikethrough"/>
        <w:tabs>
          <w:tab w:val="left" w:pos="284"/>
        </w:tabs>
        <w:ind w:left="284"/>
        <w:rPr>
          <w:rFonts w:cs="Arial"/>
          <w:lang w:val="en-GB"/>
        </w:rPr>
      </w:pPr>
    </w:p>
    <w:p w14:paraId="1B60E5B7" w14:textId="77777777" w:rsidR="00340709" w:rsidRPr="00D6340F" w:rsidRDefault="00340709" w:rsidP="00AB44A9">
      <w:pPr>
        <w:pStyle w:val="ep4"/>
        <w:tabs>
          <w:tab w:val="clear" w:pos="360"/>
          <w:tab w:val="num" w:pos="284"/>
        </w:tabs>
        <w:rPr>
          <w:lang w:val="en-GB"/>
        </w:rPr>
      </w:pPr>
      <w:r w:rsidRPr="00D6340F">
        <w:rPr>
          <w:lang w:val="en-GB"/>
        </w:rPr>
        <w:t xml:space="preserve">ACTH depot, IM, </w:t>
      </w:r>
      <w:r w:rsidR="00143776">
        <w:rPr>
          <w:lang w:val="en-GB"/>
        </w:rPr>
        <w:t>1 mg</w:t>
      </w:r>
      <w:r w:rsidRPr="00D6340F">
        <w:rPr>
          <w:lang w:val="en-GB"/>
        </w:rPr>
        <w:t xml:space="preserve"> with blood sampling at 60 minutes.</w:t>
      </w:r>
    </w:p>
    <w:p w14:paraId="6F59639C" w14:textId="77777777" w:rsidR="00233C6C" w:rsidRDefault="00340709" w:rsidP="00AB44A9">
      <w:pPr>
        <w:pStyle w:val="Medicinebullet1"/>
        <w:numPr>
          <w:ilvl w:val="1"/>
          <w:numId w:val="3"/>
        </w:numPr>
        <w:tabs>
          <w:tab w:val="clear" w:pos="1440"/>
        </w:tabs>
        <w:ind w:left="567" w:hanging="283"/>
        <w:rPr>
          <w:rFonts w:cs="Arial"/>
          <w:lang w:val="en-GB"/>
        </w:rPr>
      </w:pPr>
      <w:r w:rsidRPr="00D6340F">
        <w:rPr>
          <w:rFonts w:cs="Arial"/>
          <w:lang w:val="en-GB"/>
        </w:rPr>
        <w:t>Post ACTH, serum cortisol level normal value:  &gt;550 nmol/L or double the pre-test level.</w:t>
      </w:r>
    </w:p>
    <w:p w14:paraId="534F5879" w14:textId="77777777" w:rsidR="00301851" w:rsidRPr="00301851" w:rsidRDefault="00301851" w:rsidP="00301851">
      <w:pPr>
        <w:pStyle w:val="Medicinebullet1"/>
        <w:rPr>
          <w:rFonts w:cs="Arial"/>
          <w:sz w:val="4"/>
          <w:szCs w:val="4"/>
          <w:lang w:val="en-GB"/>
        </w:rPr>
      </w:pP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233C6C" w:rsidRPr="004F53C2" w14:paraId="35571ABF" w14:textId="77777777" w:rsidTr="00233C6C">
        <w:tc>
          <w:tcPr>
            <w:tcW w:w="1134" w:type="dxa"/>
            <w:shd w:val="clear" w:color="auto" w:fill="auto"/>
          </w:tcPr>
          <w:p w14:paraId="2601FD17" w14:textId="77777777" w:rsidR="00233C6C" w:rsidRPr="004F53C2" w:rsidRDefault="00233C6C" w:rsidP="00233C6C">
            <w:pPr>
              <w:jc w:val="right"/>
              <w:rPr>
                <w:b/>
                <w:i/>
                <w:sz w:val="16"/>
                <w:lang w:val="en-GB"/>
              </w:rPr>
            </w:pPr>
            <w:proofErr w:type="spellStart"/>
            <w:proofErr w:type="gramStart"/>
            <w:r w:rsidRPr="004F53C2">
              <w:rPr>
                <w:i/>
                <w:sz w:val="16"/>
                <w:lang w:val="en-GB"/>
              </w:rPr>
              <w:t>LoE:III</w:t>
            </w:r>
            <w:proofErr w:type="spellEnd"/>
            <w:proofErr w:type="gramEnd"/>
            <w:r w:rsidRPr="004F53C2">
              <w:rPr>
                <w:rStyle w:val="EndnoteReference"/>
                <w:i/>
                <w:sz w:val="16"/>
                <w:lang w:val="en-GB"/>
              </w:rPr>
              <w:endnoteReference w:id="2"/>
            </w:r>
          </w:p>
        </w:tc>
      </w:tr>
    </w:tbl>
    <w:p w14:paraId="69A9DE7C" w14:textId="77777777" w:rsidR="00340709" w:rsidRPr="00D6340F" w:rsidRDefault="00340709" w:rsidP="00301851">
      <w:pPr>
        <w:pStyle w:val="Medicinebullet1"/>
        <w:rPr>
          <w:rFonts w:cs="Arial"/>
          <w:lang w:val="en-GB"/>
        </w:rPr>
      </w:pPr>
    </w:p>
    <w:p w14:paraId="34C937BB" w14:textId="77777777" w:rsidR="00340709" w:rsidRPr="00D6340F" w:rsidRDefault="00340709" w:rsidP="00340709">
      <w:pPr>
        <w:pStyle w:val="Heading5"/>
        <w:rPr>
          <w:rFonts w:cs="Arial"/>
          <w:lang w:val="en-GB"/>
        </w:rPr>
      </w:pPr>
      <w:r w:rsidRPr="00D6340F">
        <w:rPr>
          <w:rFonts w:cs="Arial"/>
          <w:lang w:val="en-GB"/>
        </w:rPr>
        <w:t>GENERAL MEASURES</w:t>
      </w:r>
    </w:p>
    <w:p w14:paraId="266BBE01" w14:textId="77777777" w:rsidR="00340709" w:rsidRPr="00D6340F" w:rsidRDefault="00340709" w:rsidP="00340709">
      <w:pPr>
        <w:rPr>
          <w:rFonts w:cs="Arial"/>
          <w:lang w:val="en-GB"/>
        </w:rPr>
      </w:pPr>
      <w:r w:rsidRPr="00D6340F">
        <w:rPr>
          <w:rFonts w:cs="Arial"/>
          <w:lang w:val="en-GB"/>
        </w:rPr>
        <w:t xml:space="preserve">All patients </w:t>
      </w:r>
      <w:r w:rsidR="00301851" w:rsidRPr="00062BBE">
        <w:rPr>
          <w:rFonts w:cs="Arial"/>
          <w:color w:val="auto"/>
          <w:lang w:val="en-GB"/>
        </w:rPr>
        <w:t>with confirmed hypoadrenalism</w:t>
      </w:r>
      <w:r w:rsidR="00062BBE" w:rsidRPr="00062BBE">
        <w:rPr>
          <w:rFonts w:cs="Arial"/>
          <w:color w:val="auto"/>
          <w:lang w:val="en-GB"/>
        </w:rPr>
        <w:t>.</w:t>
      </w:r>
    </w:p>
    <w:p w14:paraId="0E64E144" w14:textId="77777777" w:rsidR="00340709" w:rsidRPr="00D6340F" w:rsidRDefault="00E97E53" w:rsidP="00340709">
      <w:pPr>
        <w:rPr>
          <w:rFonts w:cs="Arial"/>
          <w:lang w:val="en-GB"/>
        </w:rPr>
      </w:pPr>
      <w:r w:rsidRPr="00D6340F">
        <w:rPr>
          <w:rFonts w:cs="Arial"/>
          <w:lang w:val="en-GB"/>
        </w:rPr>
        <w:t>I</w:t>
      </w:r>
      <w:r w:rsidR="00B0202B" w:rsidRPr="00D6340F">
        <w:rPr>
          <w:rFonts w:cs="Arial"/>
          <w:lang w:val="en-GB"/>
        </w:rPr>
        <w:t xml:space="preserve">nvestigate for other </w:t>
      </w:r>
      <w:r w:rsidRPr="00D6340F">
        <w:rPr>
          <w:rFonts w:cs="Arial"/>
          <w:lang w:val="en-GB"/>
        </w:rPr>
        <w:t>causes such as sepsis and treat accordingly.</w:t>
      </w:r>
    </w:p>
    <w:p w14:paraId="4F22AA52" w14:textId="77777777" w:rsidR="00B0202B" w:rsidRPr="00D6340F" w:rsidRDefault="00B0202B" w:rsidP="00340709">
      <w:pPr>
        <w:rPr>
          <w:rFonts w:cs="Arial"/>
          <w:lang w:val="en-GB"/>
        </w:rPr>
      </w:pPr>
    </w:p>
    <w:p w14:paraId="7FECE39A" w14:textId="77777777" w:rsidR="00340709" w:rsidRPr="00D6340F" w:rsidRDefault="00340709" w:rsidP="00340709">
      <w:pPr>
        <w:pStyle w:val="Heading5"/>
        <w:rPr>
          <w:rFonts w:cs="Arial"/>
          <w:lang w:val="en-GB"/>
        </w:rPr>
      </w:pPr>
      <w:r w:rsidRPr="00D6340F">
        <w:rPr>
          <w:rFonts w:cs="Arial"/>
          <w:lang w:val="en-GB"/>
        </w:rPr>
        <w:t>MEDICINE TREATMENT</w:t>
      </w:r>
    </w:p>
    <w:p w14:paraId="3DE486A7" w14:textId="77777777" w:rsidR="00340709" w:rsidRDefault="00340709" w:rsidP="00340709">
      <w:pPr>
        <w:pStyle w:val="Heading6"/>
        <w:rPr>
          <w:rFonts w:cs="Arial"/>
        </w:rPr>
      </w:pPr>
      <w:r w:rsidRPr="00D6340F">
        <w:rPr>
          <w:rFonts w:cs="Arial"/>
        </w:rPr>
        <w:t>Acute crisis</w:t>
      </w:r>
    </w:p>
    <w:p w14:paraId="030E8A51" w14:textId="77777777" w:rsidR="00A658E3" w:rsidRPr="00A658E3" w:rsidRDefault="00A658E3" w:rsidP="00A658E3">
      <w:pPr>
        <w:rPr>
          <w:sz w:val="16"/>
          <w:lang w:val="en-GB"/>
        </w:rPr>
      </w:pPr>
      <w:r w:rsidRPr="00A658E3">
        <w:rPr>
          <w:sz w:val="16"/>
          <w:lang w:val="en-GB"/>
        </w:rPr>
        <w:t>E27.2</w:t>
      </w:r>
    </w:p>
    <w:p w14:paraId="5FDCEA24" w14:textId="77777777" w:rsidR="00B33162" w:rsidRPr="00D6340F" w:rsidRDefault="00B0202B" w:rsidP="00B33162">
      <w:pPr>
        <w:pStyle w:val="ep4"/>
        <w:numPr>
          <w:ilvl w:val="0"/>
          <w:numId w:val="0"/>
        </w:numPr>
        <w:rPr>
          <w:color w:val="auto"/>
          <w:lang w:val="en-GB"/>
        </w:rPr>
      </w:pPr>
      <w:r w:rsidRPr="00D6340F">
        <w:rPr>
          <w:color w:val="auto"/>
          <w:lang w:val="en-GB"/>
        </w:rPr>
        <w:t>Before administering hydrocortisone, ensure blood samples are taken for</w:t>
      </w:r>
      <w:r w:rsidR="003646A3" w:rsidRPr="00D6340F">
        <w:rPr>
          <w:color w:val="auto"/>
          <w:lang w:val="en-GB"/>
        </w:rPr>
        <w:t xml:space="preserve"> serum</w:t>
      </w:r>
      <w:r w:rsidRPr="00D6340F">
        <w:rPr>
          <w:color w:val="auto"/>
          <w:lang w:val="en-GB"/>
        </w:rPr>
        <w:t xml:space="preserve"> cortisol and</w:t>
      </w:r>
      <w:r w:rsidR="00D6340F">
        <w:rPr>
          <w:color w:val="auto"/>
          <w:lang w:val="en-GB"/>
        </w:rPr>
        <w:t xml:space="preserve"> </w:t>
      </w:r>
      <w:r w:rsidR="0028726C" w:rsidRPr="00D6340F">
        <w:rPr>
          <w:color w:val="auto"/>
          <w:lang w:val="en-GB"/>
        </w:rPr>
        <w:t>plasma</w:t>
      </w:r>
      <w:r w:rsidR="00D6340F">
        <w:rPr>
          <w:color w:val="auto"/>
          <w:lang w:val="en-GB"/>
        </w:rPr>
        <w:t xml:space="preserve"> </w:t>
      </w:r>
      <w:r w:rsidRPr="00D6340F">
        <w:rPr>
          <w:color w:val="auto"/>
          <w:lang w:val="en-GB"/>
        </w:rPr>
        <w:t>ACTH</w:t>
      </w:r>
      <w:r w:rsidR="00B33162" w:rsidRPr="00D6340F">
        <w:rPr>
          <w:color w:val="auto"/>
          <w:lang w:val="en-GB"/>
        </w:rPr>
        <w:t>,</w:t>
      </w:r>
      <w:r w:rsidRPr="00D6340F">
        <w:rPr>
          <w:color w:val="auto"/>
          <w:lang w:val="en-GB"/>
        </w:rPr>
        <w:t xml:space="preserve"> if feasible.</w:t>
      </w:r>
    </w:p>
    <w:p w14:paraId="390F4112" w14:textId="77777777" w:rsidR="00D20C13" w:rsidRPr="00D6340F" w:rsidRDefault="00340709" w:rsidP="00F97C6B">
      <w:pPr>
        <w:pStyle w:val="ep4"/>
        <w:tabs>
          <w:tab w:val="clear" w:pos="360"/>
          <w:tab w:val="num" w:pos="284"/>
        </w:tabs>
        <w:rPr>
          <w:color w:val="auto"/>
          <w:lang w:val="en-GB"/>
        </w:rPr>
      </w:pPr>
      <w:r w:rsidRPr="00D6340F">
        <w:rPr>
          <w:color w:val="auto"/>
          <w:lang w:val="en-GB"/>
        </w:rPr>
        <w:t xml:space="preserve">Hydrocortisone, IV, </w:t>
      </w:r>
      <w:r w:rsidR="00F20933" w:rsidRPr="00FF45E5">
        <w:rPr>
          <w:color w:val="auto"/>
          <w:lang w:val="en-GB"/>
        </w:rPr>
        <w:t xml:space="preserve">100 mg </w:t>
      </w:r>
      <w:r w:rsidR="004F4331">
        <w:rPr>
          <w:color w:val="auto"/>
          <w:lang w:val="en-GB"/>
        </w:rPr>
        <w:t>6</w:t>
      </w:r>
      <w:r w:rsidR="00F20933" w:rsidRPr="00FF45E5">
        <w:rPr>
          <w:color w:val="auto"/>
          <w:lang w:val="en-GB"/>
        </w:rPr>
        <w:t xml:space="preserve"> hourly.</w:t>
      </w: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D20C13" w:rsidRPr="004F53C2" w14:paraId="4C105077" w14:textId="77777777" w:rsidTr="00EF19DA">
        <w:tc>
          <w:tcPr>
            <w:tcW w:w="1134" w:type="dxa"/>
            <w:shd w:val="clear" w:color="auto" w:fill="auto"/>
          </w:tcPr>
          <w:p w14:paraId="19401FCA" w14:textId="77777777" w:rsidR="00D20C13" w:rsidRPr="004F53C2" w:rsidRDefault="00D20C13" w:rsidP="005B13FA">
            <w:pPr>
              <w:jc w:val="right"/>
              <w:rPr>
                <w:b/>
                <w:i/>
                <w:sz w:val="16"/>
                <w:lang w:val="en-GB"/>
              </w:rPr>
            </w:pPr>
            <w:proofErr w:type="spellStart"/>
            <w:proofErr w:type="gramStart"/>
            <w:r w:rsidRPr="004F53C2">
              <w:rPr>
                <w:i/>
                <w:sz w:val="16"/>
                <w:lang w:val="en-GB"/>
              </w:rPr>
              <w:t>LoE:III</w:t>
            </w:r>
            <w:proofErr w:type="spellEnd"/>
            <w:proofErr w:type="gramEnd"/>
            <w:r w:rsidR="0043662D" w:rsidRPr="004F53C2">
              <w:rPr>
                <w:rStyle w:val="EndnoteReference"/>
                <w:i/>
                <w:sz w:val="16"/>
                <w:lang w:val="en-GB"/>
              </w:rPr>
              <w:endnoteReference w:id="3"/>
            </w:r>
          </w:p>
        </w:tc>
      </w:tr>
    </w:tbl>
    <w:p w14:paraId="28EBB508" w14:textId="77777777" w:rsidR="00340709" w:rsidRPr="00D6340F" w:rsidRDefault="00340709" w:rsidP="00D20C13">
      <w:pPr>
        <w:pStyle w:val="ep4"/>
        <w:numPr>
          <w:ilvl w:val="0"/>
          <w:numId w:val="0"/>
        </w:numPr>
        <w:ind w:left="284"/>
        <w:rPr>
          <w:color w:val="auto"/>
          <w:sz w:val="2"/>
          <w:lang w:val="en-GB"/>
        </w:rPr>
      </w:pPr>
    </w:p>
    <w:p w14:paraId="758CB88A" w14:textId="77777777" w:rsidR="00340709" w:rsidRPr="00D6340F" w:rsidRDefault="00340709" w:rsidP="00F97C6B">
      <w:pPr>
        <w:pStyle w:val="Medicinebullet1"/>
        <w:numPr>
          <w:ilvl w:val="1"/>
          <w:numId w:val="3"/>
        </w:numPr>
        <w:tabs>
          <w:tab w:val="clear" w:pos="1440"/>
        </w:tabs>
        <w:ind w:left="567" w:hanging="283"/>
        <w:rPr>
          <w:rFonts w:cs="Arial"/>
          <w:lang w:val="en-GB"/>
        </w:rPr>
      </w:pPr>
      <w:r w:rsidRPr="00D6340F">
        <w:rPr>
          <w:rFonts w:cs="Arial"/>
          <w:lang w:val="en-GB"/>
        </w:rPr>
        <w:t>Change to oral maintenance therapy once stable.</w:t>
      </w:r>
    </w:p>
    <w:p w14:paraId="32906EA9" w14:textId="77777777" w:rsidR="00340709" w:rsidRPr="00D6340F" w:rsidRDefault="00340709" w:rsidP="00340709">
      <w:pPr>
        <w:rPr>
          <w:rFonts w:cs="Arial"/>
          <w:color w:val="auto"/>
          <w:lang w:val="en-GB"/>
        </w:rPr>
      </w:pPr>
    </w:p>
    <w:p w14:paraId="69F20BDB" w14:textId="77777777" w:rsidR="00340709" w:rsidRPr="00D6340F" w:rsidRDefault="00340709" w:rsidP="00340709">
      <w:pPr>
        <w:rPr>
          <w:rFonts w:cs="Arial"/>
          <w:color w:val="auto"/>
          <w:u w:val="single"/>
          <w:lang w:val="en-GB"/>
        </w:rPr>
      </w:pPr>
      <w:r w:rsidRPr="00D6340F">
        <w:rPr>
          <w:rFonts w:cs="Arial"/>
          <w:color w:val="auto"/>
          <w:u w:val="single"/>
          <w:lang w:val="en-GB"/>
        </w:rPr>
        <w:t>To maintain adequate intravascular volume guided by blood pressure:</w:t>
      </w:r>
    </w:p>
    <w:p w14:paraId="05BDAED3" w14:textId="77777777" w:rsidR="00B33162" w:rsidRPr="00D6340F" w:rsidRDefault="00340709" w:rsidP="00F97C6B">
      <w:pPr>
        <w:pStyle w:val="ep4"/>
        <w:tabs>
          <w:tab w:val="clear" w:pos="360"/>
          <w:tab w:val="num" w:pos="284"/>
        </w:tabs>
        <w:rPr>
          <w:color w:val="auto"/>
          <w:lang w:val="en-GB"/>
        </w:rPr>
      </w:pPr>
      <w:r w:rsidRPr="00D6340F">
        <w:rPr>
          <w:color w:val="auto"/>
          <w:lang w:val="en-GB"/>
        </w:rPr>
        <w:t xml:space="preserve">Sodium chloride 0.9%, IV </w:t>
      </w:r>
      <w:r w:rsidR="003D4E33" w:rsidRPr="00D6340F">
        <w:rPr>
          <w:color w:val="auto"/>
          <w:lang w:val="en-GB"/>
        </w:rPr>
        <w:t xml:space="preserve">with regular glucose </w:t>
      </w:r>
      <w:r w:rsidR="00457CCB" w:rsidRPr="00D6340F">
        <w:rPr>
          <w:color w:val="auto"/>
          <w:lang w:val="en-GB"/>
        </w:rPr>
        <w:t>monitoring, and</w:t>
      </w:r>
      <w:r w:rsidR="003D4E33" w:rsidRPr="00D6340F">
        <w:rPr>
          <w:color w:val="auto"/>
          <w:lang w:val="en-GB"/>
        </w:rPr>
        <w:t xml:space="preserve"> 50% dextrose boluses if required.</w:t>
      </w:r>
    </w:p>
    <w:p w14:paraId="58E87518" w14:textId="77777777" w:rsidR="00407A37" w:rsidRPr="00D6340F" w:rsidRDefault="00457CCB" w:rsidP="00F97C6B">
      <w:pPr>
        <w:pStyle w:val="Medicinebullet1"/>
        <w:numPr>
          <w:ilvl w:val="1"/>
          <w:numId w:val="3"/>
        </w:numPr>
        <w:tabs>
          <w:tab w:val="clear" w:pos="1440"/>
        </w:tabs>
        <w:ind w:left="567" w:hanging="283"/>
        <w:rPr>
          <w:rFonts w:cs="Arial"/>
          <w:lang w:val="en-GB"/>
        </w:rPr>
      </w:pPr>
      <w:r w:rsidRPr="00D6340F">
        <w:rPr>
          <w:rFonts w:cs="Arial"/>
          <w:lang w:val="en-GB"/>
        </w:rPr>
        <w:t xml:space="preserve">Beware </w:t>
      </w:r>
      <w:r w:rsidR="006B1ABF" w:rsidRPr="00D6340F">
        <w:rPr>
          <w:rFonts w:cs="Arial"/>
          <w:lang w:val="en-GB"/>
        </w:rPr>
        <w:t xml:space="preserve">of </w:t>
      </w:r>
      <w:r w:rsidRPr="00D6340F">
        <w:rPr>
          <w:rFonts w:cs="Arial"/>
          <w:lang w:val="en-GB"/>
        </w:rPr>
        <w:t xml:space="preserve">fluid </w:t>
      </w:r>
      <w:r w:rsidR="00A82692" w:rsidRPr="00D6340F">
        <w:rPr>
          <w:rFonts w:cs="Arial"/>
          <w:lang w:val="en-GB"/>
        </w:rPr>
        <w:t>overload</w:t>
      </w:r>
      <w:r w:rsidRPr="00D6340F">
        <w:rPr>
          <w:rFonts w:cs="Arial"/>
          <w:lang w:val="en-GB"/>
        </w:rPr>
        <w:t xml:space="preserve"> if the </w:t>
      </w:r>
      <w:r w:rsidR="00A82692" w:rsidRPr="00D6340F">
        <w:rPr>
          <w:rFonts w:cs="Arial"/>
          <w:lang w:val="en-GB"/>
        </w:rPr>
        <w:t>combination</w:t>
      </w:r>
      <w:r w:rsidRPr="00D6340F">
        <w:rPr>
          <w:rFonts w:cs="Arial"/>
          <w:lang w:val="en-GB"/>
        </w:rPr>
        <w:t xml:space="preserve"> of </w:t>
      </w:r>
      <w:r w:rsidR="005B13FA" w:rsidRPr="00D6340F">
        <w:rPr>
          <w:rFonts w:cs="Arial"/>
          <w:lang w:val="en-GB"/>
        </w:rPr>
        <w:t xml:space="preserve">sodium </w:t>
      </w:r>
      <w:r w:rsidR="006B1ABF" w:rsidRPr="00D6340F">
        <w:rPr>
          <w:rFonts w:cs="Arial"/>
          <w:lang w:val="en-GB"/>
        </w:rPr>
        <w:t>chloride 0.9%</w:t>
      </w:r>
      <w:r w:rsidRPr="00D6340F">
        <w:rPr>
          <w:rFonts w:cs="Arial"/>
          <w:lang w:val="en-GB"/>
        </w:rPr>
        <w:t>/dextrose 5% is utilised.</w:t>
      </w: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06"/>
      </w:tblGrid>
      <w:tr w:rsidR="00407A37" w:rsidRPr="004F53C2" w14:paraId="1CA9BB8F" w14:textId="77777777" w:rsidTr="002E6931">
        <w:tc>
          <w:tcPr>
            <w:tcW w:w="1105" w:type="dxa"/>
            <w:shd w:val="clear" w:color="auto" w:fill="auto"/>
          </w:tcPr>
          <w:p w14:paraId="68E10C82" w14:textId="77777777" w:rsidR="00407A37" w:rsidRPr="004F53C2" w:rsidRDefault="00407A37" w:rsidP="002E6931">
            <w:pPr>
              <w:pStyle w:val="Medicinebullet1"/>
              <w:ind w:left="360"/>
              <w:rPr>
                <w:rFonts w:cs="Arial"/>
                <w:i/>
                <w:sz w:val="16"/>
                <w:lang w:val="en-GB"/>
              </w:rPr>
            </w:pPr>
            <w:r w:rsidRPr="004F53C2">
              <w:rPr>
                <w:rFonts w:cs="Arial"/>
                <w:i/>
                <w:sz w:val="16"/>
                <w:lang w:val="en-GB"/>
              </w:rPr>
              <w:t>LoE:III</w:t>
            </w:r>
            <w:r w:rsidRPr="004F53C2">
              <w:rPr>
                <w:rFonts w:cs="Arial"/>
                <w:i/>
                <w:sz w:val="16"/>
                <w:vertAlign w:val="superscript"/>
                <w:lang w:val="en-GB"/>
              </w:rPr>
              <w:endnoteReference w:id="4"/>
            </w:r>
          </w:p>
        </w:tc>
      </w:tr>
    </w:tbl>
    <w:p w14:paraId="368D18BE" w14:textId="77777777" w:rsidR="00340709" w:rsidRPr="00D6340F" w:rsidRDefault="00340709" w:rsidP="00407A37">
      <w:pPr>
        <w:pStyle w:val="Medicinebullet1"/>
        <w:ind w:left="709"/>
        <w:rPr>
          <w:rFonts w:cs="Arial"/>
          <w:sz w:val="2"/>
          <w:lang w:val="en-GB"/>
        </w:rPr>
      </w:pPr>
    </w:p>
    <w:p w14:paraId="5DFB08EA" w14:textId="77777777" w:rsidR="005B13FA" w:rsidRPr="00D6340F" w:rsidRDefault="00340709" w:rsidP="00F97C6B">
      <w:pPr>
        <w:pStyle w:val="Medicinebullet1"/>
        <w:numPr>
          <w:ilvl w:val="1"/>
          <w:numId w:val="3"/>
        </w:numPr>
        <w:tabs>
          <w:tab w:val="clear" w:pos="1440"/>
        </w:tabs>
        <w:ind w:left="567" w:hanging="283"/>
        <w:rPr>
          <w:rFonts w:cs="Arial"/>
          <w:lang w:val="en-GB"/>
        </w:rPr>
      </w:pPr>
      <w:r w:rsidRPr="00D6340F">
        <w:rPr>
          <w:rFonts w:cs="Arial"/>
          <w:lang w:val="en-GB"/>
        </w:rPr>
        <w:t>The fluid deficit is often several litres.</w:t>
      </w:r>
    </w:p>
    <w:p w14:paraId="0291D553" w14:textId="77777777" w:rsidR="005B13FA" w:rsidRPr="00D6340F" w:rsidRDefault="005B13FA" w:rsidP="00340709">
      <w:pPr>
        <w:rPr>
          <w:bCs w:val="0"/>
          <w:noProof/>
          <w:color w:val="auto"/>
          <w:sz w:val="10"/>
          <w:lang w:val="en-GB"/>
        </w:rPr>
      </w:pPr>
    </w:p>
    <w:p w14:paraId="2FB17C3D" w14:textId="77777777" w:rsidR="00340709" w:rsidRPr="00D6340F" w:rsidRDefault="00340709" w:rsidP="00340709">
      <w:pPr>
        <w:rPr>
          <w:rFonts w:cs="Arial"/>
          <w:lang w:val="en-GB"/>
        </w:rPr>
      </w:pPr>
      <w:r w:rsidRPr="00D6340F">
        <w:rPr>
          <w:rFonts w:cs="Arial"/>
          <w:lang w:val="en-GB"/>
        </w:rPr>
        <w:t>Monitor glucose levels closely and treat hypoglycaemia if present.</w:t>
      </w:r>
    </w:p>
    <w:p w14:paraId="46F7F4A6" w14:textId="77777777" w:rsidR="005F599A" w:rsidRPr="00D6340F" w:rsidRDefault="005F599A" w:rsidP="005F599A">
      <w:pPr>
        <w:pStyle w:val="ep4"/>
        <w:numPr>
          <w:ilvl w:val="0"/>
          <w:numId w:val="0"/>
        </w:numPr>
        <w:rPr>
          <w:lang w:val="en-GB"/>
        </w:rPr>
      </w:pPr>
      <w:r w:rsidRPr="00D6340F">
        <w:rPr>
          <w:b/>
          <w:color w:val="auto"/>
          <w:lang w:val="en-GB"/>
        </w:rPr>
        <w:t>Note:</w:t>
      </w:r>
      <w:r w:rsidR="00D6340F">
        <w:rPr>
          <w:b/>
          <w:color w:val="auto"/>
          <w:lang w:val="en-GB"/>
        </w:rPr>
        <w:t xml:space="preserve"> </w:t>
      </w:r>
      <w:r w:rsidRPr="00D6340F">
        <w:rPr>
          <w:color w:val="auto"/>
          <w:lang w:val="en-GB"/>
        </w:rPr>
        <w:t>All</w:t>
      </w:r>
      <w:r w:rsidR="00D6340F">
        <w:rPr>
          <w:color w:val="auto"/>
          <w:lang w:val="en-GB"/>
        </w:rPr>
        <w:t xml:space="preserve"> </w:t>
      </w:r>
      <w:r w:rsidRPr="00D6340F">
        <w:rPr>
          <w:lang w:val="en-GB"/>
        </w:rPr>
        <w:t>suspected cases should be referred for full evaluation, prior to chronic maintenance therapy.</w:t>
      </w:r>
    </w:p>
    <w:p w14:paraId="31714F89" w14:textId="77777777" w:rsidR="005F599A" w:rsidRPr="00D6340F" w:rsidRDefault="005F599A" w:rsidP="00340709">
      <w:pPr>
        <w:rPr>
          <w:rStyle w:val="StyleBold"/>
          <w:rFonts w:cs="Arial"/>
          <w:lang w:val="en-GB"/>
        </w:rPr>
      </w:pPr>
    </w:p>
    <w:p w14:paraId="6304FC54" w14:textId="77777777" w:rsidR="00340709" w:rsidRPr="00D6340F" w:rsidRDefault="00340709" w:rsidP="00340709">
      <w:pPr>
        <w:rPr>
          <w:rStyle w:val="StyleBold"/>
          <w:rFonts w:cs="Arial"/>
          <w:lang w:val="en-GB"/>
        </w:rPr>
      </w:pPr>
      <w:r w:rsidRPr="00D6340F">
        <w:rPr>
          <w:rStyle w:val="StyleBold"/>
          <w:rFonts w:cs="Arial"/>
          <w:lang w:val="en-GB"/>
        </w:rPr>
        <w:t>Chronic</w:t>
      </w:r>
    </w:p>
    <w:p w14:paraId="5151203F" w14:textId="77777777" w:rsidR="00340709" w:rsidRPr="00D6340F" w:rsidRDefault="00340709" w:rsidP="00340709">
      <w:pPr>
        <w:rPr>
          <w:rFonts w:cs="Arial"/>
          <w:lang w:val="en-GB"/>
        </w:rPr>
      </w:pPr>
      <w:r w:rsidRPr="00D6340F">
        <w:rPr>
          <w:rFonts w:cs="Arial"/>
          <w:u w:val="single"/>
          <w:lang w:val="en-GB"/>
        </w:rPr>
        <w:t>As maintenance therapy</w:t>
      </w:r>
      <w:r w:rsidRPr="00D6340F">
        <w:rPr>
          <w:rFonts w:cs="Arial"/>
          <w:lang w:val="en-GB"/>
        </w:rPr>
        <w:t>:</w:t>
      </w:r>
    </w:p>
    <w:p w14:paraId="304EE2C9" w14:textId="77777777" w:rsidR="00340709" w:rsidRPr="00D6340F" w:rsidRDefault="00340709" w:rsidP="00340709">
      <w:pPr>
        <w:pStyle w:val="ep4"/>
        <w:rPr>
          <w:lang w:val="en-GB"/>
        </w:rPr>
      </w:pPr>
      <w:r w:rsidRPr="00D6340F">
        <w:rPr>
          <w:lang w:val="en-GB"/>
        </w:rPr>
        <w:t>Hydrocortisone, oral.</w:t>
      </w:r>
    </w:p>
    <w:p w14:paraId="5D5F00F3" w14:textId="77777777" w:rsidR="00340709" w:rsidRPr="00D6340F" w:rsidRDefault="00340709" w:rsidP="00FE61FE">
      <w:pPr>
        <w:pStyle w:val="Medicinebullet1"/>
        <w:numPr>
          <w:ilvl w:val="1"/>
          <w:numId w:val="3"/>
        </w:numPr>
        <w:tabs>
          <w:tab w:val="clear" w:pos="1440"/>
        </w:tabs>
        <w:ind w:left="567" w:hanging="283"/>
        <w:rPr>
          <w:rFonts w:cs="Arial"/>
          <w:lang w:val="en-GB"/>
        </w:rPr>
      </w:pPr>
      <w:r w:rsidRPr="00D6340F">
        <w:rPr>
          <w:rFonts w:cs="Arial"/>
          <w:lang w:val="en-GB"/>
        </w:rPr>
        <w:t xml:space="preserve">Start with 10 mg in the morning and 5 mg at night. </w:t>
      </w:r>
    </w:p>
    <w:p w14:paraId="20B45281" w14:textId="77777777" w:rsidR="00FE61FE" w:rsidRDefault="00340709" w:rsidP="00FE61FE">
      <w:pPr>
        <w:pStyle w:val="Medicinebullet1"/>
        <w:numPr>
          <w:ilvl w:val="1"/>
          <w:numId w:val="3"/>
        </w:numPr>
        <w:tabs>
          <w:tab w:val="clear" w:pos="1440"/>
        </w:tabs>
        <w:ind w:left="567" w:hanging="283"/>
        <w:rPr>
          <w:rFonts w:cs="Arial"/>
          <w:lang w:val="en-GB"/>
        </w:rPr>
      </w:pPr>
      <w:r w:rsidRPr="00D6340F">
        <w:rPr>
          <w:rFonts w:cs="Arial"/>
          <w:lang w:val="en-GB"/>
        </w:rPr>
        <w:lastRenderedPageBreak/>
        <w:t xml:space="preserve">Increase the dose according to clinical response up to 20 mg in the morning and 10 mg at night. </w:t>
      </w:r>
    </w:p>
    <w:p w14:paraId="40CDEBBD" w14:textId="77777777" w:rsidR="00FE61FE" w:rsidRPr="00D6340F" w:rsidRDefault="00FE61FE" w:rsidP="00FE61FE">
      <w:pPr>
        <w:pStyle w:val="Medicinebullet1"/>
        <w:numPr>
          <w:ilvl w:val="1"/>
          <w:numId w:val="3"/>
        </w:numPr>
        <w:tabs>
          <w:tab w:val="clear" w:pos="1440"/>
        </w:tabs>
        <w:ind w:left="567" w:hanging="283"/>
        <w:rPr>
          <w:rFonts w:cs="Arial"/>
          <w:lang w:val="en-GB"/>
        </w:rPr>
      </w:pPr>
      <w:r w:rsidRPr="00FE61FE">
        <w:rPr>
          <w:rFonts w:cs="Arial"/>
          <w:lang w:val="en-GB"/>
        </w:rPr>
        <w:t>In patients requiring a midday dose, a suggested regimen is 10 mg in the morning, 5 mg at midday and 5 mg in the early evening.</w:t>
      </w:r>
    </w:p>
    <w:p w14:paraId="36D99970" w14:textId="77777777" w:rsidR="00F20933" w:rsidRPr="00FE61FE" w:rsidRDefault="00F20933" w:rsidP="00FE61FE">
      <w:pPr>
        <w:pStyle w:val="Medicinebullet1"/>
        <w:numPr>
          <w:ilvl w:val="1"/>
          <w:numId w:val="3"/>
        </w:numPr>
        <w:tabs>
          <w:tab w:val="clear" w:pos="1440"/>
        </w:tabs>
        <w:ind w:left="709" w:hanging="349"/>
        <w:rPr>
          <w:rFonts w:cs="Arial"/>
          <w:sz w:val="4"/>
          <w:szCs w:val="4"/>
          <w:lang w:val="en-GB"/>
        </w:rPr>
      </w:pP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96377C" w:rsidRPr="004F53C2" w14:paraId="3649840A" w14:textId="77777777" w:rsidTr="00EF19DA">
        <w:tc>
          <w:tcPr>
            <w:tcW w:w="1134" w:type="dxa"/>
            <w:shd w:val="clear" w:color="auto" w:fill="auto"/>
          </w:tcPr>
          <w:p w14:paraId="54E0271E" w14:textId="77777777" w:rsidR="0096377C" w:rsidRPr="004F53C2" w:rsidRDefault="0096377C" w:rsidP="0096377C">
            <w:pPr>
              <w:jc w:val="right"/>
              <w:rPr>
                <w:b/>
                <w:i/>
                <w:sz w:val="16"/>
                <w:lang w:val="en-GB"/>
              </w:rPr>
            </w:pPr>
            <w:proofErr w:type="spellStart"/>
            <w:proofErr w:type="gramStart"/>
            <w:r w:rsidRPr="004F53C2">
              <w:rPr>
                <w:i/>
                <w:sz w:val="16"/>
                <w:lang w:val="en-GB"/>
              </w:rPr>
              <w:t>LoE:III</w:t>
            </w:r>
            <w:proofErr w:type="spellEnd"/>
            <w:proofErr w:type="gramEnd"/>
          </w:p>
        </w:tc>
      </w:tr>
    </w:tbl>
    <w:p w14:paraId="3D5B3AD1" w14:textId="77777777" w:rsidR="0086537A" w:rsidRPr="00D6340F" w:rsidRDefault="0086537A" w:rsidP="0096377C">
      <w:pPr>
        <w:pStyle w:val="Medicinebullet1"/>
        <w:ind w:left="709"/>
        <w:jc w:val="both"/>
        <w:rPr>
          <w:rFonts w:cs="Arial"/>
          <w:sz w:val="2"/>
          <w:lang w:val="en-GB"/>
        </w:rPr>
      </w:pPr>
    </w:p>
    <w:p w14:paraId="6FEC2CD4" w14:textId="11248561" w:rsidR="00340709" w:rsidRDefault="00340709" w:rsidP="00340709">
      <w:pPr>
        <w:pStyle w:val="Heading6"/>
        <w:rPr>
          <w:rFonts w:cs="Arial"/>
        </w:rPr>
      </w:pPr>
      <w:r w:rsidRPr="00D6340F">
        <w:rPr>
          <w:rFonts w:cs="Arial"/>
        </w:rPr>
        <w:t>OR</w:t>
      </w:r>
    </w:p>
    <w:p w14:paraId="411D8ADE" w14:textId="6DF99E4E" w:rsidR="001F6931" w:rsidRPr="001F6931" w:rsidRDefault="001F6931" w:rsidP="001F6931">
      <w:pPr>
        <w:pStyle w:val="ListParagraph"/>
        <w:numPr>
          <w:ilvl w:val="0"/>
          <w:numId w:val="76"/>
        </w:numPr>
        <w:spacing w:line="240" w:lineRule="auto"/>
        <w:ind w:left="284" w:hanging="284"/>
        <w:rPr>
          <w:rFonts w:ascii="Arial" w:hAnsi="Arial" w:cs="Arial"/>
          <w:sz w:val="18"/>
        </w:rPr>
      </w:pPr>
      <w:r w:rsidRPr="00284929">
        <w:rPr>
          <w:rFonts w:ascii="Arial" w:hAnsi="Arial" w:cs="Arial"/>
          <w:sz w:val="18"/>
        </w:rPr>
        <w:t xml:space="preserve">Corticosteroids </w:t>
      </w:r>
      <w:r>
        <w:rPr>
          <w:rFonts w:ascii="Arial" w:hAnsi="Arial" w:cs="Arial"/>
          <w:sz w:val="18"/>
        </w:rPr>
        <w:t xml:space="preserve">(intermediate-acting) </w:t>
      </w:r>
      <w:r w:rsidRPr="00284929">
        <w:rPr>
          <w:rFonts w:ascii="Arial" w:hAnsi="Arial" w:cs="Arial"/>
          <w:sz w:val="18"/>
        </w:rPr>
        <w:t>e.g.:</w:t>
      </w:r>
    </w:p>
    <w:p w14:paraId="5280B71A" w14:textId="77777777" w:rsidR="00340709" w:rsidRPr="00D6340F" w:rsidRDefault="00340709" w:rsidP="001F6931">
      <w:pPr>
        <w:pStyle w:val="ep4"/>
        <w:tabs>
          <w:tab w:val="clear" w:pos="360"/>
          <w:tab w:val="num" w:pos="284"/>
        </w:tabs>
        <w:rPr>
          <w:lang w:val="en-GB"/>
        </w:rPr>
      </w:pPr>
      <w:r w:rsidRPr="00D6340F">
        <w:rPr>
          <w:lang w:val="en-GB"/>
        </w:rPr>
        <w:t>Prednisone, oral.</w:t>
      </w:r>
    </w:p>
    <w:p w14:paraId="2EFD447A" w14:textId="77777777" w:rsidR="00340709" w:rsidRPr="00D6340F" w:rsidRDefault="00340709" w:rsidP="00FE61FE">
      <w:pPr>
        <w:pStyle w:val="Medicinebullet1"/>
        <w:numPr>
          <w:ilvl w:val="1"/>
          <w:numId w:val="3"/>
        </w:numPr>
        <w:tabs>
          <w:tab w:val="clear" w:pos="1440"/>
        </w:tabs>
        <w:ind w:left="567" w:hanging="283"/>
        <w:rPr>
          <w:rFonts w:cs="Arial"/>
          <w:lang w:val="en-GB"/>
        </w:rPr>
      </w:pPr>
      <w:r w:rsidRPr="00D6340F">
        <w:rPr>
          <w:rFonts w:cs="Arial"/>
          <w:lang w:val="en-GB"/>
        </w:rPr>
        <w:t xml:space="preserve">Start with 5 mg daily. </w:t>
      </w: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1F6931" w:rsidRPr="004F53C2" w14:paraId="37A3F1A8" w14:textId="77777777" w:rsidTr="00F74C89">
        <w:tc>
          <w:tcPr>
            <w:tcW w:w="1134" w:type="dxa"/>
            <w:shd w:val="clear" w:color="auto" w:fill="auto"/>
          </w:tcPr>
          <w:p w14:paraId="2B0D4885" w14:textId="2DBEAABD" w:rsidR="001F6931" w:rsidRPr="004F53C2" w:rsidRDefault="001F6931" w:rsidP="00F74C89">
            <w:pPr>
              <w:jc w:val="right"/>
              <w:rPr>
                <w:b/>
                <w:i/>
                <w:sz w:val="16"/>
                <w:lang w:val="en-GB"/>
              </w:rPr>
            </w:pPr>
            <w:proofErr w:type="spellStart"/>
            <w:proofErr w:type="gramStart"/>
            <w:r w:rsidRPr="004F53C2">
              <w:rPr>
                <w:i/>
                <w:sz w:val="16"/>
                <w:lang w:val="en-GB"/>
              </w:rPr>
              <w:t>LoE:III</w:t>
            </w:r>
            <w:proofErr w:type="spellEnd"/>
            <w:proofErr w:type="gramEnd"/>
            <w:r>
              <w:rPr>
                <w:rStyle w:val="EndnoteReference"/>
                <w:i/>
                <w:sz w:val="16"/>
                <w:lang w:val="en-GB"/>
              </w:rPr>
              <w:endnoteReference w:id="5"/>
            </w:r>
          </w:p>
        </w:tc>
      </w:tr>
    </w:tbl>
    <w:p w14:paraId="4538C29A" w14:textId="77777777" w:rsidR="00340709" w:rsidRPr="00D6340F" w:rsidRDefault="00340709" w:rsidP="00FE61FE">
      <w:pPr>
        <w:pStyle w:val="Medicinebullet1"/>
        <w:numPr>
          <w:ilvl w:val="1"/>
          <w:numId w:val="3"/>
        </w:numPr>
        <w:tabs>
          <w:tab w:val="clear" w:pos="1440"/>
        </w:tabs>
        <w:ind w:left="567" w:hanging="283"/>
        <w:rPr>
          <w:rFonts w:cs="Arial"/>
          <w:lang w:val="en-GB"/>
        </w:rPr>
      </w:pPr>
      <w:r w:rsidRPr="00D6340F">
        <w:rPr>
          <w:rFonts w:cs="Arial"/>
          <w:lang w:val="en-GB"/>
        </w:rPr>
        <w:t>Increase to maximum of 7.5 mg daily, if necessary.</w:t>
      </w:r>
    </w:p>
    <w:p w14:paraId="2D8E7652" w14:textId="77777777" w:rsidR="00AF0C7B" w:rsidRDefault="00AF0C7B" w:rsidP="00340709">
      <w:pPr>
        <w:rPr>
          <w:rFonts w:cs="Arial"/>
          <w:color w:val="auto"/>
          <w:u w:val="single"/>
          <w:lang w:val="en-GB"/>
        </w:rPr>
      </w:pPr>
    </w:p>
    <w:p w14:paraId="4D5E029A" w14:textId="77777777" w:rsidR="00340709" w:rsidRDefault="00340709" w:rsidP="00340709">
      <w:pPr>
        <w:rPr>
          <w:rFonts w:cs="Arial"/>
          <w:color w:val="auto"/>
          <w:u w:val="single"/>
          <w:lang w:val="en-GB"/>
        </w:rPr>
      </w:pPr>
      <w:r w:rsidRPr="00D6340F">
        <w:rPr>
          <w:rFonts w:cs="Arial"/>
          <w:color w:val="auto"/>
          <w:u w:val="single"/>
          <w:lang w:val="en-GB"/>
        </w:rPr>
        <w:t xml:space="preserve">For patients who </w:t>
      </w:r>
      <w:r w:rsidR="003646A3" w:rsidRPr="00D6340F">
        <w:rPr>
          <w:rFonts w:cs="Arial"/>
          <w:color w:val="auto"/>
          <w:u w:val="single"/>
          <w:lang w:val="en-GB"/>
        </w:rPr>
        <w:t>have symptoms of mineralocorticoid deficiency:</w:t>
      </w:r>
    </w:p>
    <w:p w14:paraId="2A96AD7B" w14:textId="77777777" w:rsidR="003E65B3" w:rsidRPr="00D6340F" w:rsidRDefault="00340709" w:rsidP="00CB2418">
      <w:pPr>
        <w:pStyle w:val="ep4"/>
        <w:ind w:left="360" w:hanging="360"/>
        <w:rPr>
          <w:color w:val="auto"/>
          <w:lang w:val="en-GB"/>
        </w:rPr>
      </w:pPr>
      <w:r w:rsidRPr="00D6340F">
        <w:rPr>
          <w:lang w:val="en-GB"/>
        </w:rPr>
        <w:t>Fludrocortisone, oral, 50–100 mcg daily</w:t>
      </w:r>
      <w:r w:rsidR="00D6340F">
        <w:rPr>
          <w:lang w:val="en-GB"/>
        </w:rPr>
        <w:t xml:space="preserve"> </w:t>
      </w:r>
      <w:r w:rsidR="00B928DE" w:rsidRPr="00D6340F">
        <w:rPr>
          <w:color w:val="auto"/>
          <w:lang w:val="en-GB"/>
        </w:rPr>
        <w:t xml:space="preserve">may be </w:t>
      </w:r>
      <w:r w:rsidRPr="00D6340F">
        <w:rPr>
          <w:color w:val="auto"/>
          <w:lang w:val="en-GB"/>
        </w:rPr>
        <w:t xml:space="preserve">required </w:t>
      </w:r>
      <w:r w:rsidR="006B1ABF" w:rsidRPr="00D6340F">
        <w:rPr>
          <w:color w:val="auto"/>
          <w:lang w:val="en-GB"/>
        </w:rPr>
        <w:t xml:space="preserve">to </w:t>
      </w:r>
      <w:r w:rsidRPr="00D6340F">
        <w:rPr>
          <w:color w:val="auto"/>
          <w:lang w:val="en-GB"/>
        </w:rPr>
        <w:t xml:space="preserve">normalise the potassium </w:t>
      </w:r>
      <w:r w:rsidR="003646A3" w:rsidRPr="00D6340F">
        <w:rPr>
          <w:color w:val="auto"/>
          <w:lang w:val="en-GB"/>
        </w:rPr>
        <w:t xml:space="preserve">and to reduce postural hypotension </w:t>
      </w:r>
      <w:r w:rsidRPr="00D6340F">
        <w:rPr>
          <w:color w:val="auto"/>
          <w:lang w:val="en-GB"/>
        </w:rPr>
        <w:t>in primary hypoadrenalism.</w:t>
      </w:r>
    </w:p>
    <w:p w14:paraId="718A11DC" w14:textId="77777777" w:rsidR="0096377C" w:rsidRPr="00D6340F" w:rsidRDefault="00585A63" w:rsidP="00407A37">
      <w:pPr>
        <w:pStyle w:val="Medicinebullet1"/>
        <w:numPr>
          <w:ilvl w:val="1"/>
          <w:numId w:val="3"/>
        </w:numPr>
        <w:tabs>
          <w:tab w:val="clear" w:pos="1440"/>
        </w:tabs>
        <w:ind w:left="709" w:hanging="349"/>
        <w:rPr>
          <w:lang w:val="en-GB"/>
        </w:rPr>
      </w:pPr>
      <w:r w:rsidRPr="00D6340F">
        <w:rPr>
          <w:lang w:val="en-GB"/>
        </w:rPr>
        <w:t xml:space="preserve">Titrate dose of fludrocortisone </w:t>
      </w:r>
      <w:r w:rsidR="003E65B3" w:rsidRPr="00D6340F">
        <w:rPr>
          <w:lang w:val="en-GB"/>
        </w:rPr>
        <w:t>in consultation with a specialist.</w:t>
      </w: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96377C" w:rsidRPr="00653F1D" w14:paraId="0F865A04" w14:textId="77777777" w:rsidTr="00EF19DA">
        <w:tc>
          <w:tcPr>
            <w:tcW w:w="1134" w:type="dxa"/>
            <w:shd w:val="clear" w:color="auto" w:fill="auto"/>
          </w:tcPr>
          <w:p w14:paraId="58DC1E61" w14:textId="77777777" w:rsidR="0096377C" w:rsidRPr="00653F1D" w:rsidRDefault="0096377C" w:rsidP="00EF19DA">
            <w:pPr>
              <w:jc w:val="right"/>
              <w:rPr>
                <w:b/>
                <w:i/>
                <w:sz w:val="16"/>
                <w:lang w:val="en-GB"/>
              </w:rPr>
            </w:pPr>
            <w:proofErr w:type="spellStart"/>
            <w:proofErr w:type="gramStart"/>
            <w:r w:rsidRPr="00653F1D">
              <w:rPr>
                <w:i/>
                <w:sz w:val="16"/>
                <w:lang w:val="en-GB"/>
              </w:rPr>
              <w:t>LoE:III</w:t>
            </w:r>
            <w:proofErr w:type="spellEnd"/>
            <w:proofErr w:type="gramEnd"/>
            <w:r w:rsidRPr="00653F1D">
              <w:rPr>
                <w:rStyle w:val="EndnoteReference"/>
                <w:i/>
                <w:sz w:val="16"/>
                <w:lang w:val="en-GB"/>
              </w:rPr>
              <w:endnoteReference w:id="6"/>
            </w:r>
          </w:p>
        </w:tc>
      </w:tr>
    </w:tbl>
    <w:p w14:paraId="3037F8B6" w14:textId="77777777" w:rsidR="00340709" w:rsidRPr="00D6340F" w:rsidRDefault="00340709" w:rsidP="0096377C">
      <w:pPr>
        <w:pStyle w:val="Medicinebullet1"/>
        <w:ind w:left="709"/>
        <w:rPr>
          <w:lang w:val="en-GB"/>
        </w:rPr>
      </w:pPr>
    </w:p>
    <w:p w14:paraId="6E4D2CDD" w14:textId="77777777" w:rsidR="00340709" w:rsidRPr="00D6340F" w:rsidRDefault="00340709" w:rsidP="00340709">
      <w:pPr>
        <w:pStyle w:val="Normal2"/>
        <w:rPr>
          <w:lang w:val="en-GB"/>
        </w:rPr>
      </w:pPr>
      <w:r w:rsidRPr="00D6340F">
        <w:rPr>
          <w:lang w:val="en-GB"/>
        </w:rPr>
        <w:t>Monitor response to therapy with:</w:t>
      </w:r>
    </w:p>
    <w:p w14:paraId="21BF16D1" w14:textId="77777777" w:rsidR="00340709" w:rsidRPr="00D6340F" w:rsidRDefault="00340709" w:rsidP="002B0ACE">
      <w:pPr>
        <w:pStyle w:val="ep4"/>
        <w:numPr>
          <w:ilvl w:val="0"/>
          <w:numId w:val="9"/>
        </w:numPr>
        <w:ind w:left="284" w:hanging="284"/>
        <w:rPr>
          <w:strike/>
          <w:lang w:val="en-GB"/>
        </w:rPr>
      </w:pPr>
      <w:r w:rsidRPr="00D6340F">
        <w:rPr>
          <w:lang w:val="en-GB"/>
        </w:rPr>
        <w:t>Symptoms: improvement in fatigue and GIT disturbances.</w:t>
      </w:r>
    </w:p>
    <w:p w14:paraId="3ADB2592" w14:textId="77777777" w:rsidR="00340709" w:rsidRPr="00D6340F" w:rsidRDefault="00340709" w:rsidP="002B0ACE">
      <w:pPr>
        <w:pStyle w:val="ep4"/>
        <w:numPr>
          <w:ilvl w:val="0"/>
          <w:numId w:val="9"/>
        </w:numPr>
        <w:ind w:left="284" w:hanging="284"/>
        <w:rPr>
          <w:strike/>
          <w:lang w:val="en-GB"/>
        </w:rPr>
      </w:pPr>
      <w:r w:rsidRPr="00D6340F">
        <w:rPr>
          <w:lang w:val="en-GB"/>
        </w:rPr>
        <w:t>Blood pressure: normotensive and no postural drop.</w:t>
      </w:r>
    </w:p>
    <w:p w14:paraId="043D1D1F" w14:textId="77777777" w:rsidR="00E62FA2" w:rsidRPr="00AF0C7B" w:rsidRDefault="00340709" w:rsidP="00AF0C7B">
      <w:pPr>
        <w:pStyle w:val="ep4"/>
        <w:numPr>
          <w:ilvl w:val="0"/>
          <w:numId w:val="9"/>
        </w:numPr>
        <w:ind w:left="284" w:hanging="284"/>
        <w:rPr>
          <w:strike/>
          <w:lang w:val="en-GB"/>
        </w:rPr>
      </w:pPr>
      <w:r w:rsidRPr="00D6340F">
        <w:rPr>
          <w:lang w:val="en-GB"/>
        </w:rPr>
        <w:t>Electrolytes: normal Na+ and K+.</w:t>
      </w:r>
    </w:p>
    <w:p w14:paraId="3792E1E3" w14:textId="77777777" w:rsidR="00600046" w:rsidRDefault="00600046" w:rsidP="00340709">
      <w:pPr>
        <w:widowControl w:val="0"/>
        <w:rPr>
          <w:rFonts w:cs="Arial"/>
          <w:u w:val="single"/>
          <w:lang w:val="en-GB"/>
        </w:rPr>
      </w:pPr>
    </w:p>
    <w:p w14:paraId="18F0A113" w14:textId="77777777" w:rsidR="00340709" w:rsidRPr="00062BBE" w:rsidRDefault="00340709" w:rsidP="00340709">
      <w:pPr>
        <w:widowControl w:val="0"/>
        <w:rPr>
          <w:rFonts w:cs="Arial"/>
          <w:color w:val="auto"/>
          <w:u w:val="single"/>
          <w:lang w:val="en-GB"/>
        </w:rPr>
      </w:pPr>
      <w:r w:rsidRPr="00062BBE">
        <w:rPr>
          <w:rFonts w:cs="Arial"/>
          <w:color w:val="auto"/>
          <w:u w:val="single"/>
          <w:lang w:val="en-GB"/>
        </w:rPr>
        <w:t>During times of severe “stress” i.e. acute illness, surgery, trauma, etc.:</w:t>
      </w: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B702D2" w:rsidRPr="00B702D2" w14:paraId="1DC6ECB3" w14:textId="77777777" w:rsidTr="00CC1CF6">
        <w:tc>
          <w:tcPr>
            <w:tcW w:w="1134" w:type="dxa"/>
            <w:shd w:val="clear" w:color="auto" w:fill="auto"/>
          </w:tcPr>
          <w:p w14:paraId="6260270C" w14:textId="77777777" w:rsidR="00B702D2" w:rsidRPr="00B702D2" w:rsidRDefault="00B702D2" w:rsidP="00CC1CF6">
            <w:pPr>
              <w:jc w:val="right"/>
              <w:rPr>
                <w:b/>
                <w:i/>
                <w:color w:val="auto"/>
                <w:sz w:val="16"/>
                <w:lang w:val="en-GB"/>
              </w:rPr>
            </w:pPr>
            <w:proofErr w:type="spellStart"/>
            <w:proofErr w:type="gramStart"/>
            <w:r w:rsidRPr="00B702D2">
              <w:rPr>
                <w:i/>
                <w:color w:val="auto"/>
                <w:sz w:val="16"/>
                <w:lang w:val="en-GB"/>
              </w:rPr>
              <w:t>LoE:III</w:t>
            </w:r>
            <w:proofErr w:type="spellEnd"/>
            <w:proofErr w:type="gramEnd"/>
            <w:r w:rsidRPr="00B702D2">
              <w:rPr>
                <w:rStyle w:val="EndnoteReference"/>
                <w:i/>
                <w:color w:val="auto"/>
                <w:sz w:val="16"/>
                <w:lang w:val="en-GB"/>
              </w:rPr>
              <w:endnoteReference w:id="7"/>
            </w:r>
          </w:p>
        </w:tc>
      </w:tr>
    </w:tbl>
    <w:p w14:paraId="737353BC" w14:textId="77777777" w:rsidR="003E2B00" w:rsidRPr="00062BBE" w:rsidRDefault="00340709" w:rsidP="00600046">
      <w:pPr>
        <w:pStyle w:val="ep4"/>
        <w:rPr>
          <w:color w:val="auto"/>
          <w:lang w:val="en-GB"/>
        </w:rPr>
      </w:pPr>
      <w:r w:rsidRPr="00062BBE">
        <w:rPr>
          <w:color w:val="auto"/>
          <w:lang w:val="en-GB"/>
        </w:rPr>
        <w:t xml:space="preserve">Hydrocortisone, IV, </w:t>
      </w:r>
      <w:r w:rsidR="00600046" w:rsidRPr="00062BBE">
        <w:rPr>
          <w:color w:val="auto"/>
          <w:lang w:val="en-GB"/>
        </w:rPr>
        <w:t xml:space="preserve">100 mg </w:t>
      </w:r>
      <w:r w:rsidR="00AF0C7B">
        <w:rPr>
          <w:color w:val="auto"/>
          <w:lang w:val="en-GB"/>
        </w:rPr>
        <w:t>6</w:t>
      </w:r>
      <w:r w:rsidR="00600046" w:rsidRPr="00062BBE">
        <w:rPr>
          <w:color w:val="auto"/>
          <w:lang w:val="en-GB"/>
        </w:rPr>
        <w:t xml:space="preserve"> hourly.</w:t>
      </w:r>
    </w:p>
    <w:p w14:paraId="2A6042CB" w14:textId="77777777" w:rsidR="00340709" w:rsidRPr="00B702D2" w:rsidRDefault="00340709" w:rsidP="003C309C">
      <w:pPr>
        <w:pStyle w:val="ep4"/>
        <w:numPr>
          <w:ilvl w:val="0"/>
          <w:numId w:val="0"/>
        </w:numPr>
        <w:rPr>
          <w:color w:val="auto"/>
          <w:sz w:val="4"/>
          <w:lang w:val="en-GB"/>
        </w:rPr>
      </w:pPr>
    </w:p>
    <w:p w14:paraId="49EF2403" w14:textId="77777777" w:rsidR="00340709" w:rsidRPr="00B702D2" w:rsidRDefault="006E579C" w:rsidP="00340709">
      <w:pPr>
        <w:pStyle w:val="Heading5"/>
        <w:keepNext w:val="0"/>
        <w:widowControl w:val="0"/>
        <w:rPr>
          <w:rFonts w:cs="Arial"/>
          <w:b w:val="0"/>
          <w:spacing w:val="-2"/>
          <w:sz w:val="18"/>
          <w:szCs w:val="18"/>
          <w:lang w:val="en-GB"/>
        </w:rPr>
      </w:pPr>
      <w:r>
        <w:rPr>
          <w:rFonts w:cs="Arial"/>
          <w:b w:val="0"/>
          <w:color w:val="auto"/>
          <w:spacing w:val="-2"/>
          <w:sz w:val="18"/>
          <w:szCs w:val="18"/>
          <w:lang w:val="en-GB"/>
        </w:rPr>
        <w:t>M</w:t>
      </w:r>
      <w:r w:rsidR="00340709" w:rsidRPr="00B702D2">
        <w:rPr>
          <w:rFonts w:cs="Arial"/>
          <w:b w:val="0"/>
          <w:color w:val="auto"/>
          <w:spacing w:val="-2"/>
          <w:sz w:val="18"/>
          <w:szCs w:val="18"/>
          <w:lang w:val="en-GB"/>
        </w:rPr>
        <w:t>inor stress</w:t>
      </w:r>
      <w:r>
        <w:rPr>
          <w:rFonts w:cs="Arial"/>
          <w:b w:val="0"/>
          <w:color w:val="auto"/>
          <w:spacing w:val="-2"/>
          <w:sz w:val="18"/>
          <w:szCs w:val="18"/>
          <w:lang w:val="en-GB"/>
        </w:rPr>
        <w:t>ors</w:t>
      </w:r>
      <w:r w:rsidR="00340709" w:rsidRPr="00B702D2">
        <w:rPr>
          <w:rFonts w:cs="Arial"/>
          <w:b w:val="0"/>
          <w:color w:val="auto"/>
          <w:spacing w:val="-2"/>
          <w:sz w:val="18"/>
          <w:szCs w:val="18"/>
          <w:lang w:val="en-GB"/>
        </w:rPr>
        <w:t xml:space="preserve"> </w:t>
      </w:r>
      <w:r w:rsidR="00CD4F4D" w:rsidRPr="00B702D2">
        <w:rPr>
          <w:rFonts w:cs="Arial"/>
          <w:b w:val="0"/>
          <w:color w:val="auto"/>
          <w:spacing w:val="-2"/>
          <w:sz w:val="18"/>
          <w:szCs w:val="18"/>
          <w:lang w:val="en-GB"/>
        </w:rPr>
        <w:t>e</w:t>
      </w:r>
      <w:r w:rsidR="00290CB0" w:rsidRPr="00B702D2">
        <w:rPr>
          <w:rFonts w:cs="Arial"/>
          <w:b w:val="0"/>
          <w:color w:val="auto"/>
          <w:spacing w:val="-2"/>
          <w:sz w:val="18"/>
          <w:szCs w:val="18"/>
          <w:lang w:val="en-GB"/>
        </w:rPr>
        <w:t>.</w:t>
      </w:r>
      <w:r w:rsidR="00CD4F4D" w:rsidRPr="00B702D2">
        <w:rPr>
          <w:rFonts w:cs="Arial"/>
          <w:b w:val="0"/>
          <w:color w:val="auto"/>
          <w:spacing w:val="-2"/>
          <w:sz w:val="18"/>
          <w:szCs w:val="18"/>
          <w:lang w:val="en-GB"/>
        </w:rPr>
        <w:t>g.</w:t>
      </w:r>
      <w:r w:rsidR="00290CB0" w:rsidRPr="00B702D2">
        <w:rPr>
          <w:rFonts w:cs="Arial"/>
          <w:b w:val="0"/>
          <w:color w:val="auto"/>
          <w:spacing w:val="-2"/>
          <w:sz w:val="18"/>
          <w:szCs w:val="18"/>
          <w:lang w:val="en-GB"/>
        </w:rPr>
        <w:t>:</w:t>
      </w:r>
      <w:r w:rsidR="00CD4F4D" w:rsidRPr="00B702D2">
        <w:rPr>
          <w:rFonts w:cs="Arial"/>
          <w:b w:val="0"/>
          <w:color w:val="auto"/>
          <w:spacing w:val="-2"/>
          <w:sz w:val="18"/>
          <w:szCs w:val="18"/>
          <w:lang w:val="en-GB"/>
        </w:rPr>
        <w:t xml:space="preserve"> Influenza, diarrhoeal illness, chest infections and dental procedures warrant doubling of the doses of hydrocortisone </w:t>
      </w:r>
      <w:r w:rsidR="00340709" w:rsidRPr="00B702D2">
        <w:rPr>
          <w:rFonts w:cs="Arial"/>
          <w:b w:val="0"/>
          <w:color w:val="auto"/>
          <w:spacing w:val="-2"/>
          <w:sz w:val="18"/>
          <w:szCs w:val="18"/>
          <w:lang w:val="en-GB"/>
        </w:rPr>
        <w:t>for the duration of illness and gradual taper</w:t>
      </w:r>
      <w:r>
        <w:rPr>
          <w:rFonts w:cs="Arial"/>
          <w:b w:val="0"/>
          <w:color w:val="auto"/>
          <w:spacing w:val="-2"/>
          <w:sz w:val="18"/>
          <w:szCs w:val="18"/>
          <w:lang w:val="en-GB"/>
        </w:rPr>
        <w:t>ing</w:t>
      </w:r>
      <w:r w:rsidR="00340709" w:rsidRPr="00B702D2">
        <w:rPr>
          <w:rFonts w:cs="Arial"/>
          <w:b w:val="0"/>
          <w:color w:val="auto"/>
          <w:spacing w:val="-2"/>
          <w:sz w:val="18"/>
          <w:szCs w:val="18"/>
          <w:lang w:val="en-GB"/>
        </w:rPr>
        <w:t xml:space="preserve"> </w:t>
      </w:r>
      <w:r w:rsidR="00CD4F4D" w:rsidRPr="00B702D2">
        <w:rPr>
          <w:rFonts w:cs="Arial"/>
          <w:b w:val="0"/>
          <w:color w:val="auto"/>
          <w:spacing w:val="-2"/>
          <w:sz w:val="18"/>
          <w:szCs w:val="18"/>
          <w:lang w:val="en-GB"/>
        </w:rPr>
        <w:t xml:space="preserve">back </w:t>
      </w:r>
      <w:r w:rsidR="00340709" w:rsidRPr="00B702D2">
        <w:rPr>
          <w:rFonts w:cs="Arial"/>
          <w:b w:val="0"/>
          <w:color w:val="auto"/>
          <w:spacing w:val="-2"/>
          <w:sz w:val="18"/>
          <w:szCs w:val="18"/>
          <w:lang w:val="en-GB"/>
        </w:rPr>
        <w:t>to usual dose.</w:t>
      </w:r>
    </w:p>
    <w:p w14:paraId="76455EC1" w14:textId="77777777" w:rsidR="00340709" w:rsidRPr="00D6340F" w:rsidRDefault="00340709" w:rsidP="00340709">
      <w:pPr>
        <w:widowControl w:val="0"/>
        <w:rPr>
          <w:rFonts w:cs="Arial"/>
          <w:lang w:val="en-GB"/>
        </w:rPr>
      </w:pPr>
    </w:p>
    <w:p w14:paraId="5E50FFE2" w14:textId="77777777" w:rsidR="00340709" w:rsidRPr="00D6340F" w:rsidRDefault="00340709" w:rsidP="00340709">
      <w:pPr>
        <w:pStyle w:val="Heading5"/>
        <w:rPr>
          <w:rFonts w:cs="Arial"/>
          <w:lang w:val="en-GB"/>
        </w:rPr>
      </w:pPr>
      <w:r w:rsidRPr="00D6340F">
        <w:rPr>
          <w:rFonts w:cs="Arial"/>
          <w:lang w:val="en-GB"/>
        </w:rPr>
        <w:t>REFERRAL</w:t>
      </w:r>
    </w:p>
    <w:p w14:paraId="64755EFC" w14:textId="77777777" w:rsidR="00340709" w:rsidRPr="00D6340F" w:rsidRDefault="00340709" w:rsidP="00340709">
      <w:pPr>
        <w:pStyle w:val="ep4"/>
        <w:numPr>
          <w:ilvl w:val="0"/>
          <w:numId w:val="0"/>
        </w:numPr>
        <w:rPr>
          <w:lang w:val="en-GB"/>
        </w:rPr>
      </w:pPr>
      <w:r w:rsidRPr="00D6340F">
        <w:rPr>
          <w:color w:val="auto"/>
          <w:lang w:val="en-GB"/>
        </w:rPr>
        <w:t xml:space="preserve">All </w:t>
      </w:r>
      <w:r w:rsidRPr="00D6340F">
        <w:rPr>
          <w:lang w:val="en-GB"/>
        </w:rPr>
        <w:t>suspected cases, for full evaluation.</w:t>
      </w:r>
    </w:p>
    <w:p w14:paraId="05C9DA3E" w14:textId="77777777" w:rsidR="00340709" w:rsidRPr="00D6340F" w:rsidRDefault="00340709" w:rsidP="00340709">
      <w:pPr>
        <w:pStyle w:val="ep4"/>
        <w:numPr>
          <w:ilvl w:val="0"/>
          <w:numId w:val="0"/>
        </w:numPr>
        <w:ind w:left="284" w:hanging="284"/>
        <w:rPr>
          <w:lang w:val="en-GB"/>
        </w:rPr>
      </w:pPr>
    </w:p>
    <w:p w14:paraId="2BC63732" w14:textId="77777777" w:rsidR="00340709" w:rsidRPr="00D6340F" w:rsidRDefault="00340709" w:rsidP="00340709">
      <w:pPr>
        <w:rPr>
          <w:rFonts w:cs="Arial"/>
          <w:lang w:val="en-GB"/>
        </w:rPr>
      </w:pPr>
    </w:p>
    <w:p w14:paraId="6E403541" w14:textId="77777777" w:rsidR="00340709" w:rsidRPr="00D6340F" w:rsidRDefault="00340709" w:rsidP="00340709">
      <w:pPr>
        <w:pStyle w:val="Heading1"/>
        <w:rPr>
          <w:rFonts w:cs="Arial"/>
          <w:sz w:val="22"/>
          <w:szCs w:val="22"/>
          <w:lang w:val="en-GB"/>
        </w:rPr>
      </w:pPr>
      <w:bookmarkStart w:id="0" w:name="_Toc433976300"/>
      <w:bookmarkStart w:id="1" w:name="_Toc434078343"/>
      <w:r w:rsidRPr="00D6340F">
        <w:rPr>
          <w:rFonts w:cs="Arial"/>
          <w:sz w:val="22"/>
          <w:szCs w:val="22"/>
          <w:lang w:val="en-GB"/>
        </w:rPr>
        <w:t>8.3 ANDROGEN DEFICIENCY</w:t>
      </w:r>
    </w:p>
    <w:p w14:paraId="3047F261" w14:textId="77777777" w:rsidR="00340709" w:rsidRPr="00D6340F" w:rsidRDefault="00340709" w:rsidP="00C02921">
      <w:pPr>
        <w:pStyle w:val="Heading4"/>
      </w:pPr>
      <w:r w:rsidRPr="00D6340F">
        <w:t>e29.1</w:t>
      </w:r>
    </w:p>
    <w:p w14:paraId="532A3F24" w14:textId="77777777" w:rsidR="00340709" w:rsidRPr="00D6340F" w:rsidRDefault="00340709" w:rsidP="00340709">
      <w:pPr>
        <w:rPr>
          <w:rFonts w:cs="Arial"/>
          <w:lang w:val="en-GB"/>
        </w:rPr>
      </w:pPr>
    </w:p>
    <w:p w14:paraId="16C521FF" w14:textId="77777777" w:rsidR="00340709" w:rsidRPr="00D6340F" w:rsidRDefault="00340709" w:rsidP="00340709">
      <w:pPr>
        <w:pStyle w:val="Heading5"/>
        <w:rPr>
          <w:rFonts w:cs="Arial"/>
          <w:lang w:val="en-GB"/>
        </w:rPr>
      </w:pPr>
      <w:r w:rsidRPr="00D6340F">
        <w:rPr>
          <w:rFonts w:cs="Arial"/>
          <w:lang w:val="en-GB"/>
        </w:rPr>
        <w:t>DESCRIPTION</w:t>
      </w:r>
    </w:p>
    <w:p w14:paraId="23B5E5EA" w14:textId="77777777" w:rsidR="00340709" w:rsidRPr="00D6340F" w:rsidRDefault="00340709" w:rsidP="00340709">
      <w:pPr>
        <w:rPr>
          <w:rFonts w:cs="Arial"/>
          <w:lang w:val="en-GB"/>
        </w:rPr>
      </w:pPr>
      <w:r w:rsidRPr="00D6340F">
        <w:rPr>
          <w:rFonts w:cs="Arial"/>
          <w:lang w:val="en-GB"/>
        </w:rPr>
        <w:t>Reduced testosterone due to hypothalamic/pituitary hypofunction or primary testicular failure.</w:t>
      </w:r>
    </w:p>
    <w:p w14:paraId="14421747" w14:textId="77777777" w:rsidR="00340709" w:rsidRPr="00D6340F" w:rsidRDefault="00340709" w:rsidP="00340709">
      <w:pPr>
        <w:rPr>
          <w:rFonts w:cs="Arial"/>
          <w:lang w:val="en-GB"/>
        </w:rPr>
      </w:pPr>
    </w:p>
    <w:p w14:paraId="4683CD65" w14:textId="77777777" w:rsidR="00340709" w:rsidRPr="00D6340F" w:rsidRDefault="00340709" w:rsidP="00340709">
      <w:pPr>
        <w:pStyle w:val="Heading6"/>
        <w:rPr>
          <w:rFonts w:cs="Arial"/>
        </w:rPr>
      </w:pPr>
      <w:r w:rsidRPr="00D6340F">
        <w:rPr>
          <w:rFonts w:cs="Arial"/>
        </w:rPr>
        <w:t>Investigations</w:t>
      </w:r>
    </w:p>
    <w:p w14:paraId="496B63EC" w14:textId="77777777" w:rsidR="00340709" w:rsidRPr="00D6340F" w:rsidRDefault="00340709" w:rsidP="00D60CED">
      <w:pPr>
        <w:pStyle w:val="ep4"/>
        <w:numPr>
          <w:ilvl w:val="0"/>
          <w:numId w:val="9"/>
        </w:numPr>
        <w:ind w:left="284" w:hanging="284"/>
        <w:rPr>
          <w:lang w:val="en-GB"/>
        </w:rPr>
      </w:pPr>
      <w:r w:rsidRPr="00D6340F">
        <w:rPr>
          <w:lang w:val="en-GB"/>
        </w:rPr>
        <w:t xml:space="preserve">Morning (08h00–09h00) serum total testosterone. </w:t>
      </w:r>
    </w:p>
    <w:p w14:paraId="37E53278" w14:textId="54B6A247" w:rsidR="00340709" w:rsidRDefault="00340709" w:rsidP="00D60CED">
      <w:pPr>
        <w:pStyle w:val="ep4"/>
        <w:numPr>
          <w:ilvl w:val="0"/>
          <w:numId w:val="9"/>
        </w:numPr>
        <w:ind w:left="284" w:hanging="284"/>
        <w:rPr>
          <w:lang w:val="en-GB"/>
        </w:rPr>
      </w:pPr>
      <w:r w:rsidRPr="00D6340F">
        <w:rPr>
          <w:lang w:val="en-GB"/>
        </w:rPr>
        <w:t>LH and FSH</w:t>
      </w:r>
    </w:p>
    <w:p w14:paraId="7D7C4EB6" w14:textId="02C221AC" w:rsidR="00653F1D" w:rsidRDefault="00653F1D" w:rsidP="00653F1D">
      <w:pPr>
        <w:pStyle w:val="ep4"/>
        <w:numPr>
          <w:ilvl w:val="0"/>
          <w:numId w:val="0"/>
        </w:numPr>
        <w:ind w:left="284" w:hanging="284"/>
        <w:rPr>
          <w:lang w:val="en-GB"/>
        </w:rPr>
      </w:pPr>
    </w:p>
    <w:p w14:paraId="6C927AC7" w14:textId="5B44112B" w:rsidR="00653F1D" w:rsidRDefault="00653F1D" w:rsidP="00653F1D">
      <w:pPr>
        <w:pStyle w:val="ep4"/>
        <w:numPr>
          <w:ilvl w:val="0"/>
          <w:numId w:val="0"/>
        </w:numPr>
        <w:ind w:left="284" w:hanging="284"/>
        <w:rPr>
          <w:lang w:val="en-GB"/>
        </w:rPr>
      </w:pPr>
    </w:p>
    <w:p w14:paraId="5D537A08" w14:textId="2A05113A" w:rsidR="00653F1D" w:rsidRDefault="00653F1D" w:rsidP="00653F1D">
      <w:pPr>
        <w:pStyle w:val="ep4"/>
        <w:numPr>
          <w:ilvl w:val="0"/>
          <w:numId w:val="0"/>
        </w:numPr>
        <w:ind w:left="284" w:hanging="284"/>
        <w:rPr>
          <w:lang w:val="en-GB"/>
        </w:rPr>
      </w:pPr>
    </w:p>
    <w:p w14:paraId="1F72A481" w14:textId="77777777" w:rsidR="00653F1D" w:rsidRPr="00D6340F" w:rsidRDefault="00653F1D" w:rsidP="00653F1D">
      <w:pPr>
        <w:pStyle w:val="ep4"/>
        <w:numPr>
          <w:ilvl w:val="0"/>
          <w:numId w:val="0"/>
        </w:numPr>
        <w:ind w:left="284" w:hanging="284"/>
        <w:rPr>
          <w:lang w:val="en-GB"/>
        </w:rPr>
      </w:pPr>
    </w:p>
    <w:tbl>
      <w:tblPr>
        <w:tblpPr w:leftFromText="180" w:rightFromText="180" w:vertAnchor="text" w:horzAnchor="margin" w:tblpX="108" w:tblpY="3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2051"/>
        <w:gridCol w:w="1783"/>
      </w:tblGrid>
      <w:tr w:rsidR="00340709" w:rsidRPr="004F53C2" w14:paraId="34BB18D8" w14:textId="77777777" w:rsidTr="004F53C2">
        <w:tc>
          <w:tcPr>
            <w:tcW w:w="1867" w:type="pct"/>
            <w:tcBorders>
              <w:top w:val="nil"/>
              <w:left w:val="nil"/>
              <w:bottom w:val="single" w:sz="4" w:space="0" w:color="auto"/>
              <w:right w:val="single" w:sz="4" w:space="0" w:color="auto"/>
            </w:tcBorders>
          </w:tcPr>
          <w:p w14:paraId="6ECE0859" w14:textId="77777777" w:rsidR="00340709" w:rsidRPr="004F53C2" w:rsidRDefault="00340709" w:rsidP="00340709">
            <w:pPr>
              <w:pStyle w:val="Styleep0NotStrikethrough"/>
              <w:rPr>
                <w:rFonts w:cs="Arial"/>
                <w:sz w:val="16"/>
                <w:lang w:val="en-GB"/>
              </w:rPr>
            </w:pPr>
          </w:p>
        </w:tc>
        <w:tc>
          <w:tcPr>
            <w:tcW w:w="1676" w:type="pct"/>
            <w:tcBorders>
              <w:left w:val="single" w:sz="4" w:space="0" w:color="auto"/>
            </w:tcBorders>
            <w:shd w:val="clear" w:color="auto" w:fill="EEECE1" w:themeFill="background2"/>
          </w:tcPr>
          <w:p w14:paraId="7123279B" w14:textId="77777777" w:rsidR="00340709" w:rsidRPr="004F53C2" w:rsidRDefault="00340709" w:rsidP="00340709">
            <w:pPr>
              <w:pStyle w:val="Styleep0NotStrikethrough"/>
              <w:jc w:val="center"/>
              <w:rPr>
                <w:rFonts w:cs="Arial"/>
                <w:b/>
                <w:sz w:val="16"/>
                <w:lang w:val="en-GB"/>
              </w:rPr>
            </w:pPr>
            <w:r w:rsidRPr="004F53C2">
              <w:rPr>
                <w:rFonts w:cs="Arial"/>
                <w:b/>
                <w:sz w:val="16"/>
                <w:lang w:val="en-GB"/>
              </w:rPr>
              <w:t>Serum testosterone</w:t>
            </w:r>
          </w:p>
        </w:tc>
        <w:tc>
          <w:tcPr>
            <w:tcW w:w="1457" w:type="pct"/>
            <w:shd w:val="clear" w:color="auto" w:fill="EEECE1" w:themeFill="background2"/>
          </w:tcPr>
          <w:p w14:paraId="6CB34716" w14:textId="77777777" w:rsidR="00340709" w:rsidRPr="004F53C2" w:rsidRDefault="00340709" w:rsidP="00340709">
            <w:pPr>
              <w:pStyle w:val="Styleep0NotStrikethrough"/>
              <w:jc w:val="center"/>
              <w:rPr>
                <w:rFonts w:cs="Arial"/>
                <w:b/>
                <w:sz w:val="16"/>
                <w:lang w:val="en-GB"/>
              </w:rPr>
            </w:pPr>
            <w:r w:rsidRPr="004F53C2">
              <w:rPr>
                <w:rFonts w:cs="Arial"/>
                <w:b/>
                <w:sz w:val="16"/>
                <w:lang w:val="en-GB"/>
              </w:rPr>
              <w:t>LH and FSH</w:t>
            </w:r>
          </w:p>
        </w:tc>
      </w:tr>
      <w:tr w:rsidR="00340709" w:rsidRPr="004F53C2" w14:paraId="37C62ED7" w14:textId="77777777" w:rsidTr="00AB44A9">
        <w:tc>
          <w:tcPr>
            <w:tcW w:w="1867" w:type="pct"/>
            <w:tcBorders>
              <w:top w:val="single" w:sz="4" w:space="0" w:color="auto"/>
            </w:tcBorders>
          </w:tcPr>
          <w:p w14:paraId="08B4E812" w14:textId="77777777" w:rsidR="00340709" w:rsidRPr="004F53C2" w:rsidRDefault="00340709" w:rsidP="00340709">
            <w:pPr>
              <w:pStyle w:val="Styleep0NotStrikethrough"/>
              <w:rPr>
                <w:rFonts w:cs="Arial"/>
                <w:sz w:val="16"/>
                <w:lang w:val="en-GB"/>
              </w:rPr>
            </w:pPr>
            <w:r w:rsidRPr="004F53C2">
              <w:rPr>
                <w:rFonts w:cs="Arial"/>
                <w:sz w:val="16"/>
                <w:lang w:val="en-GB"/>
              </w:rPr>
              <w:t>Primary testicular failure</w:t>
            </w:r>
          </w:p>
        </w:tc>
        <w:tc>
          <w:tcPr>
            <w:tcW w:w="1676" w:type="pct"/>
          </w:tcPr>
          <w:p w14:paraId="1F37A699" w14:textId="77777777" w:rsidR="00340709" w:rsidRPr="004F53C2" w:rsidRDefault="0028726C" w:rsidP="00340709">
            <w:pPr>
              <w:pStyle w:val="Styleep0NotStrikethrough"/>
              <w:rPr>
                <w:rFonts w:cs="Arial"/>
                <w:sz w:val="16"/>
                <w:lang w:val="en-GB"/>
              </w:rPr>
            </w:pPr>
            <w:r w:rsidRPr="004F53C2">
              <w:rPr>
                <w:rFonts w:cs="Arial"/>
                <w:sz w:val="16"/>
                <w:lang w:val="en-GB"/>
              </w:rPr>
              <w:t xml:space="preserve">Below </w:t>
            </w:r>
            <w:r w:rsidR="00340709" w:rsidRPr="004F53C2">
              <w:rPr>
                <w:rFonts w:cs="Arial"/>
                <w:sz w:val="16"/>
                <w:lang w:val="en-GB"/>
              </w:rPr>
              <w:t>normal</w:t>
            </w:r>
          </w:p>
        </w:tc>
        <w:tc>
          <w:tcPr>
            <w:tcW w:w="1457" w:type="pct"/>
          </w:tcPr>
          <w:p w14:paraId="34FF0DEE" w14:textId="77777777" w:rsidR="00340709" w:rsidRPr="004F53C2" w:rsidRDefault="0028726C" w:rsidP="00340709">
            <w:pPr>
              <w:pStyle w:val="Styleep0NotStrikethrough"/>
              <w:rPr>
                <w:rFonts w:cs="Arial"/>
                <w:sz w:val="16"/>
                <w:lang w:val="en-GB"/>
              </w:rPr>
            </w:pPr>
            <w:r w:rsidRPr="004F53C2">
              <w:rPr>
                <w:rFonts w:cs="Arial"/>
                <w:sz w:val="16"/>
                <w:lang w:val="en-GB"/>
              </w:rPr>
              <w:t xml:space="preserve">Above </w:t>
            </w:r>
            <w:r w:rsidR="00340709" w:rsidRPr="004F53C2">
              <w:rPr>
                <w:rFonts w:cs="Arial"/>
                <w:sz w:val="16"/>
                <w:lang w:val="en-GB"/>
              </w:rPr>
              <w:t>normal</w:t>
            </w:r>
          </w:p>
        </w:tc>
      </w:tr>
      <w:tr w:rsidR="00340709" w:rsidRPr="004F53C2" w14:paraId="1A5F76C6" w14:textId="77777777" w:rsidTr="00340709">
        <w:tc>
          <w:tcPr>
            <w:tcW w:w="1867" w:type="pct"/>
          </w:tcPr>
          <w:p w14:paraId="48FFBD9B" w14:textId="77777777" w:rsidR="00340709" w:rsidRPr="004F53C2" w:rsidRDefault="00340709" w:rsidP="00340709">
            <w:pPr>
              <w:pStyle w:val="Styleep0NotStrikethrough"/>
              <w:rPr>
                <w:rFonts w:cs="Arial"/>
                <w:sz w:val="16"/>
                <w:lang w:val="en-GB"/>
              </w:rPr>
            </w:pPr>
            <w:r w:rsidRPr="004F53C2">
              <w:rPr>
                <w:rFonts w:cs="Arial"/>
                <w:sz w:val="16"/>
                <w:lang w:val="en-GB"/>
              </w:rPr>
              <w:t>Secondary (hypothalamic/pituitary) hypogonadism</w:t>
            </w:r>
          </w:p>
        </w:tc>
        <w:tc>
          <w:tcPr>
            <w:tcW w:w="1676" w:type="pct"/>
          </w:tcPr>
          <w:p w14:paraId="1619B270" w14:textId="77777777" w:rsidR="00340709" w:rsidRPr="004F53C2" w:rsidRDefault="00CC3F7B" w:rsidP="00340709">
            <w:pPr>
              <w:pStyle w:val="Styleep0NotStrikethrough"/>
              <w:rPr>
                <w:rFonts w:cs="Arial"/>
                <w:sz w:val="16"/>
                <w:lang w:val="en-GB"/>
              </w:rPr>
            </w:pPr>
            <w:r w:rsidRPr="004F53C2">
              <w:rPr>
                <w:rFonts w:cs="Arial"/>
                <w:sz w:val="16"/>
                <w:lang w:val="en-GB"/>
              </w:rPr>
              <w:t>Below normal</w:t>
            </w:r>
          </w:p>
          <w:p w14:paraId="72DF1EF8" w14:textId="77777777" w:rsidR="0028726C" w:rsidRPr="004F53C2" w:rsidRDefault="0028726C" w:rsidP="00340709">
            <w:pPr>
              <w:pStyle w:val="Styleep0NotStrikethrough"/>
              <w:rPr>
                <w:rFonts w:cs="Arial"/>
                <w:sz w:val="16"/>
                <w:lang w:val="en-GB"/>
              </w:rPr>
            </w:pPr>
          </w:p>
        </w:tc>
        <w:tc>
          <w:tcPr>
            <w:tcW w:w="1457" w:type="pct"/>
          </w:tcPr>
          <w:p w14:paraId="74B3F758" w14:textId="77777777" w:rsidR="00340709" w:rsidRPr="004F53C2" w:rsidRDefault="00CC3F7B" w:rsidP="00340709">
            <w:pPr>
              <w:pStyle w:val="Styleep0NotStrikethrough"/>
              <w:rPr>
                <w:rFonts w:cs="Arial"/>
                <w:sz w:val="16"/>
                <w:lang w:val="en-GB"/>
              </w:rPr>
            </w:pPr>
            <w:r w:rsidRPr="004F53C2">
              <w:rPr>
                <w:rFonts w:cs="Arial"/>
                <w:sz w:val="16"/>
                <w:lang w:val="en-GB"/>
              </w:rPr>
              <w:t>Normal or below normal</w:t>
            </w:r>
          </w:p>
          <w:p w14:paraId="3724D07F" w14:textId="77777777" w:rsidR="0028726C" w:rsidRPr="004F53C2" w:rsidRDefault="0028726C" w:rsidP="00340709">
            <w:pPr>
              <w:pStyle w:val="Styleep0NotStrikethrough"/>
              <w:rPr>
                <w:rFonts w:cs="Arial"/>
                <w:sz w:val="16"/>
                <w:lang w:val="en-GB"/>
              </w:rPr>
            </w:pPr>
          </w:p>
        </w:tc>
      </w:tr>
    </w:tbl>
    <w:p w14:paraId="5B5C4D37" w14:textId="77777777" w:rsidR="00340709" w:rsidRPr="004F53C2" w:rsidRDefault="00340709" w:rsidP="00D60CED">
      <w:pPr>
        <w:pStyle w:val="StyleStyleep0NotStrikethroughBold"/>
        <w:rPr>
          <w:b w:val="0"/>
          <w:spacing w:val="-2"/>
          <w:lang w:val="en-GB"/>
        </w:rPr>
      </w:pPr>
      <w:r w:rsidRPr="004F53C2">
        <w:rPr>
          <w:rFonts w:cs="Arial"/>
          <w:spacing w:val="-2"/>
          <w:lang w:val="en-GB"/>
        </w:rPr>
        <w:t>Note:</w:t>
      </w:r>
      <w:r w:rsidR="00D6340F" w:rsidRPr="004F53C2">
        <w:rPr>
          <w:rFonts w:cs="Arial"/>
          <w:spacing w:val="-2"/>
          <w:lang w:val="en-GB"/>
        </w:rPr>
        <w:t xml:space="preserve"> </w:t>
      </w:r>
      <w:r w:rsidRPr="004F53C2">
        <w:rPr>
          <w:b w:val="0"/>
          <w:spacing w:val="-2"/>
          <w:lang w:val="en-GB"/>
        </w:rPr>
        <w:t>If the serum total testosterone concentration is borderline low repeat the test before replacement therapy is initiated.</w:t>
      </w:r>
      <w:r w:rsidR="00557B44" w:rsidRPr="004F53C2">
        <w:rPr>
          <w:b w:val="0"/>
          <w:spacing w:val="-2"/>
          <w:lang w:val="en-GB"/>
        </w:rPr>
        <w:t xml:space="preserve"> Don’t test during serious illness.</w:t>
      </w:r>
    </w:p>
    <w:p w14:paraId="7F0B1529" w14:textId="77777777" w:rsidR="00340709" w:rsidRPr="00D6340F" w:rsidRDefault="00557B44" w:rsidP="00D60CED">
      <w:pPr>
        <w:pStyle w:val="ep4"/>
        <w:numPr>
          <w:ilvl w:val="0"/>
          <w:numId w:val="9"/>
        </w:numPr>
        <w:ind w:left="284" w:hanging="284"/>
        <w:rPr>
          <w:lang w:val="en-GB"/>
        </w:rPr>
      </w:pPr>
      <w:r w:rsidRPr="00062BBE">
        <w:rPr>
          <w:color w:val="auto"/>
          <w:lang w:val="en-GB"/>
        </w:rPr>
        <w:t xml:space="preserve">Measure serum </w:t>
      </w:r>
      <w:r w:rsidR="00B743C3">
        <w:rPr>
          <w:color w:val="auto"/>
          <w:lang w:val="en-GB"/>
        </w:rPr>
        <w:t>p</w:t>
      </w:r>
      <w:r w:rsidR="00340709" w:rsidRPr="00062BBE">
        <w:rPr>
          <w:color w:val="auto"/>
          <w:lang w:val="en-GB"/>
        </w:rPr>
        <w:t>rolactin</w:t>
      </w:r>
    </w:p>
    <w:p w14:paraId="6737D275" w14:textId="77777777" w:rsidR="00340709" w:rsidRPr="00D6340F" w:rsidRDefault="00340709" w:rsidP="00D60CED">
      <w:pPr>
        <w:pStyle w:val="ep4"/>
        <w:numPr>
          <w:ilvl w:val="0"/>
          <w:numId w:val="9"/>
        </w:numPr>
        <w:ind w:left="284" w:hanging="284"/>
        <w:rPr>
          <w:lang w:val="en-GB"/>
        </w:rPr>
      </w:pPr>
      <w:r w:rsidRPr="00D6340F">
        <w:rPr>
          <w:lang w:val="en-GB"/>
        </w:rPr>
        <w:t>Sperm count, if infertility is a consideration.</w:t>
      </w:r>
    </w:p>
    <w:p w14:paraId="6391C96A" w14:textId="77777777" w:rsidR="00340709" w:rsidRPr="00D6340F" w:rsidRDefault="00340709" w:rsidP="00D60CED">
      <w:pPr>
        <w:pStyle w:val="ep4"/>
        <w:numPr>
          <w:ilvl w:val="0"/>
          <w:numId w:val="9"/>
        </w:numPr>
        <w:ind w:left="284" w:hanging="284"/>
        <w:rPr>
          <w:lang w:val="en-GB"/>
        </w:rPr>
      </w:pPr>
      <w:r w:rsidRPr="00D6340F">
        <w:rPr>
          <w:lang w:val="en-GB"/>
        </w:rPr>
        <w:t>Further investigations to determine cause to be undertaken after referral</w:t>
      </w:r>
      <w:r w:rsidR="00D60CED" w:rsidRPr="00D6340F">
        <w:rPr>
          <w:lang w:val="en-GB"/>
        </w:rPr>
        <w:t xml:space="preserve">; consult </w:t>
      </w:r>
      <w:r w:rsidRPr="00D6340F">
        <w:rPr>
          <w:lang w:val="en-GB"/>
        </w:rPr>
        <w:t>a specialist.</w:t>
      </w:r>
    </w:p>
    <w:p w14:paraId="6AE8CB76" w14:textId="77777777" w:rsidR="00B702D2" w:rsidRPr="00B702D2" w:rsidRDefault="00B702D2" w:rsidP="00340709">
      <w:pPr>
        <w:pStyle w:val="Heading5"/>
        <w:rPr>
          <w:rFonts w:cs="Arial"/>
          <w:b w:val="0"/>
          <w:sz w:val="18"/>
          <w:lang w:val="en-GB"/>
        </w:rPr>
      </w:pPr>
    </w:p>
    <w:p w14:paraId="7FD2538B" w14:textId="77777777" w:rsidR="00340709" w:rsidRPr="00D6340F" w:rsidRDefault="00340709" w:rsidP="00340709">
      <w:pPr>
        <w:pStyle w:val="Heading5"/>
        <w:rPr>
          <w:rFonts w:cs="Arial"/>
          <w:lang w:val="en-GB"/>
        </w:rPr>
      </w:pPr>
      <w:r w:rsidRPr="00D6340F">
        <w:rPr>
          <w:rFonts w:cs="Arial"/>
          <w:lang w:val="en-GB"/>
        </w:rPr>
        <w:t>MEDICINE TREATMENT</w:t>
      </w:r>
    </w:p>
    <w:p w14:paraId="42DBE811" w14:textId="77777777" w:rsidR="00340709" w:rsidRPr="00D6340F" w:rsidRDefault="00EF7740" w:rsidP="00340709">
      <w:pPr>
        <w:rPr>
          <w:rFonts w:cs="Arial"/>
          <w:b/>
          <w:color w:val="FF0000"/>
          <w:u w:val="single"/>
          <w:lang w:val="en-GB"/>
        </w:rPr>
      </w:pPr>
      <w:r w:rsidRPr="00D6340F">
        <w:rPr>
          <w:rFonts w:cs="Arial"/>
          <w:b/>
          <w:lang w:val="en-GB"/>
        </w:rPr>
        <w:t>Screen hypogonadal men for prostate cancer before beginning testosterone replacement.</w:t>
      </w:r>
      <w:r w:rsidR="00D6340F">
        <w:rPr>
          <w:rFonts w:cs="Arial"/>
          <w:b/>
          <w:lang w:val="en-GB"/>
        </w:rPr>
        <w:t xml:space="preserve"> </w:t>
      </w:r>
      <w:r w:rsidR="00340709" w:rsidRPr="00D6340F">
        <w:rPr>
          <w:rFonts w:cs="Arial"/>
          <w:color w:val="auto"/>
          <w:lang w:val="en-GB"/>
        </w:rPr>
        <w:t xml:space="preserve">Testosterone therapy can induce </w:t>
      </w:r>
      <w:r w:rsidR="001534AC" w:rsidRPr="00D6340F">
        <w:rPr>
          <w:rFonts w:cs="Arial"/>
          <w:color w:val="auto"/>
          <w:lang w:val="en-GB"/>
        </w:rPr>
        <w:t xml:space="preserve">prostatic hypertrophy, </w:t>
      </w:r>
      <w:r w:rsidR="00340709" w:rsidRPr="00D6340F">
        <w:rPr>
          <w:rFonts w:cs="Arial"/>
          <w:color w:val="auto"/>
          <w:lang w:val="en-GB"/>
        </w:rPr>
        <w:t>polycythaemia, liver dysfunction</w:t>
      </w:r>
      <w:r w:rsidR="001534AC" w:rsidRPr="00D6340F">
        <w:rPr>
          <w:rFonts w:cs="Arial"/>
          <w:color w:val="auto"/>
          <w:lang w:val="en-GB"/>
        </w:rPr>
        <w:t>, sleep apnoea</w:t>
      </w:r>
      <w:r w:rsidR="00340709" w:rsidRPr="00D6340F">
        <w:rPr>
          <w:rFonts w:cs="Arial"/>
          <w:color w:val="auto"/>
          <w:lang w:val="en-GB"/>
        </w:rPr>
        <w:t xml:space="preserve"> and hyperlipidaemia. Baseline investigations for these are required prior to initiation of therapy and long-term surveillance is required.</w:t>
      </w:r>
    </w:p>
    <w:p w14:paraId="0962B5A9" w14:textId="77777777" w:rsidR="00340709" w:rsidRPr="00D6340F" w:rsidRDefault="00340709" w:rsidP="00340709">
      <w:pPr>
        <w:rPr>
          <w:rFonts w:cs="Arial"/>
          <w:lang w:val="en-GB"/>
        </w:rPr>
      </w:pPr>
      <w:r w:rsidRPr="00D6340F">
        <w:rPr>
          <w:rFonts w:cs="Arial"/>
          <w:lang w:val="en-GB"/>
        </w:rPr>
        <w:t>Individualise dosage and review doses based on clinical response.</w:t>
      </w:r>
    </w:p>
    <w:p w14:paraId="2ADFD3EF" w14:textId="77777777" w:rsidR="00340709" w:rsidRPr="00D6340F" w:rsidRDefault="00340709" w:rsidP="00340709">
      <w:pPr>
        <w:rPr>
          <w:rFonts w:cs="Arial"/>
          <w:sz w:val="10"/>
          <w:szCs w:val="10"/>
          <w:lang w:val="en-GB"/>
        </w:rPr>
      </w:pPr>
    </w:p>
    <w:p w14:paraId="67D252DC" w14:textId="77777777" w:rsidR="00EF19DA" w:rsidRPr="00D6340F" w:rsidRDefault="00340709" w:rsidP="00AB44A9">
      <w:pPr>
        <w:pStyle w:val="ep4"/>
        <w:tabs>
          <w:tab w:val="clear" w:pos="360"/>
          <w:tab w:val="num" w:pos="284"/>
        </w:tabs>
        <w:rPr>
          <w:lang w:val="en-GB"/>
        </w:rPr>
      </w:pPr>
      <w:r w:rsidRPr="00D6340F">
        <w:rPr>
          <w:lang w:val="en-GB"/>
        </w:rPr>
        <w:t>Testosterone cypionate, deep IM,</w:t>
      </w:r>
      <w:r w:rsidR="00D6340F">
        <w:rPr>
          <w:lang w:val="en-GB"/>
        </w:rPr>
        <w:t xml:space="preserve"> </w:t>
      </w:r>
      <w:r w:rsidRPr="00D6340F">
        <w:rPr>
          <w:lang w:val="en-GB"/>
        </w:rPr>
        <w:t>200–300 mg every 2–4 weeks.</w:t>
      </w:r>
    </w:p>
    <w:p w14:paraId="0AC1B65D" w14:textId="77777777" w:rsidR="00340709" w:rsidRPr="00D6340F" w:rsidRDefault="00340709" w:rsidP="00EF19DA">
      <w:pPr>
        <w:pStyle w:val="ep4"/>
        <w:numPr>
          <w:ilvl w:val="0"/>
          <w:numId w:val="0"/>
        </w:numPr>
        <w:ind w:left="284"/>
        <w:rPr>
          <w:sz w:val="2"/>
          <w:szCs w:val="18"/>
          <w:lang w:val="en-GB"/>
        </w:rPr>
      </w:pPr>
    </w:p>
    <w:p w14:paraId="447DCB9A" w14:textId="77777777" w:rsidR="00340709" w:rsidRPr="00D6340F" w:rsidRDefault="00340709" w:rsidP="00172D98">
      <w:pPr>
        <w:pStyle w:val="Medicinebullet1"/>
        <w:numPr>
          <w:ilvl w:val="1"/>
          <w:numId w:val="3"/>
        </w:numPr>
        <w:tabs>
          <w:tab w:val="clear" w:pos="1440"/>
        </w:tabs>
        <w:ind w:left="567" w:hanging="283"/>
        <w:rPr>
          <w:rFonts w:cs="Arial"/>
          <w:lang w:val="en-GB"/>
        </w:rPr>
      </w:pPr>
      <w:r w:rsidRPr="00D6340F">
        <w:rPr>
          <w:rFonts w:cs="Arial"/>
          <w:lang w:val="en-GB"/>
        </w:rPr>
        <w:t>Monitor patients for prostate cancer during treatment.</w:t>
      </w:r>
    </w:p>
    <w:p w14:paraId="28F8A72B" w14:textId="77777777" w:rsidR="00172D98" w:rsidRDefault="00CE68A9" w:rsidP="00172D98">
      <w:pPr>
        <w:pStyle w:val="Medicinebullet1"/>
        <w:numPr>
          <w:ilvl w:val="1"/>
          <w:numId w:val="3"/>
        </w:numPr>
        <w:tabs>
          <w:tab w:val="clear" w:pos="1440"/>
        </w:tabs>
        <w:ind w:left="567" w:hanging="283"/>
        <w:rPr>
          <w:rFonts w:cs="Arial"/>
          <w:lang w:val="en-GB"/>
        </w:rPr>
      </w:pPr>
      <w:r w:rsidRPr="00D6340F">
        <w:rPr>
          <w:rFonts w:cs="Arial"/>
          <w:lang w:val="en-GB"/>
        </w:rPr>
        <w:t>Monitor haematocrit. If haematocrit</w:t>
      </w:r>
      <w:r w:rsidR="005D2947">
        <w:rPr>
          <w:rFonts w:cs="Arial"/>
          <w:lang w:val="en-GB"/>
        </w:rPr>
        <w:t xml:space="preserve"> </w:t>
      </w:r>
      <w:r w:rsidR="00907C73">
        <w:rPr>
          <w:rFonts w:cs="Arial"/>
          <w:lang w:val="en-GB"/>
        </w:rPr>
        <w:t>≥</w:t>
      </w:r>
      <w:r w:rsidR="005D2947">
        <w:rPr>
          <w:rFonts w:cs="Arial"/>
          <w:lang w:val="en-GB"/>
        </w:rPr>
        <w:t xml:space="preserve"> </w:t>
      </w:r>
      <w:r w:rsidRPr="00D6340F">
        <w:rPr>
          <w:rFonts w:cs="Arial"/>
          <w:lang w:val="en-GB"/>
        </w:rPr>
        <w:t>54%, stop testosterone therapy.</w:t>
      </w:r>
    </w:p>
    <w:p w14:paraId="6631D664" w14:textId="77777777" w:rsidR="005D2947" w:rsidRPr="005D2947" w:rsidRDefault="005D2947" w:rsidP="005D2947">
      <w:pPr>
        <w:pStyle w:val="Medicinebullet1"/>
        <w:ind w:left="567"/>
        <w:rPr>
          <w:rFonts w:cs="Arial"/>
          <w:sz w:val="2"/>
          <w:szCs w:val="2"/>
          <w:lang w:val="en-GB"/>
        </w:rPr>
      </w:pP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172D98" w:rsidRPr="00203651" w14:paraId="48552451" w14:textId="77777777" w:rsidTr="00172D98">
        <w:tc>
          <w:tcPr>
            <w:tcW w:w="1134" w:type="dxa"/>
            <w:shd w:val="clear" w:color="auto" w:fill="auto"/>
          </w:tcPr>
          <w:p w14:paraId="20FA95E5" w14:textId="77777777" w:rsidR="00172D98" w:rsidRPr="00203651" w:rsidRDefault="00172D98" w:rsidP="00172D98">
            <w:pPr>
              <w:jc w:val="right"/>
              <w:rPr>
                <w:b/>
                <w:i/>
                <w:sz w:val="16"/>
                <w:lang w:val="en-GB"/>
              </w:rPr>
            </w:pPr>
            <w:proofErr w:type="spellStart"/>
            <w:proofErr w:type="gramStart"/>
            <w:r w:rsidRPr="00203651">
              <w:rPr>
                <w:i/>
                <w:sz w:val="16"/>
                <w:lang w:val="en-GB"/>
              </w:rPr>
              <w:t>LoE:I</w:t>
            </w:r>
            <w:proofErr w:type="spellEnd"/>
            <w:proofErr w:type="gramEnd"/>
            <w:r w:rsidRPr="00203651">
              <w:rPr>
                <w:rStyle w:val="EndnoteReference"/>
                <w:i/>
                <w:sz w:val="16"/>
                <w:lang w:val="en-GB"/>
              </w:rPr>
              <w:endnoteReference w:id="8"/>
            </w:r>
          </w:p>
        </w:tc>
      </w:tr>
    </w:tbl>
    <w:p w14:paraId="055F2520" w14:textId="77777777" w:rsidR="00CE68A9" w:rsidRPr="00D6340F" w:rsidRDefault="00CE68A9" w:rsidP="00172D98">
      <w:pPr>
        <w:pStyle w:val="Medicinebullet1"/>
        <w:ind w:left="709"/>
        <w:rPr>
          <w:rFonts w:cs="Arial"/>
          <w:lang w:val="en-GB"/>
        </w:rPr>
      </w:pPr>
    </w:p>
    <w:p w14:paraId="2E1FED1B" w14:textId="77777777" w:rsidR="00340709" w:rsidRPr="00D6340F" w:rsidRDefault="00340709" w:rsidP="00340709">
      <w:pPr>
        <w:rPr>
          <w:rFonts w:cs="Arial"/>
          <w:lang w:val="en-GB"/>
        </w:rPr>
      </w:pPr>
    </w:p>
    <w:p w14:paraId="19D7EC4B" w14:textId="77777777" w:rsidR="00340709" w:rsidRPr="00D6340F" w:rsidRDefault="00340709" w:rsidP="00340709">
      <w:pPr>
        <w:pStyle w:val="Heading1"/>
        <w:rPr>
          <w:rFonts w:cs="Arial"/>
          <w:lang w:val="en-GB"/>
        </w:rPr>
      </w:pPr>
      <w:r w:rsidRPr="00D6340F">
        <w:rPr>
          <w:rFonts w:cs="Arial"/>
          <w:lang w:val="en-GB"/>
        </w:rPr>
        <w:t>8.4 CUSHING SYNDROME</w:t>
      </w:r>
    </w:p>
    <w:p w14:paraId="0B90B7AA" w14:textId="77777777" w:rsidR="00340709" w:rsidRPr="00D6340F" w:rsidRDefault="00340709" w:rsidP="00C02921">
      <w:pPr>
        <w:pStyle w:val="Heading4"/>
      </w:pPr>
      <w:r w:rsidRPr="00D6340F">
        <w:t>e24.</w:t>
      </w:r>
      <w:r w:rsidR="00850446">
        <w:t>0-4/E24.8-9</w:t>
      </w:r>
    </w:p>
    <w:p w14:paraId="49E2B3FF" w14:textId="77777777" w:rsidR="00340709" w:rsidRPr="00D6340F" w:rsidRDefault="00340709" w:rsidP="00340709">
      <w:pPr>
        <w:rPr>
          <w:rFonts w:cs="Arial"/>
          <w:lang w:val="en-GB"/>
        </w:rPr>
      </w:pPr>
    </w:p>
    <w:p w14:paraId="1920232B" w14:textId="77777777" w:rsidR="00340709" w:rsidRPr="00D6340F" w:rsidRDefault="00340709" w:rsidP="00340709">
      <w:pPr>
        <w:pStyle w:val="Heading5"/>
        <w:rPr>
          <w:rFonts w:cs="Arial"/>
          <w:lang w:val="en-GB"/>
        </w:rPr>
      </w:pPr>
      <w:r w:rsidRPr="00D6340F">
        <w:rPr>
          <w:rFonts w:cs="Arial"/>
          <w:lang w:val="en-GB"/>
        </w:rPr>
        <w:t>DESCRIPTION</w:t>
      </w:r>
    </w:p>
    <w:p w14:paraId="00F1E0D2" w14:textId="77777777" w:rsidR="00340709" w:rsidRPr="00D6340F" w:rsidRDefault="00340709" w:rsidP="00340709">
      <w:pPr>
        <w:rPr>
          <w:rFonts w:cs="Arial"/>
          <w:spacing w:val="-2"/>
          <w:lang w:val="en-GB"/>
        </w:rPr>
      </w:pPr>
      <w:r w:rsidRPr="00D6340F">
        <w:rPr>
          <w:rFonts w:cs="Arial"/>
          <w:spacing w:val="-2"/>
          <w:lang w:val="en-GB"/>
        </w:rPr>
        <w:t>Cushing syndrome is an illness resulting from excess cortisol secretion or exogenous glucocorticoid administration. Cushing disease is hypercortisolism secondary to an ACTH-secreting pituitary tumour.</w:t>
      </w:r>
    </w:p>
    <w:p w14:paraId="5A4A949B" w14:textId="77777777" w:rsidR="004E1B09" w:rsidRDefault="004E1B09" w:rsidP="00340709">
      <w:pPr>
        <w:pStyle w:val="Heading6"/>
        <w:rPr>
          <w:rFonts w:cs="Arial"/>
          <w:strike/>
        </w:rPr>
      </w:pPr>
    </w:p>
    <w:p w14:paraId="7A33E09D" w14:textId="77777777" w:rsidR="00340709" w:rsidRPr="00062BBE" w:rsidRDefault="00340709" w:rsidP="00340709">
      <w:pPr>
        <w:pStyle w:val="Heading6"/>
        <w:rPr>
          <w:rFonts w:cs="Arial"/>
        </w:rPr>
      </w:pPr>
      <w:r w:rsidRPr="00062BBE">
        <w:rPr>
          <w:rFonts w:cs="Arial"/>
        </w:rPr>
        <w:t>Investigations</w:t>
      </w:r>
    </w:p>
    <w:p w14:paraId="333CD854" w14:textId="77777777" w:rsidR="00211117" w:rsidRPr="00290CB0" w:rsidRDefault="004E1B09" w:rsidP="00211117">
      <w:pPr>
        <w:rPr>
          <w:rFonts w:cs="Arial"/>
          <w:color w:val="4F6228" w:themeColor="accent3" w:themeShade="80"/>
          <w:lang w:val="en-GB"/>
        </w:rPr>
      </w:pPr>
      <w:r w:rsidRPr="00062BBE">
        <w:rPr>
          <w:rFonts w:cs="Arial"/>
          <w:color w:val="auto"/>
          <w:lang w:val="en-GB"/>
        </w:rPr>
        <w:t>L</w:t>
      </w:r>
      <w:r w:rsidR="00211117" w:rsidRPr="00062BBE">
        <w:rPr>
          <w:rFonts w:cs="Arial"/>
          <w:color w:val="auto"/>
          <w:lang w:val="en-GB"/>
        </w:rPr>
        <w:t xml:space="preserve">ow dose overnight dexamethasone </w:t>
      </w:r>
      <w:r w:rsidR="00B743C3" w:rsidRPr="00062BBE">
        <w:rPr>
          <w:rFonts w:cs="Arial"/>
          <w:color w:val="auto"/>
          <w:lang w:val="en-GB"/>
        </w:rPr>
        <w:t xml:space="preserve">suppression test </w:t>
      </w:r>
      <w:r w:rsidRPr="00062BBE">
        <w:rPr>
          <w:rFonts w:cs="Arial"/>
          <w:color w:val="auto"/>
          <w:lang w:val="en-GB"/>
        </w:rPr>
        <w:t>(or when unavailable, betamethasone 1 mg equivalent to dexamethasone 1 mg).</w:t>
      </w:r>
    </w:p>
    <w:p w14:paraId="4043DA91" w14:textId="77777777" w:rsidR="00340709" w:rsidRPr="00D6340F" w:rsidRDefault="00FF30BA" w:rsidP="00AB44A9">
      <w:pPr>
        <w:pStyle w:val="ep4"/>
        <w:tabs>
          <w:tab w:val="clear" w:pos="360"/>
          <w:tab w:val="num" w:pos="284"/>
        </w:tabs>
        <w:rPr>
          <w:lang w:val="en-GB"/>
        </w:rPr>
      </w:pPr>
      <w:r w:rsidRPr="00D6340F">
        <w:rPr>
          <w:lang w:val="en-GB"/>
        </w:rPr>
        <w:t>Dexamethasone</w:t>
      </w:r>
      <w:r w:rsidR="00340709" w:rsidRPr="00D6340F">
        <w:rPr>
          <w:lang w:val="en-GB"/>
        </w:rPr>
        <w:t>, oral, 1 mg.</w:t>
      </w:r>
    </w:p>
    <w:p w14:paraId="0624D488" w14:textId="77777777" w:rsidR="00340709" w:rsidRPr="00D6340F" w:rsidRDefault="00340709" w:rsidP="00AB44A9">
      <w:pPr>
        <w:pStyle w:val="ep4"/>
        <w:numPr>
          <w:ilvl w:val="0"/>
          <w:numId w:val="8"/>
        </w:numPr>
        <w:ind w:left="567" w:hanging="283"/>
        <w:rPr>
          <w:lang w:val="en-GB"/>
        </w:rPr>
      </w:pPr>
      <w:r w:rsidRPr="00D6340F">
        <w:rPr>
          <w:lang w:val="en-GB"/>
        </w:rPr>
        <w:t xml:space="preserve">Administer </w:t>
      </w:r>
      <w:r w:rsidR="00211117" w:rsidRPr="00062BBE">
        <w:rPr>
          <w:lang w:val="en-GB"/>
        </w:rPr>
        <w:t>at 23:00</w:t>
      </w:r>
      <w:r w:rsidR="004E1B09">
        <w:rPr>
          <w:lang w:val="en-GB"/>
        </w:rPr>
        <w:t>.</w:t>
      </w:r>
    </w:p>
    <w:p w14:paraId="4DFA0F71" w14:textId="77777777" w:rsidR="00340709" w:rsidRPr="00D6340F" w:rsidRDefault="00340709" w:rsidP="00AB44A9">
      <w:pPr>
        <w:pStyle w:val="ep4"/>
        <w:numPr>
          <w:ilvl w:val="0"/>
          <w:numId w:val="8"/>
        </w:numPr>
        <w:ind w:left="567" w:hanging="283"/>
        <w:rPr>
          <w:lang w:val="en-GB"/>
        </w:rPr>
      </w:pPr>
      <w:r w:rsidRPr="00D6340F">
        <w:rPr>
          <w:lang w:val="en-GB"/>
        </w:rPr>
        <w:t xml:space="preserve">Measure plasma cortisol </w:t>
      </w:r>
      <w:r w:rsidRPr="00D6340F">
        <w:rPr>
          <w:color w:val="auto"/>
          <w:lang w:val="en-GB"/>
        </w:rPr>
        <w:t xml:space="preserve">at </w:t>
      </w:r>
      <w:r w:rsidR="00E64D2E" w:rsidRPr="00D6340F">
        <w:rPr>
          <w:color w:val="auto"/>
          <w:lang w:val="en-GB"/>
        </w:rPr>
        <w:t>8</w:t>
      </w:r>
      <w:r w:rsidR="00E64D2E">
        <w:rPr>
          <w:color w:val="auto"/>
          <w:lang w:val="en-GB"/>
        </w:rPr>
        <w:t>:00,</w:t>
      </w:r>
      <w:r w:rsidR="00FF30BA" w:rsidRPr="00D6340F">
        <w:rPr>
          <w:color w:val="auto"/>
          <w:lang w:val="en-GB"/>
        </w:rPr>
        <w:t xml:space="preserve"> </w:t>
      </w:r>
      <w:r w:rsidR="00211117">
        <w:rPr>
          <w:color w:val="auto"/>
          <w:lang w:val="en-GB"/>
        </w:rPr>
        <w:t xml:space="preserve">the next morning </w:t>
      </w:r>
      <w:r w:rsidR="00FF30BA" w:rsidRPr="00D6340F">
        <w:rPr>
          <w:color w:val="auto"/>
          <w:lang w:val="en-GB"/>
        </w:rPr>
        <w:t>after breakfast</w:t>
      </w:r>
      <w:r w:rsidR="00A54CAE" w:rsidRPr="00D6340F">
        <w:rPr>
          <w:i/>
          <w:color w:val="auto"/>
          <w:lang w:val="en-GB"/>
        </w:rPr>
        <w:t>.</w:t>
      </w:r>
    </w:p>
    <w:p w14:paraId="0D2F3812" w14:textId="77777777" w:rsidR="00340709" w:rsidRPr="00D6340F" w:rsidRDefault="00340709" w:rsidP="00AB44A9">
      <w:pPr>
        <w:pStyle w:val="ep4"/>
        <w:numPr>
          <w:ilvl w:val="0"/>
          <w:numId w:val="8"/>
        </w:numPr>
        <w:ind w:left="567" w:hanging="283"/>
        <w:rPr>
          <w:lang w:val="en-GB"/>
        </w:rPr>
      </w:pPr>
      <w:r w:rsidRPr="00D6340F">
        <w:rPr>
          <w:lang w:val="en-GB"/>
        </w:rPr>
        <w:t xml:space="preserve">In people </w:t>
      </w:r>
      <w:r w:rsidR="00B743C3">
        <w:rPr>
          <w:lang w:val="en-GB"/>
        </w:rPr>
        <w:t xml:space="preserve">with normal pituitary and adrenal function </w:t>
      </w:r>
      <w:r w:rsidRPr="00D6340F">
        <w:rPr>
          <w:lang w:val="en-GB"/>
        </w:rPr>
        <w:t>morning cortisol will be suppressed to &lt;50 nmol/L.</w:t>
      </w:r>
    </w:p>
    <w:p w14:paraId="6786D218" w14:textId="77777777" w:rsidR="00340709" w:rsidRPr="00D6340F" w:rsidRDefault="00340709" w:rsidP="00AB44A9">
      <w:pPr>
        <w:pStyle w:val="ep4"/>
        <w:numPr>
          <w:ilvl w:val="0"/>
          <w:numId w:val="8"/>
        </w:numPr>
        <w:ind w:left="567" w:hanging="283"/>
        <w:rPr>
          <w:lang w:val="en-GB"/>
        </w:rPr>
      </w:pPr>
      <w:r w:rsidRPr="00D6340F">
        <w:rPr>
          <w:lang w:val="en-GB"/>
        </w:rPr>
        <w:t xml:space="preserve">Refer if </w:t>
      </w:r>
      <w:r w:rsidR="00211117">
        <w:rPr>
          <w:lang w:val="en-GB"/>
        </w:rPr>
        <w:t xml:space="preserve">cortisol </w:t>
      </w:r>
      <w:r w:rsidRPr="00D6340F">
        <w:rPr>
          <w:lang w:val="en-GB"/>
        </w:rPr>
        <w:t xml:space="preserve">levels </w:t>
      </w:r>
      <w:r w:rsidR="00211117">
        <w:rPr>
          <w:lang w:val="en-GB"/>
        </w:rPr>
        <w:t>&gt;50</w:t>
      </w:r>
      <w:r w:rsidR="00062BBE">
        <w:rPr>
          <w:lang w:val="en-GB"/>
        </w:rPr>
        <w:t xml:space="preserve"> </w:t>
      </w:r>
      <w:r w:rsidR="00211117">
        <w:rPr>
          <w:lang w:val="en-GB"/>
        </w:rPr>
        <w:t>nmol/</w:t>
      </w:r>
      <w:r w:rsidR="00AB44A9">
        <w:rPr>
          <w:lang w:val="en-GB"/>
        </w:rPr>
        <w:t>L.</w:t>
      </w: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4912BF" w:rsidRPr="00203651" w14:paraId="639B8CB6" w14:textId="77777777" w:rsidTr="00FC265C">
        <w:tc>
          <w:tcPr>
            <w:tcW w:w="1134" w:type="dxa"/>
            <w:shd w:val="clear" w:color="auto" w:fill="auto"/>
          </w:tcPr>
          <w:p w14:paraId="3A36CE77" w14:textId="77777777" w:rsidR="004912BF" w:rsidRPr="00203651" w:rsidRDefault="004912BF" w:rsidP="00FC265C">
            <w:pPr>
              <w:jc w:val="right"/>
              <w:rPr>
                <w:b/>
                <w:i/>
                <w:sz w:val="16"/>
                <w:lang w:val="en-GB"/>
              </w:rPr>
            </w:pPr>
            <w:proofErr w:type="spellStart"/>
            <w:proofErr w:type="gramStart"/>
            <w:r w:rsidRPr="00203651">
              <w:rPr>
                <w:i/>
                <w:sz w:val="16"/>
                <w:lang w:val="en-GB"/>
              </w:rPr>
              <w:t>LoE:III</w:t>
            </w:r>
            <w:proofErr w:type="spellEnd"/>
            <w:proofErr w:type="gramEnd"/>
            <w:r w:rsidRPr="00203651">
              <w:rPr>
                <w:rStyle w:val="EndnoteReference"/>
                <w:i/>
                <w:sz w:val="16"/>
                <w:lang w:val="en-GB"/>
              </w:rPr>
              <w:endnoteReference w:id="9"/>
            </w:r>
          </w:p>
        </w:tc>
      </w:tr>
    </w:tbl>
    <w:p w14:paraId="61720805" w14:textId="77777777" w:rsidR="00340709" w:rsidRPr="00D6340F" w:rsidRDefault="00340709" w:rsidP="00340709">
      <w:pPr>
        <w:rPr>
          <w:rFonts w:cs="Arial"/>
          <w:lang w:val="en-GB"/>
        </w:rPr>
      </w:pPr>
    </w:p>
    <w:p w14:paraId="6EAA82DA" w14:textId="77777777" w:rsidR="00340709" w:rsidRPr="00D6340F" w:rsidRDefault="00340709" w:rsidP="00340709">
      <w:pPr>
        <w:pStyle w:val="Heading5"/>
        <w:rPr>
          <w:rFonts w:cs="Arial"/>
          <w:lang w:val="en-GB"/>
        </w:rPr>
      </w:pPr>
      <w:r w:rsidRPr="00D6340F">
        <w:rPr>
          <w:rFonts w:cs="Arial"/>
          <w:lang w:val="en-GB"/>
        </w:rPr>
        <w:t>GENERAL MEASURES</w:t>
      </w:r>
    </w:p>
    <w:p w14:paraId="1E6AD9A3" w14:textId="77777777" w:rsidR="00340709" w:rsidRPr="00D6340F" w:rsidRDefault="00340709" w:rsidP="00340709">
      <w:pPr>
        <w:rPr>
          <w:rFonts w:cs="Arial"/>
          <w:shd w:val="clear" w:color="auto" w:fill="E5DFEC"/>
          <w:lang w:val="en-GB"/>
        </w:rPr>
      </w:pPr>
      <w:r w:rsidRPr="00D6340F">
        <w:rPr>
          <w:rFonts w:cs="Arial"/>
          <w:lang w:val="en-GB"/>
        </w:rPr>
        <w:t>Check for hypertension and diabetes and treat accordingly.</w:t>
      </w:r>
    </w:p>
    <w:p w14:paraId="042C002F" w14:textId="77777777" w:rsidR="00340709" w:rsidRPr="00D6340F" w:rsidRDefault="00340709" w:rsidP="00340709">
      <w:pPr>
        <w:rPr>
          <w:rFonts w:cs="Arial"/>
          <w:lang w:val="en-GB"/>
        </w:rPr>
      </w:pPr>
      <w:r w:rsidRPr="00D6340F">
        <w:rPr>
          <w:rFonts w:cs="Arial"/>
          <w:lang w:val="en-GB"/>
        </w:rPr>
        <w:t>Check potassium.</w:t>
      </w:r>
    </w:p>
    <w:p w14:paraId="234D0A8B" w14:textId="77777777" w:rsidR="00340709" w:rsidRPr="00D6340F" w:rsidRDefault="00340709" w:rsidP="00340709">
      <w:pPr>
        <w:pStyle w:val="Heading5"/>
        <w:rPr>
          <w:rFonts w:cs="Arial"/>
          <w:lang w:val="en-GB"/>
        </w:rPr>
      </w:pPr>
      <w:r w:rsidRPr="00D6340F">
        <w:rPr>
          <w:rFonts w:cs="Arial"/>
          <w:lang w:val="en-GB"/>
        </w:rPr>
        <w:lastRenderedPageBreak/>
        <w:t>REFERRAL</w:t>
      </w:r>
    </w:p>
    <w:p w14:paraId="5D9A2C71" w14:textId="77777777" w:rsidR="00340709" w:rsidRDefault="00340709" w:rsidP="00340709">
      <w:pPr>
        <w:pStyle w:val="ep4"/>
        <w:numPr>
          <w:ilvl w:val="0"/>
          <w:numId w:val="0"/>
        </w:numPr>
        <w:rPr>
          <w:lang w:val="en-GB"/>
        </w:rPr>
      </w:pPr>
      <w:r w:rsidRPr="00D6340F">
        <w:rPr>
          <w:lang w:val="en-GB"/>
        </w:rPr>
        <w:t>All cases for investigation of aetiology and appropriate management.</w:t>
      </w:r>
    </w:p>
    <w:p w14:paraId="7EA7E2DC" w14:textId="7AC19262" w:rsidR="00B702D2" w:rsidRDefault="00B702D2" w:rsidP="00340709">
      <w:pPr>
        <w:pStyle w:val="ep4"/>
        <w:numPr>
          <w:ilvl w:val="0"/>
          <w:numId w:val="0"/>
        </w:numPr>
        <w:rPr>
          <w:lang w:val="en-GB"/>
        </w:rPr>
      </w:pPr>
    </w:p>
    <w:p w14:paraId="6F19BD79" w14:textId="77777777" w:rsidR="002F1440" w:rsidRPr="00D6340F" w:rsidRDefault="002F1440" w:rsidP="00340709">
      <w:pPr>
        <w:pStyle w:val="ep4"/>
        <w:numPr>
          <w:ilvl w:val="0"/>
          <w:numId w:val="0"/>
        </w:numPr>
        <w:rPr>
          <w:lang w:val="en-GB"/>
        </w:rPr>
      </w:pPr>
    </w:p>
    <w:bookmarkEnd w:id="0"/>
    <w:bookmarkEnd w:id="1"/>
    <w:p w14:paraId="09B6FCC6" w14:textId="77777777" w:rsidR="00340709" w:rsidRPr="00D6340F" w:rsidRDefault="00340709" w:rsidP="00340709">
      <w:pPr>
        <w:pStyle w:val="Heading1"/>
        <w:rPr>
          <w:rFonts w:cs="Arial"/>
          <w:lang w:val="en-GB"/>
        </w:rPr>
      </w:pPr>
      <w:r w:rsidRPr="00D6340F">
        <w:rPr>
          <w:rFonts w:cs="Arial"/>
          <w:lang w:val="en-GB"/>
        </w:rPr>
        <w:t>8.5 DIABETES MELLITUS</w:t>
      </w:r>
    </w:p>
    <w:p w14:paraId="4C0BEC4E" w14:textId="77777777" w:rsidR="00340709" w:rsidRPr="00D6340F" w:rsidRDefault="00340709" w:rsidP="00340709">
      <w:pPr>
        <w:rPr>
          <w:rFonts w:cs="Arial"/>
          <w:lang w:val="en-GB"/>
        </w:rPr>
      </w:pPr>
    </w:p>
    <w:p w14:paraId="007544E8" w14:textId="77777777" w:rsidR="00340709" w:rsidRPr="00D6340F" w:rsidRDefault="00340709" w:rsidP="00340709">
      <w:pPr>
        <w:pStyle w:val="Heading5"/>
        <w:rPr>
          <w:rFonts w:cs="Arial"/>
          <w:lang w:val="en-GB"/>
        </w:rPr>
      </w:pPr>
      <w:r w:rsidRPr="00D6340F">
        <w:rPr>
          <w:rFonts w:cs="Arial"/>
          <w:lang w:val="en-GB"/>
        </w:rPr>
        <w:t>DESCRIPTION</w:t>
      </w:r>
    </w:p>
    <w:p w14:paraId="2DE12038" w14:textId="77777777" w:rsidR="00340709" w:rsidRPr="00D6340F" w:rsidRDefault="00340709" w:rsidP="00340709">
      <w:pPr>
        <w:pStyle w:val="Heading6"/>
        <w:rPr>
          <w:rFonts w:cs="Arial"/>
          <w:b w:val="0"/>
          <w:color w:val="auto"/>
        </w:rPr>
      </w:pPr>
      <w:r w:rsidRPr="00D6340F">
        <w:rPr>
          <w:rFonts w:cs="Arial"/>
          <w:b w:val="0"/>
          <w:color w:val="auto"/>
        </w:rPr>
        <w:t>Types of diabetes:</w:t>
      </w:r>
    </w:p>
    <w:p w14:paraId="309DD711" w14:textId="1DAB2CAB" w:rsidR="00340709" w:rsidRPr="00D6340F" w:rsidRDefault="00340709" w:rsidP="00207AA8">
      <w:pPr>
        <w:pStyle w:val="ep4"/>
        <w:numPr>
          <w:ilvl w:val="0"/>
          <w:numId w:val="9"/>
        </w:numPr>
        <w:ind w:left="284" w:hanging="284"/>
        <w:rPr>
          <w:color w:val="auto"/>
          <w:lang w:val="en-GB"/>
        </w:rPr>
      </w:pPr>
      <w:r w:rsidRPr="00D6340F">
        <w:rPr>
          <w:color w:val="auto"/>
          <w:lang w:val="en-GB"/>
        </w:rPr>
        <w:t>Type 1</w:t>
      </w:r>
      <w:r w:rsidR="002240B9">
        <w:rPr>
          <w:color w:val="auto"/>
          <w:lang w:val="en-GB"/>
        </w:rPr>
        <w:t>.</w:t>
      </w:r>
      <w:r w:rsidRPr="00D6340F">
        <w:rPr>
          <w:color w:val="auto"/>
          <w:lang w:val="en-GB"/>
        </w:rPr>
        <w:t xml:space="preserve"> </w:t>
      </w:r>
    </w:p>
    <w:p w14:paraId="32507A89" w14:textId="6CC00123" w:rsidR="00340709" w:rsidRPr="00D6340F" w:rsidRDefault="00340709" w:rsidP="00207AA8">
      <w:pPr>
        <w:pStyle w:val="ep4"/>
        <w:numPr>
          <w:ilvl w:val="0"/>
          <w:numId w:val="9"/>
        </w:numPr>
        <w:ind w:left="284" w:hanging="284"/>
        <w:rPr>
          <w:color w:val="auto"/>
          <w:lang w:val="en-GB"/>
        </w:rPr>
      </w:pPr>
      <w:r w:rsidRPr="00D6340F">
        <w:rPr>
          <w:color w:val="auto"/>
          <w:lang w:val="en-GB"/>
        </w:rPr>
        <w:t>Type 2</w:t>
      </w:r>
      <w:r w:rsidR="002240B9">
        <w:rPr>
          <w:color w:val="auto"/>
          <w:lang w:val="en-GB"/>
        </w:rPr>
        <w:t>.</w:t>
      </w:r>
      <w:r w:rsidRPr="00D6340F">
        <w:rPr>
          <w:color w:val="auto"/>
          <w:lang w:val="en-GB"/>
        </w:rPr>
        <w:t xml:space="preserve"> </w:t>
      </w:r>
    </w:p>
    <w:p w14:paraId="5479A350" w14:textId="77777777" w:rsidR="00340709" w:rsidRPr="00D6340F" w:rsidRDefault="00340709" w:rsidP="00207AA8">
      <w:pPr>
        <w:pStyle w:val="ep4"/>
        <w:numPr>
          <w:ilvl w:val="0"/>
          <w:numId w:val="9"/>
        </w:numPr>
        <w:ind w:left="284" w:hanging="284"/>
        <w:rPr>
          <w:color w:val="auto"/>
          <w:lang w:val="en-GB"/>
        </w:rPr>
      </w:pPr>
      <w:r w:rsidRPr="00D6340F">
        <w:rPr>
          <w:color w:val="auto"/>
          <w:lang w:val="en-GB"/>
        </w:rPr>
        <w:t>Other specific types, including pancreatic</w:t>
      </w:r>
      <w:r w:rsidR="006A2328">
        <w:rPr>
          <w:color w:val="auto"/>
          <w:lang w:val="en-GB"/>
        </w:rPr>
        <w:t xml:space="preserve"> </w:t>
      </w:r>
      <w:r w:rsidRPr="00D6340F">
        <w:rPr>
          <w:color w:val="auto"/>
          <w:lang w:val="en-GB"/>
        </w:rPr>
        <w:t xml:space="preserve">diabetes mellitus. </w:t>
      </w:r>
    </w:p>
    <w:p w14:paraId="597B0579" w14:textId="6E27E341" w:rsidR="00340709" w:rsidRPr="00D6340F" w:rsidRDefault="00340709" w:rsidP="00207AA8">
      <w:pPr>
        <w:pStyle w:val="ep4"/>
        <w:numPr>
          <w:ilvl w:val="0"/>
          <w:numId w:val="9"/>
        </w:numPr>
        <w:ind w:left="284" w:hanging="284"/>
        <w:rPr>
          <w:color w:val="auto"/>
          <w:lang w:val="en-GB"/>
        </w:rPr>
      </w:pPr>
      <w:r w:rsidRPr="00D6340F">
        <w:rPr>
          <w:color w:val="auto"/>
          <w:lang w:val="en-GB"/>
        </w:rPr>
        <w:t>Gestational diabetes mellitus</w:t>
      </w:r>
      <w:r w:rsidR="00D6340F">
        <w:rPr>
          <w:color w:val="auto"/>
          <w:lang w:val="en-GB"/>
        </w:rPr>
        <w:t>:</w:t>
      </w:r>
      <w:r w:rsidRPr="00D6340F">
        <w:rPr>
          <w:color w:val="auto"/>
          <w:lang w:val="en-GB"/>
        </w:rPr>
        <w:t xml:space="preserve"> See </w:t>
      </w:r>
      <w:r w:rsidR="002840C6">
        <w:rPr>
          <w:color w:val="auto"/>
          <w:lang w:val="en-GB"/>
        </w:rPr>
        <w:t>Section</w:t>
      </w:r>
      <w:r w:rsidRPr="00D6340F">
        <w:rPr>
          <w:color w:val="auto"/>
          <w:lang w:val="en-GB"/>
        </w:rPr>
        <w:t xml:space="preserve"> 6.2: Diabetes </w:t>
      </w:r>
      <w:r w:rsidR="00CC1CF6">
        <w:rPr>
          <w:color w:val="auto"/>
          <w:lang w:val="en-GB"/>
        </w:rPr>
        <w:t>m</w:t>
      </w:r>
      <w:r w:rsidRPr="00D6340F">
        <w:rPr>
          <w:color w:val="auto"/>
          <w:lang w:val="en-GB"/>
        </w:rPr>
        <w:t xml:space="preserve">ellitus in </w:t>
      </w:r>
      <w:r w:rsidR="00CC1CF6">
        <w:rPr>
          <w:color w:val="auto"/>
          <w:lang w:val="en-GB"/>
        </w:rPr>
        <w:t>p</w:t>
      </w:r>
      <w:r w:rsidRPr="00D6340F">
        <w:rPr>
          <w:color w:val="auto"/>
          <w:lang w:val="en-GB"/>
        </w:rPr>
        <w:t>regnancy.</w:t>
      </w:r>
    </w:p>
    <w:p w14:paraId="5F8DC72D" w14:textId="77777777" w:rsidR="00340709" w:rsidRPr="00D6340F" w:rsidRDefault="00340709" w:rsidP="00340709">
      <w:pPr>
        <w:rPr>
          <w:rFonts w:cs="Arial"/>
          <w:lang w:val="en-GB"/>
        </w:rPr>
      </w:pPr>
    </w:p>
    <w:p w14:paraId="5D1EE97B" w14:textId="77777777" w:rsidR="00340709" w:rsidRPr="00D6340F" w:rsidRDefault="00340709" w:rsidP="00340709">
      <w:pPr>
        <w:pStyle w:val="Heading5"/>
        <w:rPr>
          <w:rFonts w:cs="Arial"/>
          <w:lang w:val="en-GB"/>
        </w:rPr>
      </w:pPr>
      <w:r w:rsidRPr="00D6340F">
        <w:rPr>
          <w:rFonts w:cs="Arial"/>
          <w:lang w:val="en-GB"/>
        </w:rPr>
        <w:t>GENERAL MEASURES</w:t>
      </w:r>
    </w:p>
    <w:p w14:paraId="05EFEF40" w14:textId="77777777" w:rsidR="00340709" w:rsidRPr="00D6340F" w:rsidRDefault="00340709" w:rsidP="00340709">
      <w:pPr>
        <w:rPr>
          <w:rFonts w:cs="Arial"/>
          <w:lang w:val="en-GB"/>
        </w:rPr>
      </w:pPr>
      <w:r w:rsidRPr="00D6340F">
        <w:rPr>
          <w:rFonts w:cs="Arial"/>
          <w:lang w:val="en-GB"/>
        </w:rPr>
        <w:t>All patients require lifestyle modification.</w:t>
      </w:r>
    </w:p>
    <w:p w14:paraId="60BA1C60" w14:textId="6B497850" w:rsidR="00340709" w:rsidRPr="00D6340F" w:rsidRDefault="002F1440" w:rsidP="00340709">
      <w:pPr>
        <w:rPr>
          <w:rFonts w:cs="Arial"/>
          <w:lang w:val="en-GB"/>
        </w:rPr>
      </w:pPr>
      <w:r>
        <w:rPr>
          <w:rFonts w:cs="Arial"/>
          <w:lang w:val="en-GB"/>
        </w:rPr>
        <w:t>T</w:t>
      </w:r>
      <w:r w:rsidR="00340709" w:rsidRPr="00D6340F">
        <w:rPr>
          <w:rFonts w:cs="Arial"/>
          <w:lang w:val="en-GB"/>
        </w:rPr>
        <w:t xml:space="preserve">ype 2 </w:t>
      </w:r>
      <w:bookmarkStart w:id="2" w:name="OLE_LINK2"/>
      <w:r w:rsidR="00340709" w:rsidRPr="00D6340F">
        <w:rPr>
          <w:rFonts w:cs="Arial"/>
          <w:lang w:val="en-GB"/>
        </w:rPr>
        <w:t>diabetes mellitus</w:t>
      </w:r>
      <w:bookmarkEnd w:id="2"/>
      <w:r>
        <w:rPr>
          <w:rFonts w:cs="Arial"/>
          <w:lang w:val="en-GB"/>
        </w:rPr>
        <w:t xml:space="preserve"> patients:</w:t>
      </w:r>
      <w:r w:rsidR="00340709" w:rsidRPr="00D6340F">
        <w:rPr>
          <w:rFonts w:cs="Arial"/>
          <w:lang w:val="en-GB"/>
        </w:rPr>
        <w:t xml:space="preserve"> weight loss if weight exceeds ideal weight.</w:t>
      </w:r>
    </w:p>
    <w:p w14:paraId="5EDF7C92" w14:textId="77777777" w:rsidR="00340709" w:rsidRPr="00FD14D7" w:rsidRDefault="00340709" w:rsidP="00340709">
      <w:pPr>
        <w:rPr>
          <w:rFonts w:cs="Arial"/>
          <w:color w:val="auto"/>
          <w:lang w:val="en-GB"/>
        </w:rPr>
      </w:pPr>
      <w:r w:rsidRPr="00FD14D7">
        <w:rPr>
          <w:rFonts w:cs="Arial"/>
          <w:color w:val="auto"/>
          <w:lang w:val="en-GB"/>
        </w:rPr>
        <w:t>Correct meal/energy distribution</w:t>
      </w:r>
      <w:r w:rsidR="00D60CED" w:rsidRPr="00FD14D7">
        <w:rPr>
          <w:rFonts w:cs="Arial"/>
          <w:color w:val="auto"/>
          <w:lang w:val="en-GB"/>
        </w:rPr>
        <w:t>.</w:t>
      </w:r>
    </w:p>
    <w:p w14:paraId="3EBAC3E2" w14:textId="77777777" w:rsidR="00340709" w:rsidRPr="00FD14D7" w:rsidRDefault="00340709" w:rsidP="00340709">
      <w:pPr>
        <w:rPr>
          <w:rFonts w:cs="Arial"/>
          <w:color w:val="auto"/>
          <w:lang w:val="en-GB"/>
        </w:rPr>
      </w:pPr>
      <w:r w:rsidRPr="00FD14D7">
        <w:rPr>
          <w:rFonts w:cs="Arial"/>
          <w:color w:val="auto"/>
          <w:lang w:val="en-GB"/>
        </w:rPr>
        <w:t>Moderate or no alcohol intake.</w:t>
      </w:r>
    </w:p>
    <w:p w14:paraId="1DF97C96" w14:textId="77777777" w:rsidR="00340709" w:rsidRPr="00FD14D7" w:rsidRDefault="00B05E81" w:rsidP="00340709">
      <w:pPr>
        <w:rPr>
          <w:rFonts w:cs="Arial"/>
          <w:color w:val="auto"/>
          <w:lang w:val="en-GB"/>
        </w:rPr>
      </w:pPr>
      <w:r w:rsidRPr="00FD14D7">
        <w:rPr>
          <w:rFonts w:cs="Arial"/>
          <w:color w:val="auto"/>
          <w:lang w:val="en-GB"/>
        </w:rPr>
        <w:t xml:space="preserve">Encourage </w:t>
      </w:r>
      <w:r w:rsidR="00340709" w:rsidRPr="00FD14D7">
        <w:rPr>
          <w:rFonts w:cs="Arial"/>
          <w:color w:val="auto"/>
          <w:lang w:val="en-GB"/>
        </w:rPr>
        <w:t>smoking</w:t>
      </w:r>
      <w:r w:rsidRPr="00FD14D7">
        <w:rPr>
          <w:rFonts w:cs="Arial"/>
          <w:color w:val="auto"/>
          <w:lang w:val="en-GB"/>
        </w:rPr>
        <w:t xml:space="preserve"> cessation</w:t>
      </w:r>
      <w:r w:rsidR="00340709" w:rsidRPr="00FD14D7">
        <w:rPr>
          <w:rFonts w:cs="Arial"/>
          <w:color w:val="auto"/>
          <w:lang w:val="en-GB"/>
        </w:rPr>
        <w:t>.</w:t>
      </w:r>
    </w:p>
    <w:p w14:paraId="072D44E9" w14:textId="77777777" w:rsidR="00340709" w:rsidRPr="00FD14D7" w:rsidRDefault="00340709" w:rsidP="00340709">
      <w:pPr>
        <w:rPr>
          <w:rFonts w:cs="Arial"/>
          <w:color w:val="auto"/>
          <w:lang w:val="en-GB"/>
        </w:rPr>
      </w:pPr>
      <w:r w:rsidRPr="00FD14D7">
        <w:rPr>
          <w:rFonts w:cs="Arial"/>
          <w:color w:val="auto"/>
          <w:lang w:val="en-GB"/>
        </w:rPr>
        <w:t>Increase physical activity, aim for 30 minutes</w:t>
      </w:r>
      <w:r w:rsidR="00B05E81" w:rsidRPr="00FD14D7">
        <w:rPr>
          <w:rFonts w:cs="Arial"/>
          <w:color w:val="auto"/>
          <w:lang w:val="en-GB"/>
        </w:rPr>
        <w:t xml:space="preserve"> per day</w:t>
      </w:r>
      <w:r w:rsidRPr="00FD14D7">
        <w:rPr>
          <w:rFonts w:cs="Arial"/>
          <w:color w:val="auto"/>
          <w:lang w:val="en-GB"/>
        </w:rPr>
        <w:t xml:space="preserve"> 5 times a week.</w:t>
      </w:r>
    </w:p>
    <w:p w14:paraId="6EB95DE2" w14:textId="77777777" w:rsidR="00F44F43" w:rsidRPr="00FD14D7" w:rsidRDefault="00340709" w:rsidP="00340709">
      <w:pPr>
        <w:rPr>
          <w:rFonts w:cs="Arial"/>
          <w:color w:val="auto"/>
          <w:lang w:val="en-GB"/>
        </w:rPr>
      </w:pPr>
      <w:r w:rsidRPr="00FD14D7">
        <w:rPr>
          <w:rFonts w:cs="Arial"/>
          <w:color w:val="auto"/>
          <w:lang w:val="en-GB"/>
        </w:rPr>
        <w:t>Education about foot care is essential.</w:t>
      </w:r>
    </w:p>
    <w:p w14:paraId="58538CA1" w14:textId="1D655EB2" w:rsidR="00340709" w:rsidRPr="00FD14D7" w:rsidRDefault="00F44F43" w:rsidP="00340709">
      <w:pPr>
        <w:rPr>
          <w:rFonts w:cs="Arial"/>
          <w:color w:val="auto"/>
          <w:lang w:val="en-GB"/>
        </w:rPr>
      </w:pPr>
      <w:r w:rsidRPr="00FD14D7">
        <w:rPr>
          <w:rFonts w:cs="Arial"/>
          <w:color w:val="auto"/>
          <w:lang w:val="en-GB"/>
        </w:rPr>
        <w:t xml:space="preserve">Manage comorbid depression. See </w:t>
      </w:r>
      <w:r w:rsidR="002840C6">
        <w:rPr>
          <w:rFonts w:cs="Arial"/>
          <w:color w:val="auto"/>
          <w:lang w:val="en-GB"/>
        </w:rPr>
        <w:t>Section</w:t>
      </w:r>
      <w:r w:rsidRPr="00FD14D7">
        <w:rPr>
          <w:rFonts w:cs="Arial"/>
          <w:color w:val="auto"/>
          <w:lang w:val="en-GB"/>
        </w:rPr>
        <w:t xml:space="preserve"> </w:t>
      </w:r>
      <w:r w:rsidR="00CC1CF6">
        <w:rPr>
          <w:rFonts w:cs="Arial"/>
          <w:color w:val="auto"/>
          <w:lang w:val="en-GB"/>
        </w:rPr>
        <w:t>15.3.1: Depressive disorders.</w:t>
      </w:r>
    </w:p>
    <w:p w14:paraId="1846DB20" w14:textId="77777777" w:rsidR="00FD14D7" w:rsidRPr="00FD14D7" w:rsidRDefault="00FD14D7" w:rsidP="00340709">
      <w:pPr>
        <w:rPr>
          <w:rFonts w:cs="Arial"/>
          <w:color w:val="auto"/>
          <w:lang w:val="en-GB"/>
        </w:rPr>
      </w:pPr>
    </w:p>
    <w:p w14:paraId="71511DE8" w14:textId="77777777" w:rsidR="00861C3D" w:rsidRPr="00062BBE" w:rsidRDefault="00FD14D7" w:rsidP="00062BBE">
      <w:pPr>
        <w:widowControl w:val="0"/>
        <w:jc w:val="left"/>
        <w:rPr>
          <w:rFonts w:cs="Arial"/>
          <w:bCs w:val="0"/>
          <w:color w:val="auto"/>
          <w:lang w:val="en-GB"/>
        </w:rPr>
      </w:pPr>
      <w:r w:rsidRPr="00FD14D7">
        <w:rPr>
          <w:rFonts w:cs="Arial"/>
          <w:b/>
          <w:color w:val="auto"/>
          <w:sz w:val="20"/>
          <w:lang w:val="en-GB"/>
        </w:rPr>
        <w:t>Diagnosis</w:t>
      </w:r>
      <w:r w:rsidRPr="00FD14D7">
        <w:rPr>
          <w:lang w:val="en-GB"/>
        </w:rPr>
        <w:t xml:space="preserve"> </w:t>
      </w:r>
    </w:p>
    <w:p w14:paraId="4FF551D4" w14:textId="77777777" w:rsidR="00861C3D" w:rsidRPr="00062BBE" w:rsidRDefault="00861C3D" w:rsidP="007E4E67">
      <w:pPr>
        <w:pStyle w:val="ListParagraph"/>
        <w:widowControl w:val="0"/>
        <w:numPr>
          <w:ilvl w:val="0"/>
          <w:numId w:val="62"/>
        </w:numPr>
        <w:spacing w:line="240" w:lineRule="auto"/>
        <w:ind w:left="284" w:hanging="284"/>
        <w:jc w:val="both"/>
        <w:rPr>
          <w:rFonts w:cs="Arial"/>
          <w:color w:val="auto"/>
          <w:lang w:val="en-GB"/>
        </w:rPr>
      </w:pPr>
      <w:r w:rsidRPr="00062BBE">
        <w:rPr>
          <w:rFonts w:ascii="Arial" w:hAnsi="Arial" w:cs="Arial"/>
          <w:color w:val="auto"/>
          <w:sz w:val="18"/>
          <w:szCs w:val="18"/>
          <w:lang w:val="en-GB"/>
        </w:rPr>
        <w:t>In patients with symptoms of hyperglycaemia and any one of the following criteria:</w:t>
      </w:r>
    </w:p>
    <w:p w14:paraId="1151184C" w14:textId="77777777" w:rsidR="00861C3D" w:rsidRPr="00062BBE" w:rsidRDefault="00861C3D" w:rsidP="007E4E67">
      <w:pPr>
        <w:pStyle w:val="ListParagraph"/>
        <w:widowControl w:val="0"/>
        <w:numPr>
          <w:ilvl w:val="0"/>
          <w:numId w:val="66"/>
        </w:numPr>
        <w:spacing w:line="240" w:lineRule="auto"/>
        <w:ind w:left="567" w:hanging="283"/>
        <w:jc w:val="both"/>
        <w:rPr>
          <w:rFonts w:ascii="Arial" w:hAnsi="Arial" w:cs="Arial"/>
          <w:color w:val="auto"/>
          <w:lang w:val="en-GB"/>
        </w:rPr>
      </w:pPr>
      <w:r w:rsidRPr="00062BBE">
        <w:rPr>
          <w:rFonts w:ascii="Arial" w:hAnsi="Arial" w:cs="Arial"/>
          <w:color w:val="auto"/>
          <w:sz w:val="18"/>
          <w:szCs w:val="18"/>
          <w:lang w:val="en-GB"/>
        </w:rPr>
        <w:t>Random plasma glucose ≥11.1 mmol/l</w:t>
      </w:r>
      <w:r w:rsidR="00252EB9" w:rsidRPr="00062BBE">
        <w:rPr>
          <w:rFonts w:ascii="Arial" w:hAnsi="Arial" w:cs="Arial"/>
          <w:color w:val="auto"/>
          <w:sz w:val="18"/>
          <w:szCs w:val="18"/>
          <w:lang w:val="en-GB"/>
        </w:rPr>
        <w:t>; or</w:t>
      </w:r>
    </w:p>
    <w:p w14:paraId="6F1DCCC3" w14:textId="77777777" w:rsidR="00861C3D" w:rsidRPr="00062BBE" w:rsidRDefault="00861C3D" w:rsidP="007E4E67">
      <w:pPr>
        <w:pStyle w:val="ListParagraph"/>
        <w:widowControl w:val="0"/>
        <w:numPr>
          <w:ilvl w:val="0"/>
          <w:numId w:val="66"/>
        </w:numPr>
        <w:spacing w:line="240" w:lineRule="auto"/>
        <w:ind w:left="567" w:hanging="283"/>
        <w:jc w:val="both"/>
        <w:rPr>
          <w:rFonts w:ascii="Arial" w:hAnsi="Arial" w:cs="Arial"/>
          <w:color w:val="auto"/>
          <w:lang w:val="en-GB"/>
        </w:rPr>
      </w:pPr>
      <w:r w:rsidRPr="00062BBE">
        <w:rPr>
          <w:rFonts w:ascii="Arial" w:hAnsi="Arial" w:cs="Arial"/>
          <w:color w:val="auto"/>
          <w:sz w:val="18"/>
          <w:szCs w:val="18"/>
          <w:lang w:val="en-GB"/>
        </w:rPr>
        <w:t>Fasting plasma glucose ≥7.0 mmol/l</w:t>
      </w:r>
      <w:r w:rsidR="00252EB9" w:rsidRPr="00062BBE">
        <w:rPr>
          <w:rFonts w:ascii="Arial" w:hAnsi="Arial" w:cs="Arial"/>
          <w:color w:val="auto"/>
          <w:sz w:val="18"/>
          <w:szCs w:val="18"/>
          <w:lang w:val="en-GB"/>
        </w:rPr>
        <w:t>; or</w:t>
      </w:r>
    </w:p>
    <w:p w14:paraId="654534AC" w14:textId="4AD9004A" w:rsidR="00861C3D" w:rsidRPr="005E5337" w:rsidRDefault="00861C3D" w:rsidP="007E4E67">
      <w:pPr>
        <w:pStyle w:val="ListParagraph"/>
        <w:widowControl w:val="0"/>
        <w:numPr>
          <w:ilvl w:val="0"/>
          <w:numId w:val="66"/>
        </w:numPr>
        <w:spacing w:line="240" w:lineRule="auto"/>
        <w:ind w:left="567" w:hanging="283"/>
        <w:jc w:val="both"/>
        <w:rPr>
          <w:rFonts w:ascii="Arial" w:hAnsi="Arial" w:cs="Arial"/>
          <w:color w:val="auto"/>
          <w:spacing w:val="-2"/>
          <w:lang w:val="en-GB"/>
        </w:rPr>
      </w:pPr>
      <w:r w:rsidRPr="005E5337">
        <w:rPr>
          <w:rFonts w:ascii="Arial" w:hAnsi="Arial" w:cs="Arial"/>
          <w:color w:val="auto"/>
          <w:spacing w:val="-2"/>
          <w:sz w:val="18"/>
          <w:szCs w:val="18"/>
          <w:lang w:val="en-GB"/>
        </w:rPr>
        <w:t>2</w:t>
      </w:r>
      <w:r w:rsidR="002240B9">
        <w:rPr>
          <w:rFonts w:ascii="Arial" w:hAnsi="Arial" w:cs="Arial"/>
          <w:color w:val="auto"/>
          <w:spacing w:val="-2"/>
          <w:sz w:val="18"/>
          <w:szCs w:val="18"/>
          <w:lang w:val="en-GB"/>
        </w:rPr>
        <w:t>-</w:t>
      </w:r>
      <w:r w:rsidRPr="005E5337">
        <w:rPr>
          <w:rFonts w:ascii="Arial" w:hAnsi="Arial" w:cs="Arial"/>
          <w:color w:val="auto"/>
          <w:spacing w:val="-2"/>
          <w:sz w:val="18"/>
          <w:szCs w:val="18"/>
          <w:lang w:val="en-GB"/>
        </w:rPr>
        <w:t>hour plasma glucose in a 75</w:t>
      </w:r>
      <w:r w:rsidR="00363760">
        <w:rPr>
          <w:rFonts w:ascii="Arial" w:hAnsi="Arial" w:cs="Arial"/>
          <w:color w:val="auto"/>
          <w:spacing w:val="-2"/>
          <w:sz w:val="18"/>
          <w:szCs w:val="18"/>
          <w:lang w:val="en-GB"/>
        </w:rPr>
        <w:t xml:space="preserve"> </w:t>
      </w:r>
      <w:r w:rsidRPr="005E5337">
        <w:rPr>
          <w:rFonts w:ascii="Arial" w:hAnsi="Arial" w:cs="Arial"/>
          <w:color w:val="auto"/>
          <w:spacing w:val="-2"/>
          <w:sz w:val="18"/>
          <w:szCs w:val="18"/>
          <w:lang w:val="en-GB"/>
        </w:rPr>
        <w:t>g oral glucose tolerance test ≥11.1 mmol/l.</w:t>
      </w:r>
    </w:p>
    <w:p w14:paraId="2B02909D" w14:textId="77777777" w:rsidR="005E5337" w:rsidRPr="005E5337" w:rsidRDefault="005E5337" w:rsidP="005E5337">
      <w:pPr>
        <w:pStyle w:val="ListParagraph"/>
        <w:widowControl w:val="0"/>
        <w:spacing w:line="240" w:lineRule="auto"/>
        <w:ind w:left="567"/>
        <w:jc w:val="both"/>
        <w:rPr>
          <w:rFonts w:ascii="Arial" w:hAnsi="Arial" w:cs="Arial"/>
          <w:color w:val="auto"/>
          <w:spacing w:val="-2"/>
          <w:sz w:val="10"/>
          <w:lang w:val="en-GB"/>
        </w:rPr>
      </w:pPr>
    </w:p>
    <w:p w14:paraId="1C72A09E" w14:textId="77777777" w:rsidR="00861C3D" w:rsidRPr="00062BBE" w:rsidRDefault="00861C3D" w:rsidP="007E4E67">
      <w:pPr>
        <w:pStyle w:val="ListParagraph"/>
        <w:widowControl w:val="0"/>
        <w:numPr>
          <w:ilvl w:val="0"/>
          <w:numId w:val="62"/>
        </w:numPr>
        <w:spacing w:line="240" w:lineRule="auto"/>
        <w:ind w:left="284" w:hanging="284"/>
        <w:jc w:val="both"/>
        <w:rPr>
          <w:rFonts w:ascii="Arial" w:hAnsi="Arial" w:cs="Arial"/>
          <w:color w:val="auto"/>
          <w:lang w:val="en-GB"/>
        </w:rPr>
      </w:pPr>
      <w:r w:rsidRPr="00062BBE">
        <w:rPr>
          <w:rFonts w:ascii="Arial" w:hAnsi="Arial" w:cs="Arial"/>
          <w:color w:val="auto"/>
          <w:sz w:val="18"/>
          <w:szCs w:val="18"/>
          <w:lang w:val="en-GB"/>
        </w:rPr>
        <w:t>In asymptomatic patients any one of the following criteria, confirmed by a repeat test on a separate day within 2 weeks:</w:t>
      </w:r>
    </w:p>
    <w:p w14:paraId="74888F1C" w14:textId="77777777" w:rsidR="00861C3D" w:rsidRPr="00062BBE" w:rsidRDefault="00861C3D" w:rsidP="007E4E67">
      <w:pPr>
        <w:pStyle w:val="ListParagraph"/>
        <w:widowControl w:val="0"/>
        <w:numPr>
          <w:ilvl w:val="1"/>
          <w:numId w:val="65"/>
        </w:numPr>
        <w:spacing w:line="240" w:lineRule="auto"/>
        <w:ind w:left="567" w:hanging="283"/>
        <w:jc w:val="both"/>
        <w:rPr>
          <w:rFonts w:ascii="Arial" w:hAnsi="Arial" w:cs="Arial"/>
          <w:color w:val="auto"/>
          <w:lang w:val="en-GB"/>
        </w:rPr>
      </w:pPr>
      <w:r w:rsidRPr="00062BBE">
        <w:rPr>
          <w:rFonts w:ascii="Arial" w:hAnsi="Arial" w:cs="Arial"/>
          <w:color w:val="auto"/>
          <w:sz w:val="18"/>
          <w:szCs w:val="18"/>
          <w:lang w:val="en-GB"/>
        </w:rPr>
        <w:t>Fasting plasma glucose ≥7.0 mmol/l</w:t>
      </w:r>
      <w:r w:rsidR="00252EB9" w:rsidRPr="00062BBE">
        <w:rPr>
          <w:rFonts w:ascii="Arial" w:hAnsi="Arial" w:cs="Arial"/>
          <w:color w:val="auto"/>
          <w:sz w:val="18"/>
          <w:szCs w:val="18"/>
          <w:lang w:val="en-GB"/>
        </w:rPr>
        <w:t>; or</w:t>
      </w:r>
    </w:p>
    <w:p w14:paraId="35E70A7A" w14:textId="63D37568" w:rsidR="00861C3D" w:rsidRPr="00062BBE" w:rsidRDefault="00861C3D" w:rsidP="007E4E67">
      <w:pPr>
        <w:pStyle w:val="ListParagraph"/>
        <w:widowControl w:val="0"/>
        <w:numPr>
          <w:ilvl w:val="1"/>
          <w:numId w:val="65"/>
        </w:numPr>
        <w:spacing w:line="240" w:lineRule="auto"/>
        <w:ind w:left="567" w:hanging="283"/>
        <w:jc w:val="both"/>
        <w:rPr>
          <w:rFonts w:ascii="Arial" w:hAnsi="Arial" w:cs="Arial"/>
          <w:color w:val="auto"/>
          <w:lang w:val="en-GB"/>
        </w:rPr>
      </w:pPr>
      <w:r w:rsidRPr="00062BBE">
        <w:rPr>
          <w:rFonts w:ascii="Arial" w:hAnsi="Arial" w:cs="Arial"/>
          <w:color w:val="auto"/>
          <w:sz w:val="18"/>
          <w:szCs w:val="18"/>
          <w:lang w:val="en-GB"/>
        </w:rPr>
        <w:t>2</w:t>
      </w:r>
      <w:r w:rsidR="002240B9">
        <w:rPr>
          <w:rFonts w:ascii="Arial" w:hAnsi="Arial" w:cs="Arial"/>
          <w:color w:val="auto"/>
          <w:sz w:val="18"/>
          <w:szCs w:val="18"/>
          <w:lang w:val="en-GB"/>
        </w:rPr>
        <w:t>-</w:t>
      </w:r>
      <w:r w:rsidRPr="00062BBE">
        <w:rPr>
          <w:rFonts w:ascii="Arial" w:hAnsi="Arial" w:cs="Arial"/>
          <w:color w:val="auto"/>
          <w:sz w:val="18"/>
          <w:szCs w:val="18"/>
          <w:lang w:val="en-GB"/>
        </w:rPr>
        <w:t>hour plasma glucose in a 75</w:t>
      </w:r>
      <w:r w:rsidR="002F1440">
        <w:rPr>
          <w:rFonts w:ascii="Arial" w:hAnsi="Arial" w:cs="Arial"/>
          <w:color w:val="auto"/>
          <w:sz w:val="18"/>
          <w:szCs w:val="18"/>
          <w:lang w:val="en-GB"/>
        </w:rPr>
        <w:t xml:space="preserve"> </w:t>
      </w:r>
      <w:r w:rsidRPr="00062BBE">
        <w:rPr>
          <w:rFonts w:ascii="Arial" w:hAnsi="Arial" w:cs="Arial"/>
          <w:color w:val="auto"/>
          <w:sz w:val="18"/>
          <w:szCs w:val="18"/>
          <w:lang w:val="en-GB"/>
        </w:rPr>
        <w:t>g oral glucose tolerance test ≥11.1 mmol/l</w:t>
      </w:r>
      <w:r w:rsidR="00062BBE" w:rsidRPr="00062BBE">
        <w:rPr>
          <w:rFonts w:ascii="Arial" w:hAnsi="Arial" w:cs="Arial"/>
          <w:color w:val="auto"/>
          <w:sz w:val="18"/>
          <w:szCs w:val="18"/>
          <w:lang w:val="en-GB"/>
        </w:rPr>
        <w:t>.</w:t>
      </w: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203651" w:rsidRPr="00536F88" w14:paraId="6CCA4680" w14:textId="77777777" w:rsidTr="00F32D46">
        <w:tc>
          <w:tcPr>
            <w:tcW w:w="1134" w:type="dxa"/>
            <w:shd w:val="clear" w:color="auto" w:fill="auto"/>
          </w:tcPr>
          <w:p w14:paraId="7B89B3F9" w14:textId="77777777" w:rsidR="00203651" w:rsidRPr="00536F88" w:rsidRDefault="00203651" w:rsidP="00F32D46">
            <w:pPr>
              <w:jc w:val="right"/>
              <w:rPr>
                <w:b/>
                <w:i/>
                <w:sz w:val="16"/>
                <w:lang w:val="en-GB"/>
              </w:rPr>
            </w:pPr>
            <w:proofErr w:type="spellStart"/>
            <w:proofErr w:type="gramStart"/>
            <w:r w:rsidRPr="00536F88">
              <w:rPr>
                <w:i/>
                <w:sz w:val="16"/>
                <w:lang w:val="en-GB"/>
              </w:rPr>
              <w:t>LoE:III</w:t>
            </w:r>
            <w:proofErr w:type="spellEnd"/>
            <w:proofErr w:type="gramEnd"/>
            <w:r w:rsidRPr="00536F88">
              <w:rPr>
                <w:rStyle w:val="EndnoteReference"/>
                <w:i/>
                <w:sz w:val="16"/>
                <w:lang w:val="en-GB"/>
              </w:rPr>
              <w:endnoteReference w:id="10"/>
            </w:r>
          </w:p>
        </w:tc>
      </w:tr>
    </w:tbl>
    <w:p w14:paraId="26FF7DD5" w14:textId="77777777" w:rsidR="00252EB9" w:rsidRPr="00062BBE" w:rsidRDefault="00252EB9" w:rsidP="00861C3D">
      <w:pPr>
        <w:widowControl w:val="0"/>
        <w:rPr>
          <w:rFonts w:cs="Arial"/>
          <w:color w:val="auto"/>
          <w:lang w:val="en-GB"/>
        </w:rPr>
      </w:pPr>
    </w:p>
    <w:p w14:paraId="328B2C6C" w14:textId="77777777" w:rsidR="00861C3D" w:rsidRPr="002F1440" w:rsidRDefault="00861C3D" w:rsidP="00861C3D">
      <w:pPr>
        <w:widowControl w:val="0"/>
        <w:rPr>
          <w:rFonts w:cs="Arial"/>
          <w:b/>
          <w:color w:val="auto"/>
          <w:lang w:val="en-GB"/>
        </w:rPr>
      </w:pPr>
      <w:r w:rsidRPr="002F1440">
        <w:rPr>
          <w:rFonts w:cs="Arial"/>
          <w:b/>
          <w:color w:val="auto"/>
          <w:lang w:val="en-GB"/>
        </w:rPr>
        <w:t>Classification:</w:t>
      </w:r>
    </w:p>
    <w:p w14:paraId="2033EF1F" w14:textId="5F49317B" w:rsidR="00861C3D" w:rsidRPr="00FD14D7" w:rsidRDefault="00861C3D" w:rsidP="00B73B6F">
      <w:pPr>
        <w:widowControl w:val="0"/>
        <w:contextualSpacing/>
        <w:rPr>
          <w:rFonts w:cs="Arial"/>
          <w:color w:val="auto"/>
          <w:lang w:val="en-GB"/>
        </w:rPr>
      </w:pPr>
      <w:r w:rsidRPr="00062BBE">
        <w:rPr>
          <w:rFonts w:cs="Arial"/>
          <w:color w:val="auto"/>
          <w:lang w:val="en-GB"/>
        </w:rPr>
        <w:t xml:space="preserve">After diabetes mellitus has been diagnosed, attempts must be made to classify the patient as type 1, type 2 or one of the other specific types (including pancreatic diabetes, genetic syndromes, infection and other causes). </w:t>
      </w:r>
      <w:r w:rsidR="00252EB9" w:rsidRPr="00062BBE">
        <w:rPr>
          <w:rFonts w:cs="Arial"/>
          <w:color w:val="auto"/>
          <w:lang w:val="en-GB"/>
        </w:rPr>
        <w:t>For management of g</w:t>
      </w:r>
      <w:r w:rsidRPr="00062BBE">
        <w:rPr>
          <w:rFonts w:cs="Arial"/>
          <w:color w:val="auto"/>
          <w:lang w:val="en-GB"/>
        </w:rPr>
        <w:t>estational diabetes</w:t>
      </w:r>
      <w:r w:rsidR="00252EB9" w:rsidRPr="00062BBE">
        <w:rPr>
          <w:rFonts w:cs="Arial"/>
          <w:color w:val="auto"/>
          <w:lang w:val="en-GB"/>
        </w:rPr>
        <w:t xml:space="preserve">, see </w:t>
      </w:r>
      <w:r w:rsidR="002840C6">
        <w:rPr>
          <w:color w:val="auto"/>
          <w:lang w:val="en-GB"/>
        </w:rPr>
        <w:t>Section</w:t>
      </w:r>
      <w:r w:rsidR="00CC1CF6" w:rsidRPr="00D6340F">
        <w:rPr>
          <w:color w:val="auto"/>
          <w:lang w:val="en-GB"/>
        </w:rPr>
        <w:t xml:space="preserve"> 6.2: Diabetes </w:t>
      </w:r>
      <w:r w:rsidR="00CC1CF6">
        <w:rPr>
          <w:color w:val="auto"/>
          <w:lang w:val="en-GB"/>
        </w:rPr>
        <w:t>m</w:t>
      </w:r>
      <w:r w:rsidR="00CC1CF6" w:rsidRPr="00D6340F">
        <w:rPr>
          <w:color w:val="auto"/>
          <w:lang w:val="en-GB"/>
        </w:rPr>
        <w:t xml:space="preserve">ellitus in </w:t>
      </w:r>
      <w:r w:rsidR="00CC1CF6">
        <w:rPr>
          <w:color w:val="auto"/>
          <w:lang w:val="en-GB"/>
        </w:rPr>
        <w:t>p</w:t>
      </w:r>
      <w:r w:rsidR="00CC1CF6" w:rsidRPr="00D6340F">
        <w:rPr>
          <w:color w:val="auto"/>
          <w:lang w:val="en-GB"/>
        </w:rPr>
        <w:t>regnancy.</w:t>
      </w:r>
    </w:p>
    <w:p w14:paraId="03694178" w14:textId="77777777" w:rsidR="00FD14D7" w:rsidRPr="00FD14D7" w:rsidRDefault="00FD14D7" w:rsidP="0099693E">
      <w:pPr>
        <w:widowControl w:val="0"/>
        <w:jc w:val="left"/>
        <w:rPr>
          <w:rFonts w:cs="Arial"/>
          <w:bCs w:val="0"/>
          <w:color w:val="auto"/>
          <w:u w:val="single"/>
          <w:lang w:val="en-GB"/>
        </w:rPr>
      </w:pPr>
    </w:p>
    <w:p w14:paraId="78015DD3" w14:textId="77777777" w:rsidR="00536F88" w:rsidRPr="00FD14D7" w:rsidRDefault="00340709" w:rsidP="00340709">
      <w:pPr>
        <w:pStyle w:val="Heading5"/>
        <w:rPr>
          <w:rFonts w:cs="Arial"/>
          <w:color w:val="auto"/>
          <w:lang w:val="en-GB"/>
        </w:rPr>
      </w:pPr>
      <w:r w:rsidRPr="00AB44A9">
        <w:rPr>
          <w:rFonts w:cs="Arial"/>
          <w:color w:val="auto"/>
          <w:lang w:val="en-GB"/>
        </w:rPr>
        <w:lastRenderedPageBreak/>
        <w:t>Monitoring</w:t>
      </w: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536F88" w:rsidRPr="00536F88" w14:paraId="36A0992B" w14:textId="77777777" w:rsidTr="007A52FA">
        <w:tc>
          <w:tcPr>
            <w:tcW w:w="1134" w:type="dxa"/>
            <w:shd w:val="clear" w:color="auto" w:fill="auto"/>
          </w:tcPr>
          <w:p w14:paraId="6779618F" w14:textId="77777777" w:rsidR="00536F88" w:rsidRPr="00536F88" w:rsidRDefault="00536F88" w:rsidP="007A52FA">
            <w:pPr>
              <w:jc w:val="right"/>
              <w:rPr>
                <w:b/>
                <w:i/>
                <w:sz w:val="16"/>
                <w:lang w:val="en-GB"/>
              </w:rPr>
            </w:pPr>
            <w:proofErr w:type="spellStart"/>
            <w:proofErr w:type="gramStart"/>
            <w:r w:rsidRPr="00536F88">
              <w:rPr>
                <w:i/>
                <w:sz w:val="16"/>
                <w:lang w:val="en-GB"/>
              </w:rPr>
              <w:t>LoE:III</w:t>
            </w:r>
            <w:proofErr w:type="spellEnd"/>
            <w:proofErr w:type="gramEnd"/>
            <w:r w:rsidRPr="00536F88">
              <w:rPr>
                <w:rStyle w:val="EndnoteReference"/>
                <w:i/>
                <w:sz w:val="16"/>
                <w:lang w:val="en-GB"/>
              </w:rPr>
              <w:endnoteReference w:id="11"/>
            </w:r>
          </w:p>
        </w:tc>
      </w:tr>
    </w:tbl>
    <w:p w14:paraId="4A20E7E1" w14:textId="77777777" w:rsidR="00340709" w:rsidRPr="00536F88" w:rsidRDefault="00340709" w:rsidP="00340709">
      <w:pPr>
        <w:pStyle w:val="Heading5"/>
        <w:rPr>
          <w:rFonts w:cs="Arial"/>
          <w:b w:val="0"/>
          <w:color w:val="auto"/>
          <w:sz w:val="2"/>
          <w:lang w:val="en-GB"/>
        </w:rPr>
      </w:pPr>
    </w:p>
    <w:p w14:paraId="6B6C73BC" w14:textId="77777777" w:rsidR="004D2687" w:rsidRPr="00062BBE" w:rsidRDefault="004D2687" w:rsidP="004D2687">
      <w:pPr>
        <w:autoSpaceDE w:val="0"/>
        <w:autoSpaceDN w:val="0"/>
        <w:adjustRightInd w:val="0"/>
        <w:rPr>
          <w:rFonts w:cs="Arial"/>
          <w:color w:val="auto"/>
          <w:u w:val="single"/>
          <w:lang w:val="en-GB" w:eastAsia="en-ZA"/>
        </w:rPr>
      </w:pPr>
      <w:r w:rsidRPr="00062BBE">
        <w:rPr>
          <w:rFonts w:cs="Arial"/>
          <w:color w:val="auto"/>
          <w:u w:val="single"/>
          <w:lang w:val="en-GB" w:eastAsia="en-ZA"/>
        </w:rPr>
        <w:t>At every visit:</w:t>
      </w:r>
    </w:p>
    <w:p w14:paraId="3AA0DAB3" w14:textId="77777777" w:rsidR="004D2687" w:rsidRPr="005E5337" w:rsidRDefault="004D2687" w:rsidP="007E4E67">
      <w:pPr>
        <w:pStyle w:val="Level1"/>
        <w:numPr>
          <w:ilvl w:val="0"/>
          <w:numId w:val="55"/>
        </w:numPr>
        <w:tabs>
          <w:tab w:val="clear" w:pos="360"/>
        </w:tabs>
        <w:rPr>
          <w:rFonts w:ascii="Arial" w:hAnsi="Arial"/>
          <w:color w:val="auto"/>
          <w:lang w:val="en-GB"/>
        </w:rPr>
      </w:pPr>
      <w:r w:rsidRPr="005E5337">
        <w:rPr>
          <w:rFonts w:ascii="Arial" w:hAnsi="Arial"/>
          <w:color w:val="auto"/>
          <w:lang w:val="en-GB"/>
        </w:rPr>
        <w:t>Finger-prick blood glucose.</w:t>
      </w:r>
    </w:p>
    <w:p w14:paraId="47F2D1FB" w14:textId="77777777" w:rsidR="0014540D" w:rsidRPr="005E5337" w:rsidRDefault="004D2687" w:rsidP="007E4E67">
      <w:pPr>
        <w:pStyle w:val="Level1"/>
        <w:numPr>
          <w:ilvl w:val="0"/>
          <w:numId w:val="55"/>
        </w:numPr>
        <w:tabs>
          <w:tab w:val="clear" w:pos="360"/>
        </w:tabs>
        <w:rPr>
          <w:rFonts w:ascii="Arial" w:hAnsi="Arial"/>
          <w:color w:val="auto"/>
          <w:lang w:val="en-GB"/>
        </w:rPr>
      </w:pPr>
      <w:r w:rsidRPr="005E5337">
        <w:rPr>
          <w:rFonts w:ascii="Arial" w:hAnsi="Arial"/>
          <w:color w:val="auto"/>
          <w:lang w:val="en-GB"/>
        </w:rPr>
        <w:t>Weight</w:t>
      </w:r>
      <w:r w:rsidR="0014540D" w:rsidRPr="005E5337">
        <w:rPr>
          <w:rFonts w:ascii="Arial" w:hAnsi="Arial"/>
          <w:color w:val="auto"/>
          <w:lang w:val="en-GB"/>
        </w:rPr>
        <w:t xml:space="preserve"> and calculation of body mass index</w:t>
      </w:r>
      <w:r w:rsidR="00062BBE" w:rsidRPr="005E5337">
        <w:rPr>
          <w:rFonts w:ascii="Arial" w:hAnsi="Arial"/>
          <w:color w:val="auto"/>
          <w:lang w:val="en-GB"/>
        </w:rPr>
        <w:t>.</w:t>
      </w:r>
    </w:p>
    <w:p w14:paraId="496E5290" w14:textId="77777777" w:rsidR="00B73B6F" w:rsidRPr="005E5337" w:rsidRDefault="0014540D" w:rsidP="007E4E67">
      <w:pPr>
        <w:pStyle w:val="Level1"/>
        <w:numPr>
          <w:ilvl w:val="0"/>
          <w:numId w:val="55"/>
        </w:numPr>
        <w:tabs>
          <w:tab w:val="clear" w:pos="360"/>
        </w:tabs>
        <w:rPr>
          <w:rFonts w:ascii="Arial" w:hAnsi="Arial"/>
          <w:color w:val="auto"/>
          <w:lang w:val="en-GB"/>
        </w:rPr>
      </w:pPr>
      <w:r w:rsidRPr="005E5337">
        <w:rPr>
          <w:rFonts w:ascii="Arial" w:hAnsi="Arial"/>
          <w:color w:val="auto"/>
          <w:lang w:val="en-GB"/>
        </w:rPr>
        <w:t>Waist circumference</w:t>
      </w:r>
      <w:r w:rsidR="00B73B6F" w:rsidRPr="005E5337">
        <w:rPr>
          <w:rFonts w:ascii="Arial" w:hAnsi="Arial"/>
          <w:color w:val="auto"/>
          <w:lang w:val="en-GB"/>
        </w:rPr>
        <w:t>.</w:t>
      </w:r>
    </w:p>
    <w:p w14:paraId="286249FC" w14:textId="77777777" w:rsidR="0014540D" w:rsidRPr="00062BBE" w:rsidRDefault="004D2687" w:rsidP="007E4E67">
      <w:pPr>
        <w:pStyle w:val="Level1"/>
        <w:numPr>
          <w:ilvl w:val="0"/>
          <w:numId w:val="55"/>
        </w:numPr>
        <w:tabs>
          <w:tab w:val="clear" w:pos="360"/>
        </w:tabs>
        <w:rPr>
          <w:rFonts w:ascii="Arial" w:hAnsi="Arial"/>
          <w:color w:val="auto"/>
          <w:lang w:val="en-GB"/>
        </w:rPr>
      </w:pPr>
      <w:r w:rsidRPr="005E5337">
        <w:rPr>
          <w:rFonts w:ascii="Arial" w:hAnsi="Arial"/>
          <w:color w:val="auto"/>
          <w:lang w:val="en-GB"/>
        </w:rPr>
        <w:t>Blood pressure</w:t>
      </w:r>
      <w:r w:rsidR="00B73B6F" w:rsidRPr="005E5337">
        <w:rPr>
          <w:rFonts w:ascii="Arial" w:hAnsi="Arial"/>
          <w:color w:val="auto"/>
          <w:lang w:val="en-GB"/>
        </w:rPr>
        <w:t>.</w:t>
      </w:r>
    </w:p>
    <w:p w14:paraId="5DBD230F" w14:textId="77777777" w:rsidR="004D2687" w:rsidRPr="00062BBE" w:rsidRDefault="004D2687" w:rsidP="004D2687">
      <w:pPr>
        <w:rPr>
          <w:color w:val="auto"/>
          <w:u w:val="single"/>
          <w:lang w:val="en-GB"/>
        </w:rPr>
      </w:pPr>
    </w:p>
    <w:p w14:paraId="3BF6E079" w14:textId="77777777" w:rsidR="004D2687" w:rsidRPr="00062BBE" w:rsidRDefault="004D2687" w:rsidP="005E5337">
      <w:pPr>
        <w:rPr>
          <w:color w:val="auto"/>
          <w:u w:val="single"/>
          <w:lang w:val="en-GB"/>
        </w:rPr>
      </w:pPr>
      <w:r w:rsidRPr="00062BBE">
        <w:rPr>
          <w:color w:val="auto"/>
          <w:u w:val="single"/>
          <w:lang w:val="en-GB"/>
        </w:rPr>
        <w:t>Baseline:</w:t>
      </w:r>
    </w:p>
    <w:p w14:paraId="090E5CA0" w14:textId="77777777" w:rsidR="004D2687" w:rsidRPr="003B28E5" w:rsidRDefault="004D2687" w:rsidP="007E4E67">
      <w:pPr>
        <w:pStyle w:val="Level1"/>
        <w:numPr>
          <w:ilvl w:val="0"/>
          <w:numId w:val="55"/>
        </w:numPr>
        <w:tabs>
          <w:tab w:val="clear" w:pos="360"/>
        </w:tabs>
        <w:rPr>
          <w:rFonts w:ascii="Arial" w:hAnsi="Arial"/>
          <w:lang w:val="en-GB"/>
        </w:rPr>
      </w:pPr>
      <w:r w:rsidRPr="00062BBE">
        <w:rPr>
          <w:rFonts w:ascii="Arial" w:hAnsi="Arial"/>
          <w:color w:val="auto"/>
          <w:lang w:val="en-GB"/>
        </w:rPr>
        <w:t>Serum creatinine concentration (and calculate estimated glomerular filtration rate (eGFR)).</w:t>
      </w:r>
    </w:p>
    <w:p w14:paraId="0704115D" w14:textId="60EA5C6F" w:rsidR="004D2687" w:rsidRPr="00C02EBC" w:rsidRDefault="004D2687" w:rsidP="007E4E67">
      <w:pPr>
        <w:pStyle w:val="Level1"/>
        <w:numPr>
          <w:ilvl w:val="0"/>
          <w:numId w:val="55"/>
        </w:numPr>
        <w:tabs>
          <w:tab w:val="clear" w:pos="360"/>
        </w:tabs>
        <w:rPr>
          <w:rFonts w:ascii="Arial" w:hAnsi="Arial"/>
          <w:spacing w:val="-4"/>
          <w:lang w:val="en-GB"/>
        </w:rPr>
      </w:pPr>
      <w:r w:rsidRPr="00C02EBC">
        <w:rPr>
          <w:rFonts w:ascii="Arial" w:hAnsi="Arial"/>
          <w:spacing w:val="-4"/>
          <w:lang w:val="en-GB"/>
        </w:rPr>
        <w:t>Serum potassium concentration, if on ACE-inhibitor or eGFR</w:t>
      </w:r>
      <w:r w:rsidR="002F1440" w:rsidRPr="00C02EBC">
        <w:rPr>
          <w:rFonts w:ascii="Arial" w:hAnsi="Arial"/>
          <w:spacing w:val="-4"/>
          <w:lang w:val="en-GB"/>
        </w:rPr>
        <w:t xml:space="preserve"> </w:t>
      </w:r>
      <w:r w:rsidRPr="00C02EBC">
        <w:rPr>
          <w:rFonts w:ascii="Arial" w:hAnsi="Arial"/>
          <w:spacing w:val="-4"/>
          <w:lang w:val="en-GB"/>
        </w:rPr>
        <w:t>&lt;30 mL/min</w:t>
      </w:r>
      <w:r w:rsidR="00C02EBC" w:rsidRPr="00C02EBC">
        <w:rPr>
          <w:rFonts w:ascii="Arial" w:hAnsi="Arial"/>
          <w:spacing w:val="-4"/>
          <w:lang w:val="en-GB"/>
        </w:rPr>
        <w:t>ute</w:t>
      </w:r>
      <w:r w:rsidRPr="00C02EBC">
        <w:rPr>
          <w:rFonts w:ascii="Arial" w:hAnsi="Arial"/>
          <w:spacing w:val="-4"/>
          <w:lang w:val="en-GB"/>
        </w:rPr>
        <w:t>.</w:t>
      </w:r>
    </w:p>
    <w:p w14:paraId="421AC8D8" w14:textId="77777777" w:rsidR="004D2687" w:rsidRPr="003B28E5" w:rsidRDefault="004D2687" w:rsidP="007E4E67">
      <w:pPr>
        <w:pStyle w:val="Level1"/>
        <w:numPr>
          <w:ilvl w:val="0"/>
          <w:numId w:val="55"/>
        </w:numPr>
        <w:tabs>
          <w:tab w:val="clear" w:pos="360"/>
        </w:tabs>
        <w:rPr>
          <w:rFonts w:ascii="Arial" w:hAnsi="Arial"/>
          <w:lang w:val="en-GB"/>
        </w:rPr>
      </w:pPr>
      <w:r w:rsidRPr="003B28E5">
        <w:rPr>
          <w:rFonts w:ascii="Arial" w:hAnsi="Arial"/>
          <w:lang w:val="en-GB"/>
        </w:rPr>
        <w:t xml:space="preserve">Urine protein by </w:t>
      </w:r>
      <w:r w:rsidRPr="00B73B6F">
        <w:rPr>
          <w:rFonts w:ascii="Arial" w:hAnsi="Arial"/>
          <w:color w:val="auto"/>
          <w:lang w:val="en-GB"/>
        </w:rPr>
        <w:t>dipsti</w:t>
      </w:r>
      <w:r w:rsidR="005E5337">
        <w:rPr>
          <w:rFonts w:ascii="Arial" w:hAnsi="Arial"/>
          <w:color w:val="auto"/>
          <w:lang w:val="en-GB"/>
        </w:rPr>
        <w:t>c</w:t>
      </w:r>
      <w:r w:rsidR="00DB6930" w:rsidRPr="00B73B6F">
        <w:rPr>
          <w:rFonts w:ascii="Arial" w:hAnsi="Arial"/>
          <w:color w:val="auto"/>
          <w:lang w:val="en-GB"/>
        </w:rPr>
        <w:t>k.</w:t>
      </w:r>
    </w:p>
    <w:p w14:paraId="1897D8D1" w14:textId="7D516BD1" w:rsidR="004D2687" w:rsidRPr="00D6340F" w:rsidRDefault="004D2687" w:rsidP="007E4E67">
      <w:pPr>
        <w:numPr>
          <w:ilvl w:val="0"/>
          <w:numId w:val="56"/>
        </w:numPr>
        <w:tabs>
          <w:tab w:val="clear" w:pos="572"/>
          <w:tab w:val="num" w:pos="709"/>
        </w:tabs>
        <w:ind w:left="709" w:hanging="283"/>
        <w:rPr>
          <w:spacing w:val="-2"/>
          <w:lang w:val="en-GB"/>
        </w:rPr>
      </w:pPr>
      <w:r w:rsidRPr="00D6340F">
        <w:rPr>
          <w:spacing w:val="-2"/>
          <w:lang w:val="en-GB"/>
        </w:rPr>
        <w:t xml:space="preserve">If </w:t>
      </w:r>
      <w:r w:rsidR="005E5337" w:rsidRPr="00D6340F">
        <w:rPr>
          <w:spacing w:val="-2"/>
          <w:lang w:val="en-GB"/>
        </w:rPr>
        <w:t>dipsti</w:t>
      </w:r>
      <w:r w:rsidR="005E5337">
        <w:rPr>
          <w:spacing w:val="-2"/>
          <w:lang w:val="en-GB"/>
        </w:rPr>
        <w:t>ck</w:t>
      </w:r>
      <w:r w:rsidR="005E5337" w:rsidRPr="00D6340F">
        <w:rPr>
          <w:spacing w:val="-2"/>
          <w:lang w:val="en-GB"/>
        </w:rPr>
        <w:t xml:space="preserve"> </w:t>
      </w:r>
      <w:r w:rsidRPr="00D6340F">
        <w:rPr>
          <w:spacing w:val="-2"/>
          <w:lang w:val="en-GB"/>
        </w:rPr>
        <w:t xml:space="preserve">negative, request </w:t>
      </w:r>
      <w:r w:rsidR="00363760">
        <w:rPr>
          <w:spacing w:val="-2"/>
          <w:lang w:val="en-GB"/>
        </w:rPr>
        <w:t>ACR</w:t>
      </w:r>
      <w:r w:rsidRPr="00D6340F">
        <w:rPr>
          <w:spacing w:val="-2"/>
          <w:lang w:val="en-GB"/>
        </w:rPr>
        <w:t xml:space="preserve">, unless already on an ACE-inhibitor - </w:t>
      </w:r>
      <w:r w:rsidRPr="00D6340F">
        <w:rPr>
          <w:rFonts w:cs="Arial"/>
          <w:color w:val="auto"/>
          <w:lang w:val="en-GB"/>
        </w:rPr>
        <w:t>microalbuminuria is defined as 2.5 to 25 mg/mmol in men, and 3.5 to 35 mg/mmol in women</w:t>
      </w:r>
      <w:r w:rsidR="006A2328">
        <w:rPr>
          <w:rFonts w:cs="Arial"/>
          <w:color w:val="auto"/>
          <w:lang w:val="en-GB"/>
        </w:rPr>
        <w:t xml:space="preserve"> </w:t>
      </w:r>
      <w:r w:rsidRPr="00D6340F">
        <w:rPr>
          <w:spacing w:val="-2"/>
          <w:lang w:val="en-GB"/>
        </w:rPr>
        <w:t>(</w:t>
      </w:r>
      <w:r w:rsidR="002240B9">
        <w:rPr>
          <w:spacing w:val="-2"/>
          <w:lang w:val="en-GB"/>
        </w:rPr>
        <w:t>s</w:t>
      </w:r>
      <w:r w:rsidRPr="00D6340F">
        <w:rPr>
          <w:spacing w:val="-2"/>
          <w:lang w:val="en-GB"/>
        </w:rPr>
        <w:t xml:space="preserve">ee </w:t>
      </w:r>
      <w:r w:rsidR="002840C6">
        <w:rPr>
          <w:spacing w:val="-2"/>
          <w:lang w:val="en-GB"/>
        </w:rPr>
        <w:t>Section</w:t>
      </w:r>
      <w:r w:rsidRPr="00D6340F">
        <w:rPr>
          <w:spacing w:val="-2"/>
          <w:lang w:val="en-GB"/>
        </w:rPr>
        <w:t xml:space="preserve"> 8.7.</w:t>
      </w:r>
      <w:r w:rsidR="00870795">
        <w:rPr>
          <w:spacing w:val="-2"/>
          <w:lang w:val="en-GB"/>
        </w:rPr>
        <w:t>2</w:t>
      </w:r>
      <w:r w:rsidRPr="00D6340F">
        <w:rPr>
          <w:spacing w:val="-2"/>
          <w:lang w:val="en-GB"/>
        </w:rPr>
        <w:t xml:space="preserve">: Diabetic </w:t>
      </w:r>
      <w:r w:rsidR="00870795">
        <w:rPr>
          <w:spacing w:val="-2"/>
          <w:lang w:val="en-GB"/>
        </w:rPr>
        <w:t>kidney disease</w:t>
      </w:r>
      <w:r w:rsidRPr="00D6340F">
        <w:rPr>
          <w:spacing w:val="-2"/>
          <w:lang w:val="en-GB"/>
        </w:rPr>
        <w:t>).</w:t>
      </w:r>
    </w:p>
    <w:p w14:paraId="1465954E" w14:textId="64325182" w:rsidR="004D2687" w:rsidRPr="00D6340F" w:rsidRDefault="004D2687" w:rsidP="007E4E67">
      <w:pPr>
        <w:numPr>
          <w:ilvl w:val="0"/>
          <w:numId w:val="56"/>
        </w:numPr>
        <w:tabs>
          <w:tab w:val="clear" w:pos="572"/>
          <w:tab w:val="num" w:pos="709"/>
        </w:tabs>
        <w:ind w:left="709" w:hanging="283"/>
        <w:rPr>
          <w:lang w:val="en-GB"/>
        </w:rPr>
      </w:pPr>
      <w:r w:rsidRPr="00D6340F">
        <w:rPr>
          <w:lang w:val="en-GB"/>
        </w:rPr>
        <w:t xml:space="preserve">If </w:t>
      </w:r>
      <w:r w:rsidR="005E5337" w:rsidRPr="00D6340F">
        <w:rPr>
          <w:lang w:val="en-GB"/>
        </w:rPr>
        <w:t>dipsti</w:t>
      </w:r>
      <w:r w:rsidR="005E5337">
        <w:rPr>
          <w:lang w:val="en-GB"/>
        </w:rPr>
        <w:t>ck</w:t>
      </w:r>
      <w:r w:rsidR="005E5337" w:rsidRPr="00D6340F">
        <w:rPr>
          <w:lang w:val="en-GB"/>
        </w:rPr>
        <w:t xml:space="preserve"> </w:t>
      </w:r>
      <w:r w:rsidRPr="00D6340F">
        <w:rPr>
          <w:lang w:val="en-GB"/>
        </w:rPr>
        <w:t xml:space="preserve">positive, see </w:t>
      </w:r>
      <w:r w:rsidR="002840C6">
        <w:rPr>
          <w:lang w:val="en-GB"/>
        </w:rPr>
        <w:t>Section</w:t>
      </w:r>
      <w:r w:rsidRPr="00D6340F">
        <w:rPr>
          <w:lang w:val="en-GB"/>
        </w:rPr>
        <w:t xml:space="preserve"> </w:t>
      </w:r>
      <w:r w:rsidRPr="00D6340F">
        <w:rPr>
          <w:spacing w:val="-2"/>
          <w:lang w:val="en-GB"/>
        </w:rPr>
        <w:t>8.7.</w:t>
      </w:r>
      <w:r w:rsidR="00870795">
        <w:rPr>
          <w:spacing w:val="-2"/>
          <w:lang w:val="en-GB"/>
        </w:rPr>
        <w:t>2</w:t>
      </w:r>
      <w:r w:rsidRPr="00D6340F">
        <w:rPr>
          <w:spacing w:val="-2"/>
          <w:lang w:val="en-GB"/>
        </w:rPr>
        <w:t xml:space="preserve">: Diabetic </w:t>
      </w:r>
      <w:r w:rsidR="00870795">
        <w:rPr>
          <w:spacing w:val="-2"/>
          <w:lang w:val="en-GB"/>
        </w:rPr>
        <w:t>kidney disease.</w:t>
      </w:r>
    </w:p>
    <w:p w14:paraId="181DA0D6" w14:textId="77777777" w:rsidR="004D2687" w:rsidRPr="003B28E5" w:rsidRDefault="004D2687" w:rsidP="007E4E67">
      <w:pPr>
        <w:pStyle w:val="Level1"/>
        <w:numPr>
          <w:ilvl w:val="0"/>
          <w:numId w:val="55"/>
        </w:numPr>
        <w:tabs>
          <w:tab w:val="clear" w:pos="360"/>
        </w:tabs>
        <w:rPr>
          <w:rFonts w:ascii="Arial" w:hAnsi="Arial"/>
          <w:lang w:val="en-GB"/>
        </w:rPr>
      </w:pPr>
      <w:r w:rsidRPr="003B28E5">
        <w:rPr>
          <w:rFonts w:ascii="Arial" w:hAnsi="Arial"/>
          <w:lang w:val="en-GB"/>
        </w:rPr>
        <w:t>Blood lipids (fasting total cholesterol, triglycerides, HDL and LDL cholesterol).</w:t>
      </w:r>
    </w:p>
    <w:p w14:paraId="43B000DE" w14:textId="77777777" w:rsidR="004D2687" w:rsidRPr="003B28E5" w:rsidRDefault="004D2687" w:rsidP="007E4E67">
      <w:pPr>
        <w:pStyle w:val="Level1"/>
        <w:numPr>
          <w:ilvl w:val="0"/>
          <w:numId w:val="55"/>
        </w:numPr>
        <w:tabs>
          <w:tab w:val="clear" w:pos="360"/>
        </w:tabs>
        <w:rPr>
          <w:rFonts w:ascii="Arial" w:hAnsi="Arial"/>
          <w:lang w:val="en-GB"/>
        </w:rPr>
      </w:pPr>
      <w:r w:rsidRPr="003B28E5">
        <w:rPr>
          <w:rFonts w:ascii="Arial" w:hAnsi="Arial"/>
          <w:lang w:val="en-GB"/>
        </w:rPr>
        <w:t>Foot examination.</w:t>
      </w:r>
    </w:p>
    <w:p w14:paraId="521E174B" w14:textId="77777777" w:rsidR="004D2687" w:rsidRPr="003B28E5" w:rsidRDefault="004D2687" w:rsidP="007E4E67">
      <w:pPr>
        <w:pStyle w:val="Level1"/>
        <w:numPr>
          <w:ilvl w:val="0"/>
          <w:numId w:val="55"/>
        </w:numPr>
        <w:tabs>
          <w:tab w:val="clear" w:pos="360"/>
        </w:tabs>
        <w:rPr>
          <w:rFonts w:ascii="Arial" w:hAnsi="Arial"/>
          <w:lang w:val="en-GB"/>
        </w:rPr>
      </w:pPr>
      <w:r w:rsidRPr="003B28E5">
        <w:rPr>
          <w:rFonts w:ascii="Arial" w:hAnsi="Arial"/>
          <w:lang w:val="en-GB"/>
        </w:rPr>
        <w:t>Eye examination to look for retinopathy.</w:t>
      </w:r>
    </w:p>
    <w:p w14:paraId="67707F7F" w14:textId="77777777" w:rsidR="004D2687" w:rsidRPr="003B28E5" w:rsidRDefault="00B73B6F" w:rsidP="007E4E67">
      <w:pPr>
        <w:pStyle w:val="Level1"/>
        <w:numPr>
          <w:ilvl w:val="0"/>
          <w:numId w:val="55"/>
        </w:numPr>
        <w:tabs>
          <w:tab w:val="clear" w:pos="360"/>
        </w:tabs>
        <w:rPr>
          <w:rFonts w:ascii="Arial" w:hAnsi="Arial"/>
          <w:lang w:val="en-GB"/>
        </w:rPr>
      </w:pPr>
      <w:r>
        <w:rPr>
          <w:rFonts w:ascii="Arial" w:hAnsi="Arial"/>
          <w:lang w:val="en-GB"/>
        </w:rPr>
        <w:t>Waist</w:t>
      </w:r>
      <w:r w:rsidRPr="003B28E5">
        <w:rPr>
          <w:rFonts w:ascii="Arial" w:hAnsi="Arial"/>
          <w:lang w:val="en-GB"/>
        </w:rPr>
        <w:t xml:space="preserve"> </w:t>
      </w:r>
      <w:r w:rsidR="004D2687" w:rsidRPr="003B28E5">
        <w:rPr>
          <w:rFonts w:ascii="Arial" w:hAnsi="Arial"/>
          <w:lang w:val="en-GB"/>
        </w:rPr>
        <w:t>circumference.</w:t>
      </w:r>
    </w:p>
    <w:p w14:paraId="61D81083" w14:textId="77777777" w:rsidR="00062BBE" w:rsidRDefault="00062BBE" w:rsidP="004D2687">
      <w:pPr>
        <w:autoSpaceDE w:val="0"/>
        <w:autoSpaceDN w:val="0"/>
        <w:adjustRightInd w:val="0"/>
        <w:rPr>
          <w:rFonts w:cs="Arial"/>
          <w:u w:val="single"/>
          <w:lang w:val="en-GB" w:eastAsia="en-ZA"/>
        </w:rPr>
      </w:pPr>
    </w:p>
    <w:p w14:paraId="38FE6894" w14:textId="77777777" w:rsidR="005E5337" w:rsidRPr="00D6340F" w:rsidRDefault="005E5337" w:rsidP="005E5337">
      <w:pPr>
        <w:pStyle w:val="ep4"/>
        <w:numPr>
          <w:ilvl w:val="0"/>
          <w:numId w:val="0"/>
        </w:numPr>
        <w:rPr>
          <w:u w:val="single"/>
          <w:lang w:val="en-GB"/>
        </w:rPr>
      </w:pPr>
      <w:r w:rsidRPr="00D6340F">
        <w:rPr>
          <w:u w:val="single"/>
          <w:lang w:val="en-GB"/>
        </w:rPr>
        <w:t>Measure HbA</w:t>
      </w:r>
      <w:r w:rsidRPr="006759C5">
        <w:rPr>
          <w:u w:val="single"/>
          <w:lang w:val="en-GB"/>
        </w:rPr>
        <w:t>1c</w:t>
      </w:r>
      <w:r w:rsidRPr="00D6340F">
        <w:rPr>
          <w:u w:val="single"/>
          <w:lang w:val="en-GB"/>
        </w:rPr>
        <w:t>:</w:t>
      </w:r>
    </w:p>
    <w:p w14:paraId="12FEBA54" w14:textId="77777777" w:rsidR="005E5337" w:rsidRPr="00D6340F" w:rsidRDefault="005E5337" w:rsidP="005E5337">
      <w:pPr>
        <w:pStyle w:val="ep4"/>
        <w:numPr>
          <w:ilvl w:val="0"/>
          <w:numId w:val="10"/>
        </w:numPr>
        <w:ind w:left="284" w:hanging="284"/>
        <w:rPr>
          <w:lang w:val="en-GB"/>
        </w:rPr>
      </w:pPr>
      <w:r w:rsidRPr="00D6340F">
        <w:rPr>
          <w:color w:val="auto"/>
          <w:lang w:val="en-GB"/>
        </w:rPr>
        <w:t xml:space="preserve">6-monthly </w:t>
      </w:r>
      <w:r w:rsidRPr="00D6340F">
        <w:rPr>
          <w:lang w:val="en-GB"/>
        </w:rPr>
        <w:t>in patients who meet treatment goals, and</w:t>
      </w:r>
    </w:p>
    <w:p w14:paraId="513EE3B5" w14:textId="77777777" w:rsidR="005E5337" w:rsidRPr="00D6340F" w:rsidRDefault="005E5337" w:rsidP="005E5337">
      <w:pPr>
        <w:pStyle w:val="ep4"/>
        <w:numPr>
          <w:ilvl w:val="0"/>
          <w:numId w:val="10"/>
        </w:numPr>
        <w:ind w:left="284" w:hanging="284"/>
        <w:rPr>
          <w:lang w:val="en-GB"/>
        </w:rPr>
      </w:pPr>
      <w:r w:rsidRPr="00D6340F">
        <w:rPr>
          <w:lang w:val="en-GB"/>
        </w:rPr>
        <w:t xml:space="preserve">3-monthly in patients whose </w:t>
      </w:r>
      <w:r w:rsidRPr="00D6340F">
        <w:rPr>
          <w:color w:val="auto"/>
          <w:lang w:val="en-GB"/>
        </w:rPr>
        <w:t>control is sub-optimal or if</w:t>
      </w:r>
      <w:r>
        <w:rPr>
          <w:color w:val="auto"/>
          <w:lang w:val="en-GB"/>
        </w:rPr>
        <w:t xml:space="preserve"> </w:t>
      </w:r>
      <w:r w:rsidRPr="00D6340F">
        <w:rPr>
          <w:lang w:val="en-GB"/>
        </w:rPr>
        <w:t>therapy has changed, until stable.</w:t>
      </w:r>
    </w:p>
    <w:p w14:paraId="74B2839F" w14:textId="77777777" w:rsidR="005E5337" w:rsidRDefault="005E5337" w:rsidP="005E5337">
      <w:pPr>
        <w:autoSpaceDE w:val="0"/>
        <w:autoSpaceDN w:val="0"/>
        <w:adjustRightInd w:val="0"/>
        <w:rPr>
          <w:color w:val="auto"/>
          <w:lang w:val="en-GB"/>
        </w:rPr>
      </w:pPr>
      <w:r w:rsidRPr="00D6340F">
        <w:rPr>
          <w:b/>
          <w:color w:val="auto"/>
          <w:lang w:val="en-GB"/>
        </w:rPr>
        <w:t>Note</w:t>
      </w:r>
      <w:r w:rsidRPr="00D6340F">
        <w:rPr>
          <w:color w:val="auto"/>
          <w:lang w:val="en-GB"/>
        </w:rPr>
        <w:t>: Monitoring of HbA</w:t>
      </w:r>
      <w:r w:rsidRPr="006759C5">
        <w:rPr>
          <w:color w:val="auto"/>
          <w:lang w:val="en-GB"/>
        </w:rPr>
        <w:t>1c</w:t>
      </w:r>
      <w:r w:rsidR="006759C5">
        <w:rPr>
          <w:color w:val="auto"/>
          <w:lang w:val="en-GB"/>
        </w:rPr>
        <w:t xml:space="preserve"> </w:t>
      </w:r>
      <w:r w:rsidRPr="00D6340F">
        <w:rPr>
          <w:color w:val="auto"/>
          <w:lang w:val="en-GB"/>
        </w:rPr>
        <w:t>implies that active clinical management</w:t>
      </w:r>
      <w:r>
        <w:rPr>
          <w:color w:val="auto"/>
          <w:lang w:val="en-GB"/>
        </w:rPr>
        <w:t xml:space="preserve"> </w:t>
      </w:r>
      <w:r w:rsidRPr="00D6340F">
        <w:rPr>
          <w:color w:val="auto"/>
          <w:lang w:val="en-GB"/>
        </w:rPr>
        <w:t>will be implemented if the level is sub-optimal.</w:t>
      </w:r>
    </w:p>
    <w:p w14:paraId="7F70680A" w14:textId="77777777" w:rsidR="005E5337" w:rsidRDefault="005E5337" w:rsidP="005E5337">
      <w:pPr>
        <w:autoSpaceDE w:val="0"/>
        <w:autoSpaceDN w:val="0"/>
        <w:adjustRightInd w:val="0"/>
        <w:rPr>
          <w:rFonts w:cs="Arial"/>
          <w:u w:val="single"/>
          <w:lang w:val="en-GB" w:eastAsia="en-ZA"/>
        </w:rPr>
      </w:pPr>
    </w:p>
    <w:p w14:paraId="16543C73" w14:textId="77777777" w:rsidR="004D2687" w:rsidRPr="00D6340F" w:rsidRDefault="004D2687" w:rsidP="004D2687">
      <w:pPr>
        <w:autoSpaceDE w:val="0"/>
        <w:autoSpaceDN w:val="0"/>
        <w:adjustRightInd w:val="0"/>
        <w:rPr>
          <w:rFonts w:cs="Arial"/>
          <w:u w:val="single"/>
          <w:lang w:val="en-GB" w:eastAsia="en-ZA"/>
        </w:rPr>
      </w:pPr>
      <w:r w:rsidRPr="00D6340F">
        <w:rPr>
          <w:rFonts w:cs="Arial"/>
          <w:u w:val="single"/>
          <w:lang w:val="en-GB" w:eastAsia="en-ZA"/>
        </w:rPr>
        <w:t>Annually:</w:t>
      </w:r>
    </w:p>
    <w:p w14:paraId="389FC226" w14:textId="77777777" w:rsidR="004D2687" w:rsidRPr="003B28E5" w:rsidRDefault="004D2687" w:rsidP="007E4E67">
      <w:pPr>
        <w:pStyle w:val="Level1"/>
        <w:numPr>
          <w:ilvl w:val="0"/>
          <w:numId w:val="55"/>
        </w:numPr>
        <w:tabs>
          <w:tab w:val="clear" w:pos="360"/>
        </w:tabs>
        <w:rPr>
          <w:rFonts w:ascii="Arial" w:hAnsi="Arial"/>
          <w:lang w:val="en-GB"/>
        </w:rPr>
      </w:pPr>
      <w:r w:rsidRPr="003B28E5">
        <w:rPr>
          <w:rFonts w:ascii="Arial" w:hAnsi="Arial"/>
          <w:lang w:val="en-GB"/>
        </w:rPr>
        <w:t>Serum creatinine concentration</w:t>
      </w:r>
      <w:r w:rsidR="00412486" w:rsidRPr="003B28E5">
        <w:rPr>
          <w:rFonts w:ascii="Arial" w:hAnsi="Arial"/>
          <w:lang w:val="en-GB"/>
        </w:rPr>
        <w:t xml:space="preserve"> </w:t>
      </w:r>
      <w:r w:rsidRPr="003B28E5">
        <w:rPr>
          <w:rFonts w:ascii="Arial" w:hAnsi="Arial"/>
          <w:lang w:val="en-GB"/>
        </w:rPr>
        <w:t>(and calculate eGFR).</w:t>
      </w:r>
    </w:p>
    <w:p w14:paraId="63E7F263" w14:textId="006C05B0" w:rsidR="003C1960" w:rsidRPr="00C02EBC" w:rsidRDefault="004D2687" w:rsidP="007E4E67">
      <w:pPr>
        <w:pStyle w:val="Level1"/>
        <w:numPr>
          <w:ilvl w:val="0"/>
          <w:numId w:val="55"/>
        </w:numPr>
        <w:tabs>
          <w:tab w:val="clear" w:pos="360"/>
        </w:tabs>
        <w:rPr>
          <w:rFonts w:ascii="Arial Narrow" w:hAnsi="Arial Narrow"/>
          <w:b/>
          <w:strike/>
          <w:color w:val="548DD4" w:themeColor="text2" w:themeTint="99"/>
          <w:spacing w:val="-4"/>
          <w:u w:val="single"/>
          <w:lang w:val="en-GB"/>
        </w:rPr>
      </w:pPr>
      <w:r w:rsidRPr="00C02EBC">
        <w:rPr>
          <w:rFonts w:ascii="Arial" w:hAnsi="Arial"/>
          <w:spacing w:val="-4"/>
          <w:lang w:val="en-GB"/>
        </w:rPr>
        <w:t>Serum potassium concentration</w:t>
      </w:r>
      <w:r w:rsidR="003B28E5" w:rsidRPr="00C02EBC">
        <w:rPr>
          <w:rFonts w:ascii="Arial" w:hAnsi="Arial"/>
          <w:spacing w:val="-4"/>
          <w:lang w:val="en-GB"/>
        </w:rPr>
        <w:t xml:space="preserve"> (</w:t>
      </w:r>
      <w:r w:rsidR="004A162C" w:rsidRPr="00C02EBC">
        <w:rPr>
          <w:rFonts w:ascii="Arial" w:hAnsi="Arial"/>
          <w:spacing w:val="-4"/>
          <w:lang w:val="en-GB"/>
        </w:rPr>
        <w:t xml:space="preserve">if </w:t>
      </w:r>
      <w:r w:rsidRPr="00C02EBC">
        <w:rPr>
          <w:rFonts w:ascii="Arial" w:hAnsi="Arial"/>
          <w:spacing w:val="-4"/>
          <w:lang w:val="en-GB"/>
        </w:rPr>
        <w:t>on ACE-inhibitor</w:t>
      </w:r>
      <w:r w:rsidR="003B28E5" w:rsidRPr="00C02EBC">
        <w:rPr>
          <w:rFonts w:ascii="Arial" w:hAnsi="Arial"/>
          <w:spacing w:val="-4"/>
          <w:lang w:val="en-GB"/>
        </w:rPr>
        <w:t>/</w:t>
      </w:r>
      <w:r w:rsidRPr="00C02EBC">
        <w:rPr>
          <w:rFonts w:ascii="Arial" w:hAnsi="Arial"/>
          <w:spacing w:val="-4"/>
          <w:lang w:val="en-GB"/>
        </w:rPr>
        <w:t xml:space="preserve"> eGFR</w:t>
      </w:r>
      <w:r w:rsidR="006A2328" w:rsidRPr="00C02EBC">
        <w:rPr>
          <w:rFonts w:ascii="Arial" w:hAnsi="Arial"/>
          <w:spacing w:val="-4"/>
          <w:lang w:val="en-GB"/>
        </w:rPr>
        <w:t xml:space="preserve"> </w:t>
      </w:r>
      <w:r w:rsidRPr="00C02EBC">
        <w:rPr>
          <w:rFonts w:ascii="Arial" w:hAnsi="Arial"/>
          <w:spacing w:val="-4"/>
          <w:lang w:val="en-GB"/>
        </w:rPr>
        <w:t>&lt;30</w:t>
      </w:r>
      <w:r w:rsidR="006A2328" w:rsidRPr="00C02EBC">
        <w:rPr>
          <w:rFonts w:ascii="Arial" w:hAnsi="Arial"/>
          <w:spacing w:val="-4"/>
          <w:lang w:val="en-GB"/>
        </w:rPr>
        <w:t xml:space="preserve"> </w:t>
      </w:r>
      <w:r w:rsidRPr="00C02EBC">
        <w:rPr>
          <w:rFonts w:ascii="Arial" w:hAnsi="Arial"/>
          <w:spacing w:val="-4"/>
          <w:lang w:val="en-GB"/>
        </w:rPr>
        <w:t>mL/min</w:t>
      </w:r>
      <w:r w:rsidR="00C02EBC" w:rsidRPr="00C02EBC">
        <w:rPr>
          <w:rFonts w:ascii="Arial" w:hAnsi="Arial"/>
          <w:spacing w:val="-4"/>
          <w:lang w:val="en-GB"/>
        </w:rPr>
        <w:t>ute</w:t>
      </w:r>
      <w:r w:rsidR="003B28E5" w:rsidRPr="00C02EBC">
        <w:rPr>
          <w:rFonts w:ascii="Arial" w:hAnsi="Arial"/>
          <w:spacing w:val="-4"/>
          <w:lang w:val="en-GB"/>
        </w:rPr>
        <w:t>)</w:t>
      </w:r>
      <w:r w:rsidRPr="00C02EBC">
        <w:rPr>
          <w:rFonts w:ascii="Arial" w:hAnsi="Arial"/>
          <w:spacing w:val="-4"/>
          <w:lang w:val="en-GB"/>
        </w:rPr>
        <w:t>.</w:t>
      </w: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536F88" w:rsidRPr="00536F88" w14:paraId="4D967E86" w14:textId="77777777" w:rsidTr="007A52FA">
        <w:tc>
          <w:tcPr>
            <w:tcW w:w="1134" w:type="dxa"/>
            <w:shd w:val="clear" w:color="auto" w:fill="auto"/>
          </w:tcPr>
          <w:p w14:paraId="544A9DD9" w14:textId="77777777" w:rsidR="00536F88" w:rsidRPr="00536F88" w:rsidRDefault="00536F88" w:rsidP="007A52FA">
            <w:pPr>
              <w:jc w:val="right"/>
              <w:rPr>
                <w:b/>
                <w:i/>
                <w:sz w:val="16"/>
                <w:lang w:val="en-GB"/>
              </w:rPr>
            </w:pPr>
            <w:proofErr w:type="spellStart"/>
            <w:proofErr w:type="gramStart"/>
            <w:r w:rsidRPr="00536F88">
              <w:rPr>
                <w:i/>
                <w:sz w:val="16"/>
                <w:lang w:val="en-GB"/>
              </w:rPr>
              <w:t>LoE:III</w:t>
            </w:r>
            <w:proofErr w:type="spellEnd"/>
            <w:proofErr w:type="gramEnd"/>
            <w:r w:rsidRPr="00536F88">
              <w:rPr>
                <w:rStyle w:val="EndnoteReference"/>
                <w:i/>
                <w:sz w:val="16"/>
                <w:lang w:val="en-GB"/>
              </w:rPr>
              <w:endnoteReference w:id="12"/>
            </w:r>
          </w:p>
        </w:tc>
      </w:tr>
    </w:tbl>
    <w:p w14:paraId="2180BBB7" w14:textId="77777777" w:rsidR="004D2687" w:rsidRPr="00536F88" w:rsidRDefault="004D2687" w:rsidP="00536F88">
      <w:pPr>
        <w:pStyle w:val="Level1"/>
        <w:ind w:left="447" w:firstLine="0"/>
        <w:jc w:val="left"/>
        <w:rPr>
          <w:rFonts w:ascii="Arial" w:hAnsi="Arial"/>
          <w:sz w:val="2"/>
          <w:lang w:val="en-GB"/>
        </w:rPr>
      </w:pPr>
    </w:p>
    <w:p w14:paraId="62AE1792" w14:textId="77777777" w:rsidR="004D2687" w:rsidRPr="003B28E5" w:rsidRDefault="004D2687" w:rsidP="007E4E67">
      <w:pPr>
        <w:pStyle w:val="Level1"/>
        <w:numPr>
          <w:ilvl w:val="0"/>
          <w:numId w:val="55"/>
        </w:numPr>
        <w:tabs>
          <w:tab w:val="clear" w:pos="360"/>
        </w:tabs>
        <w:rPr>
          <w:rFonts w:ascii="Arial" w:hAnsi="Arial"/>
          <w:lang w:val="en-GB"/>
        </w:rPr>
      </w:pPr>
      <w:r w:rsidRPr="003B28E5">
        <w:rPr>
          <w:rFonts w:ascii="Arial" w:hAnsi="Arial"/>
          <w:lang w:val="en-GB"/>
        </w:rPr>
        <w:t>Urine protein by dipsti</w:t>
      </w:r>
      <w:r w:rsidR="005E5337">
        <w:rPr>
          <w:rFonts w:ascii="Arial" w:hAnsi="Arial"/>
          <w:lang w:val="en-GB"/>
        </w:rPr>
        <w:t>ck</w:t>
      </w:r>
      <w:r w:rsidRPr="003B28E5">
        <w:rPr>
          <w:rFonts w:ascii="Arial" w:hAnsi="Arial"/>
          <w:lang w:val="en-GB"/>
        </w:rPr>
        <w:t>.</w:t>
      </w:r>
    </w:p>
    <w:p w14:paraId="4BCB2FCE" w14:textId="49E8D5E4" w:rsidR="004D2687" w:rsidRPr="00D6340F" w:rsidRDefault="004D2687" w:rsidP="007E4E67">
      <w:pPr>
        <w:numPr>
          <w:ilvl w:val="0"/>
          <w:numId w:val="56"/>
        </w:numPr>
        <w:tabs>
          <w:tab w:val="clear" w:pos="572"/>
          <w:tab w:val="num" w:pos="709"/>
        </w:tabs>
        <w:ind w:left="709" w:hanging="283"/>
        <w:rPr>
          <w:rFonts w:cs="Arial"/>
          <w:spacing w:val="-2"/>
          <w:lang w:val="en-GB"/>
        </w:rPr>
      </w:pPr>
      <w:r w:rsidRPr="00D6340F">
        <w:rPr>
          <w:rFonts w:cs="Arial"/>
          <w:spacing w:val="-2"/>
          <w:lang w:val="en-GB"/>
        </w:rPr>
        <w:t>If dipsti</w:t>
      </w:r>
      <w:r w:rsidR="005E5337">
        <w:rPr>
          <w:rFonts w:cs="Arial"/>
          <w:spacing w:val="-2"/>
          <w:lang w:val="en-GB"/>
        </w:rPr>
        <w:t>ck</w:t>
      </w:r>
      <w:r w:rsidRPr="00D6340F">
        <w:rPr>
          <w:rFonts w:cs="Arial"/>
          <w:spacing w:val="-2"/>
          <w:lang w:val="en-GB"/>
        </w:rPr>
        <w:t xml:space="preserve"> negative, request </w:t>
      </w:r>
      <w:r w:rsidR="00363760">
        <w:rPr>
          <w:rFonts w:cs="Arial"/>
          <w:spacing w:val="-2"/>
          <w:lang w:val="en-GB"/>
        </w:rPr>
        <w:t>ACR</w:t>
      </w:r>
      <w:r w:rsidRPr="00D6340F">
        <w:rPr>
          <w:rFonts w:cs="Arial"/>
          <w:spacing w:val="-2"/>
          <w:lang w:val="en-GB"/>
        </w:rPr>
        <w:t xml:space="preserve">, unless already on an ACE-inhibitor - </w:t>
      </w:r>
      <w:r w:rsidRPr="00D6340F">
        <w:rPr>
          <w:rFonts w:cs="Arial"/>
          <w:color w:val="auto"/>
          <w:lang w:val="en-GB"/>
        </w:rPr>
        <w:t>microalbuminuria is defined as 2.5 to 25 mg/mmol in men, and 3.5 to 35 mg/mmol in women</w:t>
      </w:r>
      <w:r w:rsidRPr="00D6340F">
        <w:rPr>
          <w:rFonts w:cs="Arial"/>
          <w:spacing w:val="-2"/>
          <w:lang w:val="en-GB"/>
        </w:rPr>
        <w:t xml:space="preserve"> (</w:t>
      </w:r>
      <w:r w:rsidR="002240B9">
        <w:rPr>
          <w:rFonts w:cs="Arial"/>
          <w:spacing w:val="-2"/>
          <w:lang w:val="en-GB"/>
        </w:rPr>
        <w:t>s</w:t>
      </w:r>
      <w:r w:rsidRPr="00D6340F">
        <w:rPr>
          <w:rFonts w:cs="Arial"/>
          <w:spacing w:val="-2"/>
          <w:lang w:val="en-GB"/>
        </w:rPr>
        <w:t xml:space="preserve">ee </w:t>
      </w:r>
      <w:r w:rsidR="002840C6">
        <w:rPr>
          <w:rFonts w:cs="Arial"/>
          <w:spacing w:val="-2"/>
          <w:lang w:val="en-GB"/>
        </w:rPr>
        <w:t>Section</w:t>
      </w:r>
      <w:r w:rsidRPr="00D6340F">
        <w:rPr>
          <w:rFonts w:cs="Arial"/>
          <w:spacing w:val="-2"/>
          <w:lang w:val="en-GB"/>
        </w:rPr>
        <w:t xml:space="preserve"> 8.7.</w:t>
      </w:r>
      <w:r w:rsidR="00870795">
        <w:rPr>
          <w:rFonts w:cs="Arial"/>
          <w:spacing w:val="-2"/>
          <w:lang w:val="en-GB"/>
        </w:rPr>
        <w:t>2</w:t>
      </w:r>
      <w:r w:rsidRPr="00D6340F">
        <w:rPr>
          <w:rFonts w:cs="Arial"/>
          <w:spacing w:val="-2"/>
          <w:lang w:val="en-GB"/>
        </w:rPr>
        <w:t xml:space="preserve">: Diabetic </w:t>
      </w:r>
      <w:r w:rsidR="00870795">
        <w:rPr>
          <w:rFonts w:cs="Arial"/>
          <w:spacing w:val="-2"/>
          <w:lang w:val="en-GB"/>
        </w:rPr>
        <w:t>kidney disease</w:t>
      </w:r>
      <w:r w:rsidRPr="00D6340F">
        <w:rPr>
          <w:rFonts w:cs="Arial"/>
          <w:spacing w:val="-2"/>
          <w:lang w:val="en-GB"/>
        </w:rPr>
        <w:t>).</w:t>
      </w:r>
    </w:p>
    <w:p w14:paraId="4CF5BDAA" w14:textId="4C92D1EC" w:rsidR="0082000C" w:rsidRPr="00AD7703" w:rsidRDefault="004D2687" w:rsidP="007E4E67">
      <w:pPr>
        <w:numPr>
          <w:ilvl w:val="0"/>
          <w:numId w:val="56"/>
        </w:numPr>
        <w:tabs>
          <w:tab w:val="clear" w:pos="572"/>
          <w:tab w:val="num" w:pos="709"/>
        </w:tabs>
        <w:ind w:left="709" w:hanging="283"/>
        <w:jc w:val="left"/>
        <w:rPr>
          <w:lang w:val="en-GB"/>
        </w:rPr>
      </w:pPr>
      <w:r w:rsidRPr="00F34655">
        <w:rPr>
          <w:rFonts w:cs="Arial"/>
          <w:lang w:val="en-GB"/>
        </w:rPr>
        <w:t>If dipsti</w:t>
      </w:r>
      <w:r w:rsidR="005E5337">
        <w:rPr>
          <w:rFonts w:cs="Arial"/>
          <w:lang w:val="en-GB"/>
        </w:rPr>
        <w:t>ck</w:t>
      </w:r>
      <w:r w:rsidRPr="00F34655">
        <w:rPr>
          <w:rFonts w:cs="Arial"/>
          <w:lang w:val="en-GB"/>
        </w:rPr>
        <w:t xml:space="preserve"> positive, see </w:t>
      </w:r>
      <w:r w:rsidR="002840C6">
        <w:rPr>
          <w:rFonts w:cs="Arial"/>
          <w:lang w:val="en-GB"/>
        </w:rPr>
        <w:t>Section</w:t>
      </w:r>
      <w:r w:rsidRPr="00F34655">
        <w:rPr>
          <w:rFonts w:cs="Arial"/>
          <w:lang w:val="en-GB"/>
        </w:rPr>
        <w:t xml:space="preserve"> </w:t>
      </w:r>
      <w:r w:rsidRPr="00F34655">
        <w:rPr>
          <w:rFonts w:cs="Arial"/>
          <w:spacing w:val="-2"/>
          <w:lang w:val="en-GB"/>
        </w:rPr>
        <w:t>8.7.</w:t>
      </w:r>
      <w:r w:rsidR="00870795">
        <w:rPr>
          <w:rFonts w:cs="Arial"/>
          <w:spacing w:val="-2"/>
          <w:lang w:val="en-GB"/>
        </w:rPr>
        <w:t>2</w:t>
      </w:r>
      <w:r w:rsidRPr="00F34655">
        <w:rPr>
          <w:rFonts w:cs="Arial"/>
          <w:spacing w:val="-2"/>
          <w:lang w:val="en-GB"/>
        </w:rPr>
        <w:t xml:space="preserve">: Diabetic </w:t>
      </w:r>
      <w:r w:rsidR="00870795">
        <w:rPr>
          <w:rFonts w:cs="Arial"/>
          <w:spacing w:val="-2"/>
          <w:lang w:val="en-GB"/>
        </w:rPr>
        <w:t>kidney disease</w:t>
      </w:r>
      <w:r w:rsidRPr="00F34655">
        <w:rPr>
          <w:rFonts w:cs="Arial"/>
          <w:lang w:val="en-GB"/>
        </w:rPr>
        <w:t>.</w:t>
      </w:r>
    </w:p>
    <w:p w14:paraId="0A79F5B5" w14:textId="77777777" w:rsidR="004D2687" w:rsidRPr="00824C96" w:rsidRDefault="004D2687" w:rsidP="007E4E67">
      <w:pPr>
        <w:pStyle w:val="Level1"/>
        <w:numPr>
          <w:ilvl w:val="0"/>
          <w:numId w:val="55"/>
        </w:numPr>
        <w:tabs>
          <w:tab w:val="clear" w:pos="360"/>
        </w:tabs>
        <w:rPr>
          <w:rFonts w:ascii="Arial" w:hAnsi="Arial"/>
          <w:szCs w:val="18"/>
          <w:lang w:val="en-GB"/>
        </w:rPr>
      </w:pPr>
      <w:r w:rsidRPr="00824C96">
        <w:rPr>
          <w:rFonts w:ascii="Arial" w:hAnsi="Arial"/>
          <w:szCs w:val="18"/>
          <w:lang w:val="en-GB"/>
        </w:rPr>
        <w:t>Eye examination to look for retinopathy.</w:t>
      </w:r>
    </w:p>
    <w:p w14:paraId="03D3D728" w14:textId="77777777" w:rsidR="004D2687" w:rsidRPr="00824C96" w:rsidRDefault="004D2687" w:rsidP="007E4E67">
      <w:pPr>
        <w:pStyle w:val="Level1"/>
        <w:numPr>
          <w:ilvl w:val="0"/>
          <w:numId w:val="55"/>
        </w:numPr>
        <w:tabs>
          <w:tab w:val="clear" w:pos="360"/>
        </w:tabs>
        <w:rPr>
          <w:rFonts w:ascii="Arial" w:hAnsi="Arial"/>
          <w:szCs w:val="18"/>
          <w:lang w:val="en-GB"/>
        </w:rPr>
      </w:pPr>
      <w:r w:rsidRPr="00824C96">
        <w:rPr>
          <w:rFonts w:ascii="Arial" w:hAnsi="Arial"/>
          <w:szCs w:val="18"/>
          <w:lang w:val="en-GB"/>
        </w:rPr>
        <w:t>Foot examination.</w:t>
      </w:r>
    </w:p>
    <w:p w14:paraId="70F1C80F" w14:textId="77777777" w:rsidR="00F34655" w:rsidRPr="005E5337" w:rsidRDefault="00F34655" w:rsidP="007E4E67">
      <w:pPr>
        <w:pStyle w:val="Level1"/>
        <w:numPr>
          <w:ilvl w:val="0"/>
          <w:numId w:val="55"/>
        </w:numPr>
        <w:tabs>
          <w:tab w:val="clear" w:pos="360"/>
        </w:tabs>
        <w:rPr>
          <w:rFonts w:ascii="Arial" w:hAnsi="Arial"/>
          <w:szCs w:val="18"/>
          <w:lang w:val="en-GB"/>
        </w:rPr>
      </w:pPr>
      <w:r w:rsidRPr="005E5337">
        <w:rPr>
          <w:rFonts w:ascii="Arial" w:hAnsi="Arial"/>
          <w:szCs w:val="18"/>
          <w:lang w:val="en-GB"/>
        </w:rPr>
        <w:t>Assessment for peripheral neuropathy</w:t>
      </w:r>
      <w:r w:rsidR="00824C96" w:rsidRPr="005E5337">
        <w:rPr>
          <w:rFonts w:ascii="Arial" w:hAnsi="Arial"/>
          <w:szCs w:val="18"/>
          <w:lang w:val="en-GB"/>
        </w:rPr>
        <w:t>.</w:t>
      </w:r>
    </w:p>
    <w:p w14:paraId="0694DFF0" w14:textId="77777777" w:rsidR="00F34655" w:rsidRPr="005E5337" w:rsidRDefault="00F34655" w:rsidP="007E4E67">
      <w:pPr>
        <w:pStyle w:val="Level1"/>
        <w:numPr>
          <w:ilvl w:val="0"/>
          <w:numId w:val="55"/>
        </w:numPr>
        <w:tabs>
          <w:tab w:val="clear" w:pos="360"/>
        </w:tabs>
        <w:rPr>
          <w:rFonts w:ascii="Arial" w:hAnsi="Arial"/>
          <w:szCs w:val="18"/>
          <w:lang w:val="en-GB"/>
        </w:rPr>
      </w:pPr>
      <w:r w:rsidRPr="005E5337">
        <w:rPr>
          <w:rFonts w:ascii="Arial" w:hAnsi="Arial"/>
          <w:szCs w:val="18"/>
          <w:lang w:val="en-GB"/>
        </w:rPr>
        <w:t>Oral and dental examination</w:t>
      </w:r>
      <w:r w:rsidR="00824C96" w:rsidRPr="005E5337">
        <w:rPr>
          <w:rFonts w:ascii="Arial" w:hAnsi="Arial"/>
          <w:szCs w:val="18"/>
          <w:lang w:val="en-GB"/>
        </w:rPr>
        <w:t>.</w:t>
      </w:r>
    </w:p>
    <w:p w14:paraId="185FB0AA" w14:textId="77777777" w:rsidR="00F34655" w:rsidRPr="005E5337" w:rsidRDefault="00F34655" w:rsidP="007E4E67">
      <w:pPr>
        <w:pStyle w:val="Level1"/>
        <w:numPr>
          <w:ilvl w:val="0"/>
          <w:numId w:val="55"/>
        </w:numPr>
        <w:tabs>
          <w:tab w:val="clear" w:pos="360"/>
        </w:tabs>
        <w:rPr>
          <w:rFonts w:ascii="Arial" w:hAnsi="Arial"/>
          <w:szCs w:val="18"/>
          <w:lang w:val="en-GB"/>
        </w:rPr>
      </w:pPr>
      <w:r w:rsidRPr="005E5337">
        <w:rPr>
          <w:rFonts w:ascii="Arial" w:hAnsi="Arial"/>
          <w:szCs w:val="18"/>
          <w:lang w:val="en-GB"/>
        </w:rPr>
        <w:t>Assessment for macrovascular disease</w:t>
      </w:r>
      <w:r w:rsidR="00824C96" w:rsidRPr="005E5337">
        <w:rPr>
          <w:rFonts w:ascii="Arial" w:hAnsi="Arial"/>
          <w:szCs w:val="18"/>
          <w:lang w:val="en-GB"/>
        </w:rPr>
        <w:t>.</w:t>
      </w:r>
    </w:p>
    <w:p w14:paraId="2A091F42" w14:textId="77777777" w:rsidR="00F34655" w:rsidRPr="00B73B6F" w:rsidRDefault="005E5337" w:rsidP="007E4E67">
      <w:pPr>
        <w:pStyle w:val="Level1"/>
        <w:numPr>
          <w:ilvl w:val="0"/>
          <w:numId w:val="55"/>
        </w:numPr>
        <w:tabs>
          <w:tab w:val="clear" w:pos="360"/>
        </w:tabs>
        <w:rPr>
          <w:rFonts w:ascii="Arial" w:hAnsi="Arial"/>
          <w:lang w:val="en-GB"/>
        </w:rPr>
      </w:pPr>
      <w:r w:rsidRPr="005E5337">
        <w:rPr>
          <w:rFonts w:ascii="Arial" w:hAnsi="Arial"/>
          <w:szCs w:val="18"/>
          <w:lang w:val="en-GB"/>
        </w:rPr>
        <w:t>Resting ECG</w:t>
      </w:r>
      <w:r w:rsidR="00824C96" w:rsidRPr="005E5337">
        <w:rPr>
          <w:rFonts w:ascii="Arial" w:hAnsi="Arial"/>
          <w:szCs w:val="18"/>
          <w:lang w:val="en-GB"/>
        </w:rPr>
        <w:t>.</w:t>
      </w:r>
    </w:p>
    <w:p w14:paraId="3B00F4FA" w14:textId="3781580C" w:rsidR="00A658E3" w:rsidRDefault="00A658E3" w:rsidP="0054675B">
      <w:pPr>
        <w:pStyle w:val="ep4"/>
        <w:numPr>
          <w:ilvl w:val="0"/>
          <w:numId w:val="0"/>
        </w:numPr>
        <w:rPr>
          <w:color w:val="auto"/>
          <w:sz w:val="16"/>
          <w:lang w:val="en-GB"/>
        </w:rPr>
      </w:pPr>
    </w:p>
    <w:p w14:paraId="781BA83C" w14:textId="77777777" w:rsidR="00363760" w:rsidRPr="00A658E3" w:rsidRDefault="00363760" w:rsidP="0054675B">
      <w:pPr>
        <w:pStyle w:val="ep4"/>
        <w:numPr>
          <w:ilvl w:val="0"/>
          <w:numId w:val="0"/>
        </w:numPr>
        <w:rPr>
          <w:color w:val="auto"/>
          <w:sz w:val="16"/>
          <w:lang w:val="en-GB"/>
        </w:rPr>
      </w:pPr>
    </w:p>
    <w:p w14:paraId="2EC2F808" w14:textId="77777777" w:rsidR="0054675B" w:rsidRPr="00D6340F" w:rsidRDefault="0054675B" w:rsidP="0054675B">
      <w:pPr>
        <w:pStyle w:val="ep4"/>
        <w:numPr>
          <w:ilvl w:val="0"/>
          <w:numId w:val="0"/>
        </w:numPr>
        <w:rPr>
          <w:b/>
          <w:color w:val="auto"/>
          <w:lang w:val="en-GB"/>
        </w:rPr>
      </w:pPr>
      <w:r w:rsidRPr="00D6340F">
        <w:rPr>
          <w:b/>
          <w:color w:val="auto"/>
          <w:lang w:val="en-GB"/>
        </w:rPr>
        <w:lastRenderedPageBreak/>
        <w:t>TARGETS FOR CONTROL</w:t>
      </w:r>
    </w:p>
    <w:p w14:paraId="08B22340" w14:textId="77777777" w:rsidR="0054675B" w:rsidRPr="00D6340F" w:rsidRDefault="0054675B" w:rsidP="0054675B">
      <w:pPr>
        <w:pStyle w:val="ep4"/>
        <w:numPr>
          <w:ilvl w:val="0"/>
          <w:numId w:val="0"/>
        </w:numPr>
        <w:rPr>
          <w:color w:val="auto"/>
          <w:u w:val="single"/>
          <w:lang w:val="en-GB"/>
        </w:rPr>
      </w:pPr>
      <w:r w:rsidRPr="00D6340F">
        <w:rPr>
          <w:color w:val="auto"/>
          <w:u w:val="single"/>
          <w:lang w:val="en-GB"/>
        </w:rPr>
        <w:t>Glycaemic targets for control:</w:t>
      </w:r>
    </w:p>
    <w:p w14:paraId="34FF07A5" w14:textId="77777777" w:rsidR="0054675B" w:rsidRPr="00D6340F" w:rsidRDefault="0054675B" w:rsidP="00340709">
      <w:pPr>
        <w:pStyle w:val="ep4"/>
        <w:numPr>
          <w:ilvl w:val="0"/>
          <w:numId w:val="0"/>
        </w:numPr>
        <w:rPr>
          <w:color w:val="auto"/>
          <w:sz w:val="6"/>
          <w:szCs w:val="6"/>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1129"/>
        <w:gridCol w:w="1476"/>
        <w:gridCol w:w="1582"/>
      </w:tblGrid>
      <w:tr w:rsidR="0054675B" w:rsidRPr="00FD14D7" w14:paraId="70AFCBCE" w14:textId="77777777" w:rsidTr="0054675B">
        <w:tc>
          <w:tcPr>
            <w:tcW w:w="1576" w:type="pct"/>
            <w:shd w:val="clear" w:color="auto" w:fill="D9D9D9" w:themeFill="background1" w:themeFillShade="D9"/>
          </w:tcPr>
          <w:p w14:paraId="36D52407" w14:textId="77777777" w:rsidR="0054675B" w:rsidRPr="00FD14D7" w:rsidRDefault="0054675B" w:rsidP="0054675B">
            <w:pPr>
              <w:pStyle w:val="Styleep0NotStrikethrough"/>
              <w:spacing w:line="276" w:lineRule="auto"/>
              <w:ind w:left="0"/>
              <w:rPr>
                <w:rFonts w:cs="Arial"/>
                <w:b/>
                <w:sz w:val="16"/>
                <w:lang w:val="en-GB"/>
              </w:rPr>
            </w:pPr>
            <w:r w:rsidRPr="00FD14D7">
              <w:rPr>
                <w:rFonts w:cs="Arial"/>
                <w:b/>
                <w:sz w:val="16"/>
                <w:lang w:val="en-GB"/>
              </w:rPr>
              <w:t>Patient type</w:t>
            </w:r>
          </w:p>
        </w:tc>
        <w:tc>
          <w:tcPr>
            <w:tcW w:w="923" w:type="pct"/>
            <w:shd w:val="clear" w:color="auto" w:fill="D9D9D9" w:themeFill="background1" w:themeFillShade="D9"/>
          </w:tcPr>
          <w:p w14:paraId="29D3E747" w14:textId="77777777" w:rsidR="0054675B" w:rsidRPr="00FD14D7" w:rsidRDefault="0054675B" w:rsidP="0054675B">
            <w:pPr>
              <w:pStyle w:val="Styleep0NotStrikethrough"/>
              <w:spacing w:line="276" w:lineRule="auto"/>
              <w:ind w:left="0"/>
              <w:rPr>
                <w:rFonts w:cs="Arial"/>
                <w:b/>
                <w:sz w:val="16"/>
                <w:lang w:val="en-GB"/>
              </w:rPr>
            </w:pPr>
            <w:r w:rsidRPr="00FD14D7">
              <w:rPr>
                <w:rFonts w:cs="Arial"/>
                <w:b/>
                <w:sz w:val="16"/>
                <w:lang w:val="en-GB"/>
              </w:rPr>
              <w:t>Target HbA</w:t>
            </w:r>
            <w:r w:rsidRPr="006759C5">
              <w:rPr>
                <w:rFonts w:cs="Arial"/>
                <w:b/>
                <w:sz w:val="16"/>
                <w:lang w:val="en-GB"/>
              </w:rPr>
              <w:t>1c</w:t>
            </w:r>
          </w:p>
        </w:tc>
        <w:tc>
          <w:tcPr>
            <w:tcW w:w="1207" w:type="pct"/>
            <w:shd w:val="clear" w:color="auto" w:fill="D9D9D9" w:themeFill="background1" w:themeFillShade="D9"/>
          </w:tcPr>
          <w:p w14:paraId="415C5440" w14:textId="77777777" w:rsidR="0054675B" w:rsidRPr="00FD14D7" w:rsidRDefault="0054675B" w:rsidP="0054675B">
            <w:pPr>
              <w:pStyle w:val="Styleep0NotStrikethrough"/>
              <w:spacing w:line="276" w:lineRule="auto"/>
              <w:ind w:left="0"/>
              <w:rPr>
                <w:rFonts w:cs="Arial"/>
                <w:sz w:val="16"/>
                <w:lang w:val="en-GB"/>
              </w:rPr>
            </w:pPr>
            <w:r w:rsidRPr="00FD14D7">
              <w:rPr>
                <w:rFonts w:cs="Arial"/>
                <w:b/>
                <w:sz w:val="16"/>
                <w:lang w:val="en-GB"/>
              </w:rPr>
              <w:t>Target FPG*</w:t>
            </w:r>
          </w:p>
        </w:tc>
        <w:tc>
          <w:tcPr>
            <w:tcW w:w="1295" w:type="pct"/>
            <w:shd w:val="clear" w:color="auto" w:fill="D9D9D9" w:themeFill="background1" w:themeFillShade="D9"/>
          </w:tcPr>
          <w:p w14:paraId="0E1903B4" w14:textId="77777777" w:rsidR="0054675B" w:rsidRPr="00FD14D7" w:rsidRDefault="0054675B" w:rsidP="0054675B">
            <w:pPr>
              <w:pStyle w:val="Styleep0NotStrikethrough"/>
              <w:spacing w:line="276" w:lineRule="auto"/>
              <w:ind w:left="0"/>
              <w:rPr>
                <w:rFonts w:cs="Arial"/>
                <w:b/>
                <w:sz w:val="16"/>
                <w:lang w:val="en-GB"/>
              </w:rPr>
            </w:pPr>
            <w:r w:rsidRPr="00FD14D7">
              <w:rPr>
                <w:rFonts w:cs="Arial"/>
                <w:b/>
                <w:sz w:val="16"/>
                <w:lang w:val="en-GB"/>
              </w:rPr>
              <w:t>Target PPG*</w:t>
            </w:r>
          </w:p>
        </w:tc>
      </w:tr>
      <w:tr w:rsidR="0054675B" w:rsidRPr="00FD14D7" w14:paraId="119EB476" w14:textId="77777777" w:rsidTr="0054675B">
        <w:tc>
          <w:tcPr>
            <w:tcW w:w="1576" w:type="pct"/>
            <w:shd w:val="clear" w:color="auto" w:fill="auto"/>
          </w:tcPr>
          <w:p w14:paraId="232A9F9D" w14:textId="77777777" w:rsidR="00463E34" w:rsidRPr="00FD14D7" w:rsidRDefault="0054675B" w:rsidP="007E4E67">
            <w:pPr>
              <w:pStyle w:val="Styleep0NotStrikethrough"/>
              <w:numPr>
                <w:ilvl w:val="0"/>
                <w:numId w:val="52"/>
              </w:numPr>
              <w:spacing w:line="276" w:lineRule="auto"/>
              <w:ind w:left="180" w:hanging="180"/>
              <w:jc w:val="left"/>
              <w:rPr>
                <w:rFonts w:cs="Arial"/>
                <w:bCs/>
                <w:color w:val="000000"/>
                <w:sz w:val="16"/>
                <w:szCs w:val="18"/>
                <w:lang w:val="en-GB"/>
              </w:rPr>
            </w:pPr>
            <w:r w:rsidRPr="00FD14D7">
              <w:rPr>
                <w:rFonts w:cs="Arial"/>
                <w:sz w:val="16"/>
                <w:lang w:val="en-GB"/>
              </w:rPr>
              <w:t>Young, low risk</w:t>
            </w:r>
          </w:p>
          <w:p w14:paraId="353A1497" w14:textId="77777777" w:rsidR="00463E34" w:rsidRPr="00FD14D7" w:rsidRDefault="0054675B" w:rsidP="007E4E67">
            <w:pPr>
              <w:pStyle w:val="Styleep0NotStrikethrough"/>
              <w:numPr>
                <w:ilvl w:val="0"/>
                <w:numId w:val="52"/>
              </w:numPr>
              <w:spacing w:line="276" w:lineRule="auto"/>
              <w:ind w:left="180" w:hanging="180"/>
              <w:jc w:val="left"/>
              <w:rPr>
                <w:rFonts w:cs="Arial"/>
                <w:bCs/>
                <w:color w:val="000000"/>
                <w:sz w:val="16"/>
                <w:szCs w:val="18"/>
                <w:lang w:val="en-GB"/>
              </w:rPr>
            </w:pPr>
            <w:r w:rsidRPr="00FD14D7">
              <w:rPr>
                <w:rFonts w:cs="Arial"/>
                <w:sz w:val="16"/>
                <w:lang w:val="en-GB"/>
              </w:rPr>
              <w:t>Newly diagnosed</w:t>
            </w:r>
          </w:p>
          <w:p w14:paraId="1034B46F" w14:textId="77777777" w:rsidR="00463E34" w:rsidRPr="00FD14D7" w:rsidRDefault="0054675B" w:rsidP="007E4E67">
            <w:pPr>
              <w:pStyle w:val="Styleep0NotStrikethrough"/>
              <w:numPr>
                <w:ilvl w:val="0"/>
                <w:numId w:val="52"/>
              </w:numPr>
              <w:spacing w:line="276" w:lineRule="auto"/>
              <w:ind w:left="180" w:hanging="180"/>
              <w:jc w:val="left"/>
              <w:rPr>
                <w:rFonts w:cs="Arial"/>
                <w:bCs/>
                <w:color w:val="000000"/>
                <w:sz w:val="16"/>
                <w:szCs w:val="18"/>
                <w:lang w:val="en-GB"/>
              </w:rPr>
            </w:pPr>
            <w:r w:rsidRPr="00FD14D7">
              <w:rPr>
                <w:rFonts w:cs="Arial"/>
                <w:sz w:val="16"/>
                <w:lang w:val="en-GB"/>
              </w:rPr>
              <w:t>No CVS disease</w:t>
            </w:r>
          </w:p>
        </w:tc>
        <w:tc>
          <w:tcPr>
            <w:tcW w:w="923" w:type="pct"/>
            <w:shd w:val="clear" w:color="auto" w:fill="auto"/>
          </w:tcPr>
          <w:p w14:paraId="50FAB60E" w14:textId="77777777" w:rsidR="0054675B" w:rsidRPr="00FD14D7" w:rsidRDefault="0054675B" w:rsidP="0054675B">
            <w:pPr>
              <w:pStyle w:val="Styleep0NotStrikethrough"/>
              <w:spacing w:line="276" w:lineRule="auto"/>
              <w:ind w:left="0"/>
              <w:rPr>
                <w:rFonts w:cs="Arial"/>
                <w:sz w:val="16"/>
                <w:lang w:val="en-GB"/>
              </w:rPr>
            </w:pPr>
          </w:p>
          <w:p w14:paraId="3D27059C" w14:textId="77777777" w:rsidR="0054675B" w:rsidRPr="00FD14D7" w:rsidRDefault="0054675B" w:rsidP="0054675B">
            <w:pPr>
              <w:pStyle w:val="Styleep0NotStrikethrough"/>
              <w:spacing w:line="276" w:lineRule="auto"/>
              <w:ind w:left="0"/>
              <w:jc w:val="left"/>
              <w:rPr>
                <w:rFonts w:cs="Arial"/>
                <w:bCs/>
                <w:sz w:val="16"/>
                <w:szCs w:val="18"/>
                <w:lang w:val="en-GB"/>
              </w:rPr>
            </w:pPr>
            <w:r w:rsidRPr="00FD14D7">
              <w:rPr>
                <w:rFonts w:cs="Arial"/>
                <w:sz w:val="16"/>
                <w:lang w:val="en-GB"/>
              </w:rPr>
              <w:t>&lt;6.5%</w:t>
            </w:r>
          </w:p>
          <w:p w14:paraId="1D0F194D" w14:textId="77777777" w:rsidR="0054675B" w:rsidRPr="00FD14D7" w:rsidRDefault="0054675B" w:rsidP="0054675B">
            <w:pPr>
              <w:pStyle w:val="Styleep0NotStrikethrough"/>
              <w:spacing w:line="276" w:lineRule="auto"/>
              <w:ind w:left="0"/>
              <w:jc w:val="left"/>
              <w:rPr>
                <w:rFonts w:cs="Arial"/>
                <w:sz w:val="16"/>
                <w:lang w:val="en-GB"/>
              </w:rPr>
            </w:pPr>
          </w:p>
        </w:tc>
        <w:tc>
          <w:tcPr>
            <w:tcW w:w="1207" w:type="pct"/>
            <w:shd w:val="clear" w:color="auto" w:fill="auto"/>
          </w:tcPr>
          <w:p w14:paraId="674A5A77" w14:textId="77777777" w:rsidR="0054675B" w:rsidRPr="00FD14D7" w:rsidRDefault="0054675B" w:rsidP="0054675B">
            <w:pPr>
              <w:pStyle w:val="Styleep0NotStrikethrough"/>
              <w:spacing w:line="276" w:lineRule="auto"/>
              <w:ind w:left="0"/>
              <w:rPr>
                <w:rFonts w:cs="Arial"/>
                <w:sz w:val="16"/>
                <w:lang w:val="en-GB"/>
              </w:rPr>
            </w:pPr>
          </w:p>
          <w:p w14:paraId="2A7D699D" w14:textId="77777777" w:rsidR="0054675B" w:rsidRPr="00FD14D7" w:rsidRDefault="0054675B" w:rsidP="0054675B">
            <w:pPr>
              <w:pStyle w:val="Styleep0NotStrikethrough"/>
              <w:spacing w:line="276" w:lineRule="auto"/>
              <w:ind w:left="0"/>
              <w:jc w:val="left"/>
              <w:rPr>
                <w:rFonts w:cs="Arial"/>
                <w:sz w:val="16"/>
                <w:lang w:val="en-GB"/>
              </w:rPr>
            </w:pPr>
            <w:r w:rsidRPr="00FD14D7">
              <w:rPr>
                <w:rFonts w:cs="Arial"/>
                <w:sz w:val="16"/>
                <w:lang w:val="en-GB"/>
              </w:rPr>
              <w:t>4.0–7.0 mmol/L</w:t>
            </w:r>
          </w:p>
        </w:tc>
        <w:tc>
          <w:tcPr>
            <w:tcW w:w="1295" w:type="pct"/>
            <w:shd w:val="clear" w:color="auto" w:fill="auto"/>
          </w:tcPr>
          <w:p w14:paraId="28497278" w14:textId="77777777" w:rsidR="0054675B" w:rsidRPr="00FD14D7" w:rsidRDefault="0054675B" w:rsidP="0054675B">
            <w:pPr>
              <w:pStyle w:val="Styleep0NotStrikethrough"/>
              <w:spacing w:line="276" w:lineRule="auto"/>
              <w:ind w:left="0"/>
              <w:rPr>
                <w:rFonts w:cs="Arial"/>
                <w:sz w:val="16"/>
                <w:lang w:val="en-GB"/>
              </w:rPr>
            </w:pPr>
          </w:p>
          <w:p w14:paraId="24B9358B" w14:textId="77777777" w:rsidR="0054675B" w:rsidRDefault="0054675B" w:rsidP="0054675B">
            <w:pPr>
              <w:pStyle w:val="Styleep0NotStrikethrough"/>
              <w:spacing w:line="276" w:lineRule="auto"/>
              <w:ind w:left="0"/>
              <w:jc w:val="left"/>
              <w:rPr>
                <w:rFonts w:cs="Arial"/>
                <w:sz w:val="16"/>
                <w:lang w:val="en-GB"/>
              </w:rPr>
            </w:pPr>
            <w:r w:rsidRPr="00FD14D7">
              <w:rPr>
                <w:rFonts w:cs="Arial"/>
                <w:sz w:val="16"/>
                <w:lang w:val="en-GB"/>
              </w:rPr>
              <w:t>4.4–7.8 mmol/L</w:t>
            </w:r>
          </w:p>
          <w:p w14:paraId="7047E810" w14:textId="77777777" w:rsidR="00144BA5" w:rsidRPr="00FD14D7" w:rsidRDefault="00144BA5" w:rsidP="0054675B">
            <w:pPr>
              <w:pStyle w:val="Styleep0NotStrikethrough"/>
              <w:spacing w:line="276" w:lineRule="auto"/>
              <w:ind w:left="0"/>
              <w:jc w:val="left"/>
              <w:rPr>
                <w:rFonts w:cs="Arial"/>
                <w:sz w:val="16"/>
                <w:lang w:val="en-GB"/>
              </w:rPr>
            </w:pPr>
          </w:p>
        </w:tc>
      </w:tr>
      <w:tr w:rsidR="0054675B" w:rsidRPr="00FD14D7" w14:paraId="1C008747" w14:textId="77777777" w:rsidTr="0054675B">
        <w:tc>
          <w:tcPr>
            <w:tcW w:w="1576" w:type="pct"/>
            <w:shd w:val="clear" w:color="auto" w:fill="auto"/>
          </w:tcPr>
          <w:p w14:paraId="107DD615" w14:textId="77777777" w:rsidR="00463E34" w:rsidRPr="00FD14D7" w:rsidRDefault="0054675B" w:rsidP="007E4E67">
            <w:pPr>
              <w:pStyle w:val="Styleep0NotStrikethrough"/>
              <w:numPr>
                <w:ilvl w:val="0"/>
                <w:numId w:val="52"/>
              </w:numPr>
              <w:spacing w:line="276" w:lineRule="auto"/>
              <w:ind w:left="180" w:hanging="180"/>
              <w:jc w:val="left"/>
              <w:rPr>
                <w:rFonts w:cs="Arial"/>
                <w:bCs/>
                <w:color w:val="000000"/>
                <w:sz w:val="16"/>
                <w:szCs w:val="18"/>
                <w:lang w:val="en-GB"/>
              </w:rPr>
            </w:pPr>
            <w:r w:rsidRPr="00FD14D7">
              <w:rPr>
                <w:rFonts w:cs="Arial"/>
                <w:sz w:val="16"/>
                <w:lang w:val="en-GB"/>
              </w:rPr>
              <w:t>Majority of patients</w:t>
            </w:r>
          </w:p>
          <w:p w14:paraId="468A947B" w14:textId="77777777" w:rsidR="0054675B" w:rsidRPr="00FD14D7" w:rsidRDefault="0054675B" w:rsidP="0054675B">
            <w:pPr>
              <w:pStyle w:val="Styleep0NotStrikethrough"/>
              <w:spacing w:line="276" w:lineRule="auto"/>
              <w:ind w:left="0"/>
              <w:rPr>
                <w:rFonts w:cs="Arial"/>
                <w:sz w:val="16"/>
                <w:lang w:val="en-GB"/>
              </w:rPr>
            </w:pPr>
          </w:p>
        </w:tc>
        <w:tc>
          <w:tcPr>
            <w:tcW w:w="923" w:type="pct"/>
            <w:shd w:val="clear" w:color="auto" w:fill="auto"/>
          </w:tcPr>
          <w:p w14:paraId="4D6F1D02" w14:textId="77777777" w:rsidR="0054675B" w:rsidRPr="00FD14D7" w:rsidRDefault="0054675B" w:rsidP="0054675B">
            <w:pPr>
              <w:pStyle w:val="Styleep0NotStrikethrough"/>
              <w:spacing w:line="276" w:lineRule="auto"/>
              <w:ind w:left="0"/>
              <w:jc w:val="left"/>
              <w:rPr>
                <w:rFonts w:cs="Arial"/>
                <w:sz w:val="16"/>
                <w:lang w:val="en-GB"/>
              </w:rPr>
            </w:pPr>
            <w:r w:rsidRPr="00FD14D7">
              <w:rPr>
                <w:rFonts w:cs="Arial"/>
                <w:sz w:val="16"/>
                <w:lang w:val="en-GB"/>
              </w:rPr>
              <w:t>&lt;7.0%</w:t>
            </w:r>
          </w:p>
        </w:tc>
        <w:tc>
          <w:tcPr>
            <w:tcW w:w="1207" w:type="pct"/>
            <w:shd w:val="clear" w:color="auto" w:fill="auto"/>
          </w:tcPr>
          <w:p w14:paraId="3AB8A5E7" w14:textId="77777777" w:rsidR="0054675B" w:rsidRPr="00FD14D7" w:rsidRDefault="0054675B" w:rsidP="0054675B">
            <w:pPr>
              <w:pStyle w:val="Styleep0NotStrikethrough"/>
              <w:spacing w:line="276" w:lineRule="auto"/>
              <w:ind w:left="0"/>
              <w:jc w:val="left"/>
              <w:rPr>
                <w:rFonts w:cs="Arial"/>
                <w:sz w:val="16"/>
                <w:lang w:val="en-GB"/>
              </w:rPr>
            </w:pPr>
            <w:r w:rsidRPr="00FD14D7">
              <w:rPr>
                <w:rFonts w:cs="Arial"/>
                <w:sz w:val="16"/>
                <w:lang w:val="en-GB"/>
              </w:rPr>
              <w:t>4.0–7.0 mmol/L</w:t>
            </w:r>
          </w:p>
        </w:tc>
        <w:tc>
          <w:tcPr>
            <w:tcW w:w="1295" w:type="pct"/>
            <w:shd w:val="clear" w:color="auto" w:fill="auto"/>
          </w:tcPr>
          <w:p w14:paraId="58C15008" w14:textId="77777777" w:rsidR="0054675B" w:rsidRDefault="0054675B" w:rsidP="0054675B">
            <w:pPr>
              <w:pStyle w:val="Styleep0NotStrikethrough"/>
              <w:spacing w:line="276" w:lineRule="auto"/>
              <w:ind w:left="0"/>
              <w:jc w:val="left"/>
              <w:rPr>
                <w:rFonts w:cs="Arial"/>
                <w:sz w:val="16"/>
                <w:lang w:val="en-GB"/>
              </w:rPr>
            </w:pPr>
            <w:r w:rsidRPr="00FD14D7">
              <w:rPr>
                <w:rFonts w:cs="Arial"/>
                <w:sz w:val="16"/>
                <w:lang w:val="en-GB"/>
              </w:rPr>
              <w:t>5.0–10.0 mmol/L</w:t>
            </w:r>
          </w:p>
          <w:p w14:paraId="0B2816D4" w14:textId="77777777" w:rsidR="00DC4D9D" w:rsidRPr="00FD14D7" w:rsidRDefault="00DC4D9D" w:rsidP="0054675B">
            <w:pPr>
              <w:pStyle w:val="Styleep0NotStrikethrough"/>
              <w:spacing w:line="276" w:lineRule="auto"/>
              <w:ind w:left="0"/>
              <w:jc w:val="left"/>
              <w:rPr>
                <w:rFonts w:cs="Arial"/>
                <w:sz w:val="16"/>
                <w:lang w:val="en-GB"/>
              </w:rPr>
            </w:pPr>
          </w:p>
        </w:tc>
      </w:tr>
      <w:tr w:rsidR="0054675B" w:rsidRPr="00FD14D7" w14:paraId="1B57E413" w14:textId="77777777" w:rsidTr="0054675B">
        <w:tc>
          <w:tcPr>
            <w:tcW w:w="1576" w:type="pct"/>
            <w:shd w:val="clear" w:color="auto" w:fill="auto"/>
          </w:tcPr>
          <w:p w14:paraId="5B52747A" w14:textId="77777777" w:rsidR="00463E34" w:rsidRPr="00FD14D7" w:rsidRDefault="0054675B" w:rsidP="007E4E67">
            <w:pPr>
              <w:pStyle w:val="Styleep0NotStrikethrough"/>
              <w:numPr>
                <w:ilvl w:val="0"/>
                <w:numId w:val="52"/>
              </w:numPr>
              <w:spacing w:line="276" w:lineRule="auto"/>
              <w:ind w:left="180" w:hanging="180"/>
              <w:jc w:val="left"/>
              <w:rPr>
                <w:rFonts w:cs="Arial"/>
                <w:bCs/>
                <w:color w:val="000000"/>
                <w:sz w:val="16"/>
                <w:szCs w:val="18"/>
                <w:lang w:val="en-GB"/>
              </w:rPr>
            </w:pPr>
            <w:r w:rsidRPr="00FD14D7">
              <w:rPr>
                <w:rFonts w:cs="Arial"/>
                <w:sz w:val="16"/>
                <w:lang w:val="en-GB"/>
              </w:rPr>
              <w:t>Elderly</w:t>
            </w:r>
          </w:p>
          <w:p w14:paraId="054B4351" w14:textId="77777777" w:rsidR="00463E34" w:rsidRPr="00FD14D7" w:rsidRDefault="0054675B" w:rsidP="007E4E67">
            <w:pPr>
              <w:pStyle w:val="Styleep0NotStrikethrough"/>
              <w:numPr>
                <w:ilvl w:val="0"/>
                <w:numId w:val="52"/>
              </w:numPr>
              <w:spacing w:line="276" w:lineRule="auto"/>
              <w:ind w:left="180" w:hanging="180"/>
              <w:jc w:val="left"/>
              <w:rPr>
                <w:rFonts w:cs="Arial"/>
                <w:bCs/>
                <w:color w:val="000000"/>
                <w:sz w:val="16"/>
                <w:szCs w:val="18"/>
                <w:lang w:val="en-GB"/>
              </w:rPr>
            </w:pPr>
            <w:r w:rsidRPr="00FD14D7">
              <w:rPr>
                <w:rFonts w:cs="Arial"/>
                <w:sz w:val="16"/>
                <w:lang w:val="en-GB"/>
              </w:rPr>
              <w:t>High risk</w:t>
            </w:r>
          </w:p>
          <w:p w14:paraId="3362297B" w14:textId="77777777" w:rsidR="00463E34" w:rsidRPr="00FD14D7" w:rsidRDefault="0054675B" w:rsidP="007E4E67">
            <w:pPr>
              <w:pStyle w:val="Styleep0NotStrikethrough"/>
              <w:numPr>
                <w:ilvl w:val="0"/>
                <w:numId w:val="52"/>
              </w:numPr>
              <w:spacing w:line="276" w:lineRule="auto"/>
              <w:ind w:left="180" w:hanging="180"/>
              <w:jc w:val="left"/>
              <w:rPr>
                <w:rFonts w:cs="Arial"/>
                <w:bCs/>
                <w:color w:val="000000"/>
                <w:sz w:val="16"/>
                <w:szCs w:val="18"/>
                <w:lang w:val="en-GB"/>
              </w:rPr>
            </w:pPr>
            <w:r w:rsidRPr="00FD14D7">
              <w:rPr>
                <w:rFonts w:cs="Arial"/>
                <w:sz w:val="16"/>
                <w:lang w:val="en-GB"/>
              </w:rPr>
              <w:t>Hypoglycaemic unawareness</w:t>
            </w:r>
          </w:p>
          <w:p w14:paraId="57DE3038" w14:textId="77777777" w:rsidR="00463E34" w:rsidRPr="00FD14D7" w:rsidRDefault="0054675B" w:rsidP="007E4E67">
            <w:pPr>
              <w:pStyle w:val="Styleep0NotStrikethrough"/>
              <w:numPr>
                <w:ilvl w:val="0"/>
                <w:numId w:val="52"/>
              </w:numPr>
              <w:spacing w:line="276" w:lineRule="auto"/>
              <w:ind w:left="180" w:hanging="180"/>
              <w:jc w:val="left"/>
              <w:rPr>
                <w:rFonts w:cs="Arial"/>
                <w:bCs/>
                <w:color w:val="000000"/>
                <w:sz w:val="16"/>
                <w:szCs w:val="18"/>
                <w:lang w:val="en-GB"/>
              </w:rPr>
            </w:pPr>
            <w:r w:rsidRPr="00FD14D7">
              <w:rPr>
                <w:rFonts w:cs="Arial"/>
                <w:sz w:val="16"/>
                <w:lang w:val="en-GB"/>
              </w:rPr>
              <w:t>Poor short-term prognosis</w:t>
            </w:r>
          </w:p>
        </w:tc>
        <w:tc>
          <w:tcPr>
            <w:tcW w:w="923" w:type="pct"/>
            <w:shd w:val="clear" w:color="auto" w:fill="auto"/>
          </w:tcPr>
          <w:p w14:paraId="01ECBAB3" w14:textId="77777777" w:rsidR="0054675B" w:rsidRPr="00FD14D7" w:rsidRDefault="0054675B" w:rsidP="0054675B">
            <w:pPr>
              <w:pStyle w:val="Styleep0NotStrikethrough"/>
              <w:spacing w:line="276" w:lineRule="auto"/>
              <w:ind w:left="0"/>
              <w:rPr>
                <w:rFonts w:cs="Arial"/>
                <w:sz w:val="16"/>
                <w:lang w:val="en-GB"/>
              </w:rPr>
            </w:pPr>
          </w:p>
          <w:p w14:paraId="71C31D25" w14:textId="77777777" w:rsidR="0054675B" w:rsidRDefault="0054675B" w:rsidP="0054675B">
            <w:pPr>
              <w:pStyle w:val="Styleep0NotStrikethrough"/>
              <w:spacing w:line="276" w:lineRule="auto"/>
              <w:ind w:left="0"/>
              <w:jc w:val="left"/>
              <w:rPr>
                <w:rFonts w:cs="Arial"/>
                <w:sz w:val="16"/>
                <w:lang w:val="en-GB"/>
              </w:rPr>
            </w:pPr>
            <w:r w:rsidRPr="00FD14D7">
              <w:rPr>
                <w:rFonts w:cs="Arial"/>
                <w:sz w:val="16"/>
                <w:lang w:val="en-GB"/>
              </w:rPr>
              <w:t>&lt;7.5%</w:t>
            </w:r>
          </w:p>
          <w:p w14:paraId="65421684" w14:textId="77777777" w:rsidR="0054675B" w:rsidRPr="00FD14D7" w:rsidRDefault="0054675B" w:rsidP="0054675B">
            <w:pPr>
              <w:pStyle w:val="Styleep0NotStrikethrough"/>
              <w:spacing w:line="276" w:lineRule="auto"/>
              <w:ind w:left="0"/>
              <w:jc w:val="left"/>
              <w:rPr>
                <w:rFonts w:cs="Arial"/>
                <w:sz w:val="16"/>
                <w:lang w:val="en-GB"/>
              </w:rPr>
            </w:pPr>
          </w:p>
        </w:tc>
        <w:tc>
          <w:tcPr>
            <w:tcW w:w="1207" w:type="pct"/>
            <w:shd w:val="clear" w:color="auto" w:fill="auto"/>
          </w:tcPr>
          <w:p w14:paraId="3366C376" w14:textId="77777777" w:rsidR="0054675B" w:rsidRPr="00FD14D7" w:rsidRDefault="0054675B" w:rsidP="0054675B">
            <w:pPr>
              <w:pStyle w:val="Styleep0NotStrikethrough"/>
              <w:spacing w:line="276" w:lineRule="auto"/>
              <w:ind w:left="0"/>
              <w:jc w:val="left"/>
              <w:rPr>
                <w:rFonts w:cs="Arial"/>
                <w:bCs/>
                <w:sz w:val="16"/>
                <w:szCs w:val="18"/>
                <w:lang w:val="en-GB"/>
              </w:rPr>
            </w:pPr>
          </w:p>
          <w:p w14:paraId="086542DD" w14:textId="77777777" w:rsidR="0054675B" w:rsidRPr="00FD14D7" w:rsidRDefault="0054675B" w:rsidP="0054675B">
            <w:pPr>
              <w:pStyle w:val="Styleep0NotStrikethrough"/>
              <w:spacing w:line="276" w:lineRule="auto"/>
              <w:ind w:left="0"/>
              <w:jc w:val="left"/>
              <w:rPr>
                <w:rFonts w:cs="Arial"/>
                <w:sz w:val="16"/>
                <w:lang w:val="en-GB"/>
              </w:rPr>
            </w:pPr>
            <w:r w:rsidRPr="00FD14D7">
              <w:rPr>
                <w:rFonts w:cs="Arial"/>
                <w:sz w:val="16"/>
                <w:lang w:val="en-GB"/>
              </w:rPr>
              <w:t>4.0–7.0 mmol/L</w:t>
            </w:r>
          </w:p>
        </w:tc>
        <w:tc>
          <w:tcPr>
            <w:tcW w:w="1295" w:type="pct"/>
            <w:shd w:val="clear" w:color="auto" w:fill="auto"/>
          </w:tcPr>
          <w:p w14:paraId="2FC2C638" w14:textId="77777777" w:rsidR="0054675B" w:rsidRPr="00FD14D7" w:rsidRDefault="0054675B" w:rsidP="0054675B">
            <w:pPr>
              <w:pStyle w:val="Styleep0NotStrikethrough"/>
              <w:spacing w:line="276" w:lineRule="auto"/>
              <w:ind w:left="0"/>
              <w:rPr>
                <w:rFonts w:cs="Arial"/>
                <w:sz w:val="16"/>
                <w:lang w:val="en-GB"/>
              </w:rPr>
            </w:pPr>
          </w:p>
          <w:p w14:paraId="5E3B1315" w14:textId="77777777" w:rsidR="0054675B" w:rsidRPr="00FD14D7" w:rsidRDefault="0054675B" w:rsidP="0054675B">
            <w:pPr>
              <w:pStyle w:val="Styleep0NotStrikethrough"/>
              <w:spacing w:line="276" w:lineRule="auto"/>
              <w:ind w:left="0"/>
              <w:jc w:val="left"/>
              <w:rPr>
                <w:rFonts w:cs="Arial"/>
                <w:sz w:val="16"/>
                <w:lang w:val="en-GB"/>
              </w:rPr>
            </w:pPr>
            <w:r w:rsidRPr="00FD14D7">
              <w:rPr>
                <w:rFonts w:cs="Arial"/>
                <w:sz w:val="16"/>
                <w:lang w:val="en-GB"/>
              </w:rPr>
              <w:t>&lt;12.0 mmol/L</w:t>
            </w:r>
          </w:p>
        </w:tc>
      </w:tr>
    </w:tbl>
    <w:p w14:paraId="15D55F68" w14:textId="77777777" w:rsidR="0054675B" w:rsidRPr="00FD14D7" w:rsidRDefault="0054675B" w:rsidP="0054675B">
      <w:pPr>
        <w:pStyle w:val="Styleep0NotStrikethrough"/>
        <w:ind w:left="0"/>
        <w:rPr>
          <w:rFonts w:cs="Arial"/>
          <w:sz w:val="16"/>
          <w:lang w:val="en-GB"/>
        </w:rPr>
      </w:pPr>
      <w:r w:rsidRPr="00FD14D7">
        <w:rPr>
          <w:rFonts w:cs="Arial"/>
          <w:sz w:val="16"/>
          <w:lang w:val="en-GB"/>
        </w:rPr>
        <w:t>*FPG: fasting plasma glucose; PPG: post prandial plasma glucose.</w:t>
      </w:r>
    </w:p>
    <w:p w14:paraId="35B9DC98" w14:textId="77777777" w:rsidR="00062BBE" w:rsidRPr="00F528BC" w:rsidRDefault="00062BBE" w:rsidP="0054675B">
      <w:pPr>
        <w:pStyle w:val="ep4"/>
        <w:numPr>
          <w:ilvl w:val="0"/>
          <w:numId w:val="0"/>
        </w:numPr>
        <w:rPr>
          <w:color w:val="auto"/>
          <w:sz w:val="10"/>
          <w:lang w:val="en-GB"/>
        </w:rPr>
      </w:pPr>
    </w:p>
    <w:p w14:paraId="36507575" w14:textId="77777777" w:rsidR="0054675B" w:rsidRPr="00D6340F" w:rsidRDefault="0054675B" w:rsidP="0054675B">
      <w:pPr>
        <w:pStyle w:val="ep4"/>
        <w:numPr>
          <w:ilvl w:val="0"/>
          <w:numId w:val="0"/>
        </w:numPr>
        <w:rPr>
          <w:color w:val="auto"/>
          <w:u w:val="single"/>
          <w:lang w:val="en-GB"/>
        </w:rPr>
      </w:pPr>
      <w:r w:rsidRPr="00D6340F">
        <w:rPr>
          <w:color w:val="auto"/>
          <w:u w:val="single"/>
          <w:lang w:val="en-GB"/>
        </w:rPr>
        <w:t>Non-glycaemic targets:</w:t>
      </w:r>
    </w:p>
    <w:p w14:paraId="47B6D2DC" w14:textId="40A17076" w:rsidR="00463E34" w:rsidRPr="00D6340F" w:rsidRDefault="0054675B" w:rsidP="007E4E67">
      <w:pPr>
        <w:pStyle w:val="ep4"/>
        <w:numPr>
          <w:ilvl w:val="0"/>
          <w:numId w:val="11"/>
        </w:numPr>
        <w:ind w:left="284" w:hanging="284"/>
        <w:rPr>
          <w:lang w:val="en-GB"/>
        </w:rPr>
      </w:pPr>
      <w:r w:rsidRPr="00D6340F">
        <w:rPr>
          <w:lang w:val="en-GB"/>
        </w:rPr>
        <w:t>B</w:t>
      </w:r>
      <w:r w:rsidR="00363760">
        <w:rPr>
          <w:lang w:val="en-GB"/>
        </w:rPr>
        <w:t xml:space="preserve">MI </w:t>
      </w:r>
      <w:r w:rsidR="00BA1680" w:rsidRPr="00D6340F">
        <w:rPr>
          <w:lang w:val="en-GB"/>
        </w:rPr>
        <w:t>≤</w:t>
      </w:r>
      <w:r w:rsidRPr="00D6340F">
        <w:rPr>
          <w:lang w:val="en-GB"/>
        </w:rPr>
        <w:t>25 kg/m</w:t>
      </w:r>
      <w:r w:rsidRPr="00D6340F">
        <w:rPr>
          <w:vertAlign w:val="superscript"/>
          <w:lang w:val="en-GB"/>
        </w:rPr>
        <w:t>2</w:t>
      </w:r>
      <w:r w:rsidR="000764A6" w:rsidRPr="00FD14D7">
        <w:rPr>
          <w:lang w:val="en-GB"/>
        </w:rPr>
        <w:t>.</w:t>
      </w:r>
    </w:p>
    <w:p w14:paraId="4BC41518" w14:textId="77777777" w:rsidR="00463E34" w:rsidRPr="00D6340F" w:rsidRDefault="0054675B" w:rsidP="007E4E67">
      <w:pPr>
        <w:pStyle w:val="ep4"/>
        <w:numPr>
          <w:ilvl w:val="0"/>
          <w:numId w:val="11"/>
        </w:numPr>
        <w:ind w:left="284" w:hanging="284"/>
        <w:rPr>
          <w:lang w:val="en-GB"/>
        </w:rPr>
      </w:pPr>
      <w:r w:rsidRPr="00D6340F">
        <w:rPr>
          <w:lang w:val="en-GB"/>
        </w:rPr>
        <w:t>BP ≤140/</w:t>
      </w:r>
      <w:r w:rsidR="007163AB">
        <w:rPr>
          <w:lang w:val="en-GB"/>
        </w:rPr>
        <w:t>9</w:t>
      </w:r>
      <w:r w:rsidRPr="00D6340F">
        <w:rPr>
          <w:lang w:val="en-GB"/>
        </w:rPr>
        <w:t>0 mmHg and ≥120/70 mmHg</w:t>
      </w:r>
      <w:r w:rsidR="000764A6" w:rsidRPr="00D6340F">
        <w:rPr>
          <w:lang w:val="en-GB"/>
        </w:rPr>
        <w:t>.</w:t>
      </w:r>
    </w:p>
    <w:p w14:paraId="3C6A0506" w14:textId="77777777" w:rsidR="00340709" w:rsidRPr="00F528BC" w:rsidRDefault="00340709" w:rsidP="00340709">
      <w:pPr>
        <w:pStyle w:val="Styleep0NotStrikethrough"/>
        <w:ind w:left="0"/>
        <w:rPr>
          <w:rFonts w:cs="Arial"/>
          <w:sz w:val="10"/>
          <w:szCs w:val="18"/>
          <w:lang w:val="en-GB"/>
        </w:rPr>
      </w:pPr>
    </w:p>
    <w:p w14:paraId="4A4F7FB6" w14:textId="77777777" w:rsidR="00340709" w:rsidRPr="00D6340F" w:rsidRDefault="00340709" w:rsidP="00340709">
      <w:pPr>
        <w:pStyle w:val="Styleep0NotStrikethrough"/>
        <w:ind w:left="0"/>
        <w:rPr>
          <w:rFonts w:cs="Arial"/>
          <w:lang w:val="en-GB"/>
        </w:rPr>
      </w:pPr>
      <w:r w:rsidRPr="00D6340F">
        <w:rPr>
          <w:rFonts w:cs="Arial"/>
          <w:lang w:val="en-GB"/>
        </w:rPr>
        <w:t xml:space="preserve">In the elderly, </w:t>
      </w:r>
      <w:r w:rsidRPr="00D6340F">
        <w:rPr>
          <w:rFonts w:cs="Arial"/>
          <w:color w:val="231F20"/>
          <w:szCs w:val="18"/>
          <w:lang w:val="en-GB" w:eastAsia="en-ZA"/>
        </w:rPr>
        <w:t xml:space="preserve">the increased risk of </w:t>
      </w:r>
      <w:r w:rsidRPr="00D6340F">
        <w:rPr>
          <w:rFonts w:cs="Arial"/>
          <w:bCs/>
          <w:color w:val="231F20"/>
          <w:lang w:val="en-GB" w:eastAsia="en-ZA"/>
        </w:rPr>
        <w:t>hypoglycaemia</w:t>
      </w:r>
      <w:r w:rsidRPr="00D6340F">
        <w:rPr>
          <w:rFonts w:cs="Arial"/>
          <w:color w:val="231F20"/>
          <w:szCs w:val="18"/>
          <w:lang w:val="en-GB" w:eastAsia="en-ZA"/>
        </w:rPr>
        <w:t xml:space="preserve"> must be weighed</w:t>
      </w:r>
      <w:r w:rsidR="00FD14D7">
        <w:rPr>
          <w:rFonts w:cs="Arial"/>
          <w:color w:val="231F20"/>
          <w:szCs w:val="18"/>
          <w:lang w:val="en-GB" w:eastAsia="en-ZA"/>
        </w:rPr>
        <w:t xml:space="preserve"> </w:t>
      </w:r>
      <w:r w:rsidRPr="00D6340F">
        <w:rPr>
          <w:rFonts w:cs="Arial"/>
          <w:color w:val="231F20"/>
          <w:szCs w:val="18"/>
          <w:lang w:val="en-GB" w:eastAsia="en-ZA"/>
        </w:rPr>
        <w:t>against the potential benefit of reducing</w:t>
      </w:r>
      <w:r w:rsidR="00FD14D7">
        <w:rPr>
          <w:rFonts w:cs="Arial"/>
          <w:color w:val="231F20"/>
          <w:szCs w:val="18"/>
          <w:lang w:val="en-GB" w:eastAsia="en-ZA"/>
        </w:rPr>
        <w:t xml:space="preserve"> </w:t>
      </w:r>
      <w:r w:rsidRPr="00D6340F">
        <w:rPr>
          <w:rFonts w:cs="Arial"/>
          <w:color w:val="231F20"/>
          <w:szCs w:val="18"/>
          <w:lang w:val="en-GB" w:eastAsia="en-ZA"/>
        </w:rPr>
        <w:t>microvascular and macrovascular</w:t>
      </w:r>
      <w:r w:rsidRPr="00D6340F">
        <w:rPr>
          <w:rFonts w:cs="Arial"/>
          <w:bCs/>
          <w:color w:val="231F20"/>
          <w:lang w:val="en-GB" w:eastAsia="en-ZA"/>
        </w:rPr>
        <w:t xml:space="preserve"> complications.</w:t>
      </w:r>
    </w:p>
    <w:p w14:paraId="66E33C5C" w14:textId="77777777" w:rsidR="00340709" w:rsidRPr="00D6340F" w:rsidRDefault="00340709" w:rsidP="00340709">
      <w:pPr>
        <w:autoSpaceDE w:val="0"/>
        <w:autoSpaceDN w:val="0"/>
        <w:adjustRightInd w:val="0"/>
        <w:rPr>
          <w:rFonts w:cs="Arial"/>
          <w:lang w:val="en-GB"/>
        </w:rPr>
      </w:pPr>
      <w:r w:rsidRPr="00D6340F">
        <w:rPr>
          <w:rFonts w:cs="Arial"/>
          <w:bCs w:val="0"/>
          <w:color w:val="auto"/>
          <w:lang w:val="en-GB" w:eastAsia="en-ZA"/>
        </w:rPr>
        <w:t>In patients with severe target organ damage, therapy should be tailored on an individual patient basis and should focus on avoiding hypoglycaemia.</w:t>
      </w:r>
    </w:p>
    <w:p w14:paraId="368F8E0F" w14:textId="77777777" w:rsidR="00340709" w:rsidRPr="00D6340F" w:rsidRDefault="00340709" w:rsidP="00340709">
      <w:pPr>
        <w:pStyle w:val="ep0"/>
        <w:ind w:left="0"/>
        <w:rPr>
          <w:rFonts w:cs="Arial"/>
          <w:strike w:val="0"/>
          <w:lang w:val="en-GB"/>
        </w:rPr>
      </w:pPr>
    </w:p>
    <w:p w14:paraId="3C4999DC" w14:textId="77777777" w:rsidR="00340709" w:rsidRPr="00D6340F" w:rsidRDefault="00340709" w:rsidP="00340709">
      <w:pPr>
        <w:pStyle w:val="Heading5"/>
        <w:rPr>
          <w:rFonts w:cs="Arial"/>
          <w:lang w:val="en-GB"/>
        </w:rPr>
      </w:pPr>
      <w:r w:rsidRPr="00D6340F">
        <w:rPr>
          <w:rFonts w:cs="Arial"/>
          <w:lang w:val="en-GB"/>
        </w:rPr>
        <w:t>REFERRAL</w:t>
      </w:r>
    </w:p>
    <w:p w14:paraId="6EA0608A" w14:textId="77777777" w:rsidR="00340709" w:rsidRPr="00D6340F" w:rsidRDefault="00340709" w:rsidP="007E4E67">
      <w:pPr>
        <w:pStyle w:val="ep4"/>
        <w:numPr>
          <w:ilvl w:val="0"/>
          <w:numId w:val="11"/>
        </w:numPr>
        <w:ind w:left="284" w:hanging="284"/>
        <w:rPr>
          <w:lang w:val="en-GB"/>
        </w:rPr>
      </w:pPr>
      <w:r w:rsidRPr="00D6340F">
        <w:rPr>
          <w:lang w:val="en-GB"/>
        </w:rPr>
        <w:t>Inability to achieve optimal metabolic control.</w:t>
      </w:r>
    </w:p>
    <w:p w14:paraId="19A48340" w14:textId="77777777" w:rsidR="00340709" w:rsidRPr="00D6340F" w:rsidRDefault="00340709" w:rsidP="007E4E67">
      <w:pPr>
        <w:pStyle w:val="ep4"/>
        <w:numPr>
          <w:ilvl w:val="0"/>
          <w:numId w:val="11"/>
        </w:numPr>
        <w:ind w:left="284" w:hanging="284"/>
        <w:rPr>
          <w:lang w:val="en-GB"/>
        </w:rPr>
      </w:pPr>
      <w:r w:rsidRPr="00D6340F">
        <w:rPr>
          <w:lang w:val="en-GB"/>
        </w:rPr>
        <w:t>Complications that cannot be managed on site, especially ophthalmic, e.g. cataracts and proliferative retinopathy.</w:t>
      </w:r>
    </w:p>
    <w:p w14:paraId="574BDE21" w14:textId="77777777" w:rsidR="00340709" w:rsidRPr="00D6340F" w:rsidRDefault="00340709" w:rsidP="007E4E67">
      <w:pPr>
        <w:pStyle w:val="ep4"/>
        <w:numPr>
          <w:ilvl w:val="0"/>
          <w:numId w:val="11"/>
        </w:numPr>
        <w:ind w:left="284" w:hanging="284"/>
        <w:rPr>
          <w:color w:val="auto"/>
          <w:lang w:val="en-GB"/>
        </w:rPr>
      </w:pPr>
      <w:r w:rsidRPr="00D6340F">
        <w:rPr>
          <w:color w:val="auto"/>
          <w:lang w:val="en-GB"/>
        </w:rPr>
        <w:t>Recurrent severe hypoglycaemia</w:t>
      </w:r>
      <w:r w:rsidR="000764A6" w:rsidRPr="00D6340F">
        <w:rPr>
          <w:color w:val="auto"/>
          <w:lang w:val="en-GB"/>
        </w:rPr>
        <w:t>.</w:t>
      </w:r>
    </w:p>
    <w:p w14:paraId="14957474" w14:textId="77777777" w:rsidR="00503E7F" w:rsidRPr="00D6340F" w:rsidRDefault="00503E7F" w:rsidP="00F513D7">
      <w:pPr>
        <w:rPr>
          <w:rFonts w:cs="Arial"/>
          <w:lang w:val="en-GB"/>
        </w:rPr>
      </w:pPr>
    </w:p>
    <w:p w14:paraId="44A13F29" w14:textId="77777777" w:rsidR="00F513D7" w:rsidRPr="00D6340F" w:rsidRDefault="00F513D7" w:rsidP="00110944">
      <w:pPr>
        <w:pStyle w:val="Heading2"/>
      </w:pPr>
      <w:r w:rsidRPr="00D6340F">
        <w:t xml:space="preserve">8.5.1 </w:t>
      </w:r>
      <w:r w:rsidR="00E355FE" w:rsidRPr="00D6340F">
        <w:t xml:space="preserve">TYPE 2 </w:t>
      </w:r>
      <w:r w:rsidRPr="00D6340F">
        <w:t>DIABETES MELLITUS</w:t>
      </w:r>
    </w:p>
    <w:p w14:paraId="7900EA7F" w14:textId="77777777" w:rsidR="00F513D7" w:rsidRPr="00D6340F" w:rsidRDefault="00F513D7" w:rsidP="00C02921">
      <w:pPr>
        <w:pStyle w:val="Heading4"/>
      </w:pPr>
      <w:r w:rsidRPr="00D6340F">
        <w:t>e11.</w:t>
      </w:r>
      <w:r w:rsidR="007A52FA">
        <w:t>0-9</w:t>
      </w:r>
      <w:r w:rsidR="00A658E3">
        <w:t>/E12.0-9/E13.0-9/E14.0-9</w:t>
      </w:r>
    </w:p>
    <w:p w14:paraId="33310BD7" w14:textId="77777777" w:rsidR="00F513D7" w:rsidRPr="00D6340F" w:rsidRDefault="00F513D7" w:rsidP="00F513D7">
      <w:pPr>
        <w:rPr>
          <w:rFonts w:cs="Arial"/>
          <w:sz w:val="16"/>
          <w:szCs w:val="16"/>
          <w:lang w:val="en-GB"/>
        </w:rPr>
      </w:pPr>
    </w:p>
    <w:p w14:paraId="7B9FFAC3" w14:textId="77777777" w:rsidR="00F513D7" w:rsidRPr="00D6340F" w:rsidRDefault="00F513D7" w:rsidP="00F513D7">
      <w:pPr>
        <w:rPr>
          <w:rFonts w:cs="Arial"/>
          <w:lang w:val="en-GB"/>
        </w:rPr>
      </w:pPr>
      <w:r w:rsidRPr="00D6340F">
        <w:rPr>
          <w:rFonts w:cs="Arial"/>
          <w:lang w:val="en-GB"/>
        </w:rPr>
        <w:t>Management includes:</w:t>
      </w:r>
    </w:p>
    <w:p w14:paraId="43640BDE" w14:textId="77777777" w:rsidR="00F513D7" w:rsidRPr="00D6340F" w:rsidRDefault="00F513D7" w:rsidP="007E4E67">
      <w:pPr>
        <w:pStyle w:val="ep4"/>
        <w:numPr>
          <w:ilvl w:val="0"/>
          <w:numId w:val="12"/>
        </w:numPr>
        <w:ind w:left="284" w:hanging="284"/>
        <w:rPr>
          <w:lang w:val="en-GB"/>
        </w:rPr>
      </w:pPr>
      <w:r w:rsidRPr="00D6340F">
        <w:rPr>
          <w:lang w:val="en-GB"/>
        </w:rPr>
        <w:t>Treatment of hyperglycaemia.</w:t>
      </w:r>
    </w:p>
    <w:p w14:paraId="70281565" w14:textId="19972838" w:rsidR="00F513D7" w:rsidRPr="00D6340F" w:rsidRDefault="00F513D7" w:rsidP="007E4E67">
      <w:pPr>
        <w:pStyle w:val="ep4"/>
        <w:numPr>
          <w:ilvl w:val="0"/>
          <w:numId w:val="12"/>
        </w:numPr>
        <w:ind w:left="284" w:hanging="284"/>
        <w:rPr>
          <w:lang w:val="en-GB"/>
        </w:rPr>
      </w:pPr>
      <w:r w:rsidRPr="00D6340F">
        <w:rPr>
          <w:lang w:val="en-GB"/>
        </w:rPr>
        <w:t xml:space="preserve">Treatment of hypertension and dyslipidaemia after risk-assessment. See </w:t>
      </w:r>
      <w:r w:rsidR="002840C6">
        <w:rPr>
          <w:lang w:val="en-GB"/>
        </w:rPr>
        <w:t>Section</w:t>
      </w:r>
      <w:r w:rsidRPr="00D6340F">
        <w:rPr>
          <w:lang w:val="en-GB"/>
        </w:rPr>
        <w:t xml:space="preserve"> 3.6: Hypertension.</w:t>
      </w:r>
    </w:p>
    <w:p w14:paraId="4CC9A40C" w14:textId="77777777" w:rsidR="00F513D7" w:rsidRPr="00D6340F" w:rsidRDefault="00F513D7" w:rsidP="007E4E67">
      <w:pPr>
        <w:pStyle w:val="ep4"/>
        <w:numPr>
          <w:ilvl w:val="0"/>
          <w:numId w:val="12"/>
        </w:numPr>
        <w:ind w:left="284" w:hanging="284"/>
        <w:rPr>
          <w:lang w:val="en-GB"/>
        </w:rPr>
      </w:pPr>
      <w:r w:rsidRPr="00D6340F">
        <w:rPr>
          <w:lang w:val="en-GB"/>
        </w:rPr>
        <w:t>Prevention and treatment of microvascular complications.</w:t>
      </w:r>
    </w:p>
    <w:p w14:paraId="6EA750F9" w14:textId="77777777" w:rsidR="00F513D7" w:rsidRPr="00D6340F" w:rsidRDefault="00F513D7" w:rsidP="007E4E67">
      <w:pPr>
        <w:pStyle w:val="ep4"/>
        <w:numPr>
          <w:ilvl w:val="0"/>
          <w:numId w:val="12"/>
        </w:numPr>
        <w:ind w:left="284" w:hanging="284"/>
        <w:rPr>
          <w:lang w:val="en-GB"/>
        </w:rPr>
      </w:pPr>
      <w:r w:rsidRPr="00D6340F">
        <w:rPr>
          <w:lang w:val="en-GB"/>
        </w:rPr>
        <w:t>Prevention and treatment of macrovascular complications.</w:t>
      </w:r>
    </w:p>
    <w:p w14:paraId="23DA60E3" w14:textId="77777777" w:rsidR="00F513D7" w:rsidRPr="00D6340F" w:rsidRDefault="00F513D7" w:rsidP="00F513D7">
      <w:pPr>
        <w:pStyle w:val="Heading5"/>
        <w:rPr>
          <w:rFonts w:cs="Arial"/>
          <w:lang w:val="en-GB"/>
        </w:rPr>
      </w:pPr>
      <w:r w:rsidRPr="00D6340F">
        <w:rPr>
          <w:rFonts w:cs="Arial"/>
          <w:lang w:val="en-GB"/>
        </w:rPr>
        <w:lastRenderedPageBreak/>
        <w:t>MEDICINE TREATMENT</w:t>
      </w:r>
    </w:p>
    <w:p w14:paraId="0BC3A4D5" w14:textId="77777777" w:rsidR="00F513D7" w:rsidRPr="00D6340F" w:rsidRDefault="00F513D7" w:rsidP="00F513D7">
      <w:pPr>
        <w:pStyle w:val="Heading5"/>
        <w:rPr>
          <w:rFonts w:cs="Arial"/>
          <w:sz w:val="18"/>
          <w:szCs w:val="18"/>
          <w:lang w:val="en-GB"/>
        </w:rPr>
      </w:pPr>
      <w:r w:rsidRPr="00D6340F">
        <w:rPr>
          <w:rFonts w:cs="Arial"/>
          <w:sz w:val="18"/>
          <w:szCs w:val="18"/>
          <w:lang w:val="en-GB"/>
        </w:rPr>
        <w:t>Oral blood glucose lowering drugs</w:t>
      </w:r>
    </w:p>
    <w:p w14:paraId="6B9733FA" w14:textId="77777777" w:rsidR="00050D44" w:rsidRPr="00D6340F" w:rsidRDefault="00050D44" w:rsidP="00050D44">
      <w:pPr>
        <w:rPr>
          <w:rFonts w:cs="Arial"/>
          <w:color w:val="auto"/>
          <w:lang w:val="en-GB"/>
        </w:rPr>
      </w:pPr>
      <w:r w:rsidRPr="00D6340F">
        <w:rPr>
          <w:rFonts w:cs="Arial"/>
          <w:color w:val="auto"/>
          <w:lang w:val="en-GB"/>
        </w:rPr>
        <w:t xml:space="preserve">Metformin is the preferred initial medicine and is added to the combination of dietary modifications and physical activity/exercise. If metformin, in maximal dose, with diet and exercise fails to lower </w:t>
      </w:r>
      <w:r w:rsidRPr="006759C5">
        <w:rPr>
          <w:rFonts w:cs="Arial"/>
          <w:color w:val="auto"/>
          <w:lang w:val="en-GB"/>
        </w:rPr>
        <w:t>HbA1c</w:t>
      </w:r>
      <w:r w:rsidRPr="00D6340F">
        <w:rPr>
          <w:rFonts w:cs="Arial"/>
          <w:color w:val="auto"/>
          <w:lang w:val="en-GB"/>
        </w:rPr>
        <w:t xml:space="preserve"> to target, a second agent should be added. This second agent may be either a </w:t>
      </w:r>
      <w:proofErr w:type="spellStart"/>
      <w:r w:rsidRPr="00AB44A9">
        <w:rPr>
          <w:rFonts w:cs="Arial"/>
          <w:color w:val="auto"/>
          <w:lang w:val="en-GB"/>
        </w:rPr>
        <w:t>sulphonylurea</w:t>
      </w:r>
      <w:proofErr w:type="spellEnd"/>
      <w:r w:rsidRPr="00AB44A9">
        <w:rPr>
          <w:rFonts w:cs="Arial"/>
          <w:color w:val="auto"/>
          <w:lang w:val="en-GB"/>
        </w:rPr>
        <w:t>,</w:t>
      </w:r>
      <w:r w:rsidR="00FD14D7">
        <w:rPr>
          <w:rFonts w:cs="Arial"/>
          <w:color w:val="auto"/>
          <w:lang w:val="en-GB"/>
        </w:rPr>
        <w:t xml:space="preserve"> </w:t>
      </w:r>
      <w:r w:rsidRPr="00D6340F">
        <w:rPr>
          <w:rFonts w:cs="Arial"/>
          <w:color w:val="auto"/>
          <w:lang w:val="en-GB"/>
        </w:rPr>
        <w:t xml:space="preserve">or basal insulin. The specific indication is dependent on individual circumstances. </w:t>
      </w:r>
    </w:p>
    <w:p w14:paraId="22B1EB4B" w14:textId="77777777" w:rsidR="00050D44" w:rsidRPr="00D6340F" w:rsidRDefault="00050D44" w:rsidP="00050D44">
      <w:pPr>
        <w:rPr>
          <w:rFonts w:cs="Arial"/>
          <w:color w:val="auto"/>
          <w:sz w:val="6"/>
          <w:szCs w:val="6"/>
          <w:lang w:val="en-GB"/>
        </w:rPr>
      </w:pPr>
    </w:p>
    <w:p w14:paraId="1E9C5E43" w14:textId="77777777" w:rsidR="00195F40" w:rsidRPr="00D6340F" w:rsidRDefault="00050D44" w:rsidP="00050D44">
      <w:pPr>
        <w:rPr>
          <w:rFonts w:cs="Arial"/>
          <w:color w:val="auto"/>
          <w:lang w:val="en-GB"/>
        </w:rPr>
      </w:pPr>
      <w:r w:rsidRPr="00D6340F">
        <w:rPr>
          <w:rFonts w:cs="Arial"/>
          <w:color w:val="auto"/>
          <w:lang w:val="en-GB"/>
        </w:rPr>
        <w:t xml:space="preserve">If a combination of two agents fails to lower </w:t>
      </w:r>
      <w:r w:rsidRPr="006759C5">
        <w:rPr>
          <w:rFonts w:cs="Arial"/>
          <w:color w:val="auto"/>
          <w:lang w:val="en-GB"/>
        </w:rPr>
        <w:t xml:space="preserve">HbA1c </w:t>
      </w:r>
      <w:r w:rsidRPr="00D6340F">
        <w:rPr>
          <w:rFonts w:cs="Arial"/>
          <w:color w:val="auto"/>
          <w:lang w:val="en-GB"/>
        </w:rPr>
        <w:t xml:space="preserve">to target, a third agent is added. The preferential sequence of agents to use is metformin, followed by the addition of </w:t>
      </w:r>
      <w:proofErr w:type="spellStart"/>
      <w:r w:rsidRPr="00D6340F">
        <w:rPr>
          <w:rFonts w:cs="Arial"/>
          <w:color w:val="auto"/>
          <w:lang w:val="en-GB"/>
        </w:rPr>
        <w:t>sulphonylurea</w:t>
      </w:r>
      <w:proofErr w:type="spellEnd"/>
      <w:r w:rsidRPr="00D6340F">
        <w:rPr>
          <w:rFonts w:cs="Arial"/>
          <w:color w:val="auto"/>
          <w:lang w:val="en-GB"/>
        </w:rPr>
        <w:t>, followed by the addition of basal insulin.</w:t>
      </w:r>
    </w:p>
    <w:p w14:paraId="6FD8E4C9" w14:textId="77777777" w:rsidR="00050D44" w:rsidRPr="00D6340F" w:rsidRDefault="00050D44" w:rsidP="00050D44">
      <w:pPr>
        <w:rPr>
          <w:rFonts w:cs="Arial"/>
          <w:color w:val="auto"/>
          <w:sz w:val="6"/>
          <w:szCs w:val="6"/>
          <w:lang w:val="en-GB"/>
        </w:rPr>
      </w:pPr>
    </w:p>
    <w:p w14:paraId="6ECDF8EA" w14:textId="77777777" w:rsidR="00F513D7" w:rsidRPr="00D6340F" w:rsidRDefault="00050D44" w:rsidP="00050D44">
      <w:pPr>
        <w:rPr>
          <w:rFonts w:cs="Arial"/>
          <w:color w:val="auto"/>
          <w:lang w:val="en-GB"/>
        </w:rPr>
      </w:pPr>
      <w:r w:rsidRPr="00D6340F">
        <w:rPr>
          <w:rFonts w:cs="Arial"/>
          <w:color w:val="auto"/>
          <w:lang w:val="en-GB"/>
        </w:rPr>
        <w:t xml:space="preserve">If the combination of two oral agents and basal insulin fails to lower </w:t>
      </w:r>
      <w:r w:rsidRPr="006759C5">
        <w:rPr>
          <w:rFonts w:cs="Arial"/>
          <w:color w:val="auto"/>
          <w:lang w:val="en-GB"/>
        </w:rPr>
        <w:t>HbA1c</w:t>
      </w:r>
      <w:r w:rsidRPr="00D6340F">
        <w:rPr>
          <w:rFonts w:cs="Arial"/>
          <w:color w:val="auto"/>
          <w:lang w:val="en-GB"/>
        </w:rPr>
        <w:t xml:space="preserve"> to target, or if other reasons to adjust therapy exist (such as nocturnal hypoglycaemia), then intensified insulin therapy in consultation with a specialist is required (either twice daily pre-mix, or basal-bolus therapy) and </w:t>
      </w:r>
      <w:proofErr w:type="spellStart"/>
      <w:r w:rsidR="00B8196E" w:rsidRPr="00D6340F">
        <w:rPr>
          <w:rFonts w:cs="Arial"/>
          <w:color w:val="auto"/>
          <w:lang w:val="en-GB"/>
        </w:rPr>
        <w:t>sulphonylureas</w:t>
      </w:r>
      <w:proofErr w:type="spellEnd"/>
      <w:r w:rsidRPr="00D6340F">
        <w:rPr>
          <w:rFonts w:cs="Arial"/>
          <w:color w:val="auto"/>
          <w:lang w:val="en-GB"/>
        </w:rPr>
        <w:t xml:space="preserve"> are discontinued.</w:t>
      </w:r>
    </w:p>
    <w:p w14:paraId="6ED3199F" w14:textId="77777777" w:rsidR="00F513D7" w:rsidRPr="00D6340F" w:rsidRDefault="00F513D7" w:rsidP="00F513D7">
      <w:pPr>
        <w:rPr>
          <w:rFonts w:cs="Arial"/>
          <w:b/>
          <w:sz w:val="6"/>
          <w:szCs w:val="6"/>
          <w:lang w:val="en-GB"/>
        </w:rPr>
      </w:pPr>
    </w:p>
    <w:p w14:paraId="338AE944" w14:textId="77777777" w:rsidR="00F513D7" w:rsidRPr="00D6340F" w:rsidRDefault="00F513D7" w:rsidP="00F513D7">
      <w:pPr>
        <w:rPr>
          <w:rFonts w:cs="Arial"/>
          <w:lang w:val="en-GB"/>
        </w:rPr>
      </w:pPr>
      <w:r w:rsidRPr="00D6340F">
        <w:rPr>
          <w:rFonts w:cs="Arial"/>
          <w:b/>
          <w:lang w:val="en-GB"/>
        </w:rPr>
        <w:t>Note</w:t>
      </w:r>
      <w:r w:rsidRPr="00D6340F">
        <w:rPr>
          <w:rFonts w:cs="Arial"/>
          <w:lang w:val="en-GB"/>
        </w:rPr>
        <w:t xml:space="preserve">: Secondary failure of oral agents occurs in about 5–10% of patients annually. </w:t>
      </w:r>
    </w:p>
    <w:p w14:paraId="73239CF5" w14:textId="77777777" w:rsidR="00F513D7" w:rsidRPr="00D6340F" w:rsidRDefault="00F513D7" w:rsidP="00F513D7">
      <w:pPr>
        <w:rPr>
          <w:rFonts w:cs="Arial"/>
          <w:sz w:val="10"/>
          <w:szCs w:val="10"/>
          <w:lang w:val="en-GB"/>
        </w:rPr>
      </w:pPr>
    </w:p>
    <w:p w14:paraId="3849593E" w14:textId="77777777" w:rsidR="00F513D7" w:rsidRPr="00D6340F" w:rsidRDefault="00F513D7" w:rsidP="00F513D7">
      <w:pPr>
        <w:pStyle w:val="Heading7"/>
        <w:rPr>
          <w:lang w:val="en-GB"/>
        </w:rPr>
      </w:pPr>
      <w:r w:rsidRPr="00D6340F">
        <w:rPr>
          <w:lang w:val="en-GB"/>
        </w:rPr>
        <w:t>Metformin</w:t>
      </w:r>
    </w:p>
    <w:p w14:paraId="70F16B46" w14:textId="77777777" w:rsidR="00F513D7" w:rsidRPr="00D6340F" w:rsidRDefault="00F513D7" w:rsidP="00F513D7">
      <w:pPr>
        <w:pStyle w:val="ep4"/>
        <w:rPr>
          <w:lang w:val="en-GB"/>
        </w:rPr>
      </w:pPr>
      <w:r w:rsidRPr="00D6340F">
        <w:rPr>
          <w:lang w:val="en-GB"/>
        </w:rPr>
        <w:t xml:space="preserve">Metformin, oral, 500 mg </w:t>
      </w:r>
      <w:r w:rsidR="00AD5B5A" w:rsidRPr="00D6340F">
        <w:rPr>
          <w:color w:val="auto"/>
          <w:lang w:val="en-GB"/>
        </w:rPr>
        <w:t xml:space="preserve">twice </w:t>
      </w:r>
      <w:r w:rsidRPr="00D6340F">
        <w:rPr>
          <w:lang w:val="en-GB"/>
        </w:rPr>
        <w:t>daily with meals.</w:t>
      </w:r>
    </w:p>
    <w:p w14:paraId="78AD4EC4" w14:textId="77777777" w:rsidR="005E1803" w:rsidRDefault="006C10F3" w:rsidP="007E4E67">
      <w:pPr>
        <w:pStyle w:val="ep4"/>
        <w:numPr>
          <w:ilvl w:val="0"/>
          <w:numId w:val="14"/>
        </w:numPr>
        <w:ind w:left="567" w:hanging="283"/>
        <w:rPr>
          <w:lang w:val="en-GB"/>
        </w:rPr>
      </w:pPr>
      <w:r>
        <w:rPr>
          <w:lang w:val="en-GB"/>
        </w:rPr>
        <w:t>A</w:t>
      </w:r>
      <w:r w:rsidR="00190A9F">
        <w:rPr>
          <w:lang w:val="en-GB"/>
        </w:rPr>
        <w:t>djust</w:t>
      </w:r>
      <w:r w:rsidR="00190A9F" w:rsidRPr="00D6340F">
        <w:rPr>
          <w:lang w:val="en-GB"/>
        </w:rPr>
        <w:t xml:space="preserve"> dose </w:t>
      </w:r>
      <w:r w:rsidR="0049767C">
        <w:rPr>
          <w:lang w:val="en-GB"/>
        </w:rPr>
        <w:t xml:space="preserve">based </w:t>
      </w:r>
      <w:r>
        <w:rPr>
          <w:lang w:val="en-GB"/>
        </w:rPr>
        <w:t>o</w:t>
      </w:r>
      <w:r w:rsidR="00190A9F" w:rsidRPr="00D6340F">
        <w:rPr>
          <w:lang w:val="en-GB"/>
        </w:rPr>
        <w:t>n fasting blood glucose levels</w:t>
      </w:r>
      <w:r w:rsidR="00190A9F">
        <w:rPr>
          <w:lang w:val="en-GB"/>
        </w:rPr>
        <w:t xml:space="preserve"> and/or </w:t>
      </w:r>
      <w:r w:rsidR="00190A9F" w:rsidRPr="00D6340F">
        <w:rPr>
          <w:lang w:val="en-GB"/>
        </w:rPr>
        <w:t>HbA</w:t>
      </w:r>
      <w:r w:rsidR="00190A9F" w:rsidRPr="006759C5">
        <w:rPr>
          <w:lang w:val="en-GB"/>
        </w:rPr>
        <w:t>1c</w:t>
      </w:r>
      <w:r w:rsidR="00190A9F">
        <w:rPr>
          <w:lang w:val="en-GB"/>
        </w:rPr>
        <w:t xml:space="preserve"> </w:t>
      </w:r>
      <w:r w:rsidR="00F513D7" w:rsidRPr="00D6340F">
        <w:rPr>
          <w:lang w:val="en-GB"/>
        </w:rPr>
        <w:t>to a maximum dose of 850 mg 8 hourly.</w:t>
      </w:r>
    </w:p>
    <w:p w14:paraId="2BB3BC9A" w14:textId="77777777" w:rsidR="005B2A13" w:rsidRPr="005B2A13" w:rsidRDefault="005B2A13" w:rsidP="00A658E3">
      <w:pPr>
        <w:pStyle w:val="ep4"/>
        <w:numPr>
          <w:ilvl w:val="0"/>
          <w:numId w:val="0"/>
        </w:numPr>
        <w:ind w:left="567" w:hanging="283"/>
        <w:rPr>
          <w:sz w:val="2"/>
          <w:szCs w:val="2"/>
          <w:lang w:val="en-GB"/>
        </w:rPr>
      </w:pP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5E1803" w:rsidRPr="0048642F" w14:paraId="0DDE58E8" w14:textId="77777777" w:rsidTr="00FC265C">
        <w:tc>
          <w:tcPr>
            <w:tcW w:w="1134" w:type="dxa"/>
            <w:shd w:val="clear" w:color="auto" w:fill="auto"/>
          </w:tcPr>
          <w:p w14:paraId="29571C1D" w14:textId="77777777" w:rsidR="005E1803" w:rsidRPr="0048642F" w:rsidRDefault="005E1803" w:rsidP="00A658E3">
            <w:pPr>
              <w:ind w:left="567" w:hanging="283"/>
              <w:jc w:val="right"/>
              <w:rPr>
                <w:b/>
                <w:i/>
                <w:sz w:val="16"/>
                <w:lang w:val="en-GB"/>
              </w:rPr>
            </w:pPr>
            <w:proofErr w:type="spellStart"/>
            <w:proofErr w:type="gramStart"/>
            <w:r w:rsidRPr="0048642F">
              <w:rPr>
                <w:i/>
                <w:sz w:val="16"/>
                <w:lang w:val="en-GB"/>
              </w:rPr>
              <w:t>LoE:I</w:t>
            </w:r>
            <w:proofErr w:type="spellEnd"/>
            <w:proofErr w:type="gramEnd"/>
            <w:r w:rsidRPr="0048642F">
              <w:rPr>
                <w:rStyle w:val="EndnoteReference"/>
                <w:i/>
                <w:sz w:val="16"/>
                <w:lang w:val="en-GB"/>
              </w:rPr>
              <w:endnoteReference w:id="13"/>
            </w:r>
          </w:p>
        </w:tc>
      </w:tr>
    </w:tbl>
    <w:p w14:paraId="260583FD" w14:textId="77777777" w:rsidR="0036185F" w:rsidRPr="00D6340F" w:rsidRDefault="002331C0" w:rsidP="007E4E67">
      <w:pPr>
        <w:pStyle w:val="ep4"/>
        <w:numPr>
          <w:ilvl w:val="0"/>
          <w:numId w:val="14"/>
        </w:numPr>
        <w:ind w:left="567" w:hanging="283"/>
        <w:rPr>
          <w:lang w:val="en-GB"/>
        </w:rPr>
      </w:pPr>
      <w:r w:rsidRPr="00D6340F">
        <w:rPr>
          <w:lang w:val="en-GB"/>
        </w:rPr>
        <w:t>Monitor renal function.</w:t>
      </w:r>
    </w:p>
    <w:p w14:paraId="3CA5543B" w14:textId="77777777" w:rsidR="0036185F" w:rsidRDefault="00740EC1" w:rsidP="007E4E67">
      <w:pPr>
        <w:pStyle w:val="ep4"/>
        <w:numPr>
          <w:ilvl w:val="0"/>
          <w:numId w:val="14"/>
        </w:numPr>
        <w:ind w:left="567" w:hanging="283"/>
        <w:rPr>
          <w:lang w:val="en-GB"/>
        </w:rPr>
      </w:pPr>
      <w:r w:rsidRPr="00D6340F">
        <w:rPr>
          <w:lang w:val="en-GB"/>
        </w:rPr>
        <w:t>Dose-adjust in renal impairment as follows:</w:t>
      </w:r>
    </w:p>
    <w:tbl>
      <w:tblPr>
        <w:tblStyle w:val="TableGrid"/>
        <w:tblW w:w="5000" w:type="pct"/>
        <w:tblLook w:val="04A0" w:firstRow="1" w:lastRow="0" w:firstColumn="1" w:lastColumn="0" w:noHBand="0" w:noVBand="1"/>
      </w:tblPr>
      <w:tblGrid>
        <w:gridCol w:w="1980"/>
        <w:gridCol w:w="4134"/>
      </w:tblGrid>
      <w:tr w:rsidR="00C02921" w:rsidRPr="00C02921" w14:paraId="619EBFB5" w14:textId="77777777" w:rsidTr="0048642F">
        <w:tc>
          <w:tcPr>
            <w:tcW w:w="1619" w:type="pct"/>
            <w:shd w:val="clear" w:color="auto" w:fill="EEECE1" w:themeFill="background2"/>
          </w:tcPr>
          <w:p w14:paraId="2D9D34AD" w14:textId="77777777" w:rsidR="00C02921" w:rsidRPr="0048642F" w:rsidRDefault="00C02921" w:rsidP="0048642F">
            <w:pPr>
              <w:pStyle w:val="ep4"/>
              <w:numPr>
                <w:ilvl w:val="0"/>
                <w:numId w:val="0"/>
              </w:numPr>
              <w:rPr>
                <w:b/>
                <w:sz w:val="16"/>
                <w:szCs w:val="16"/>
                <w:lang w:val="en-GB"/>
              </w:rPr>
            </w:pPr>
            <w:r w:rsidRPr="0048642F">
              <w:rPr>
                <w:b/>
                <w:sz w:val="16"/>
                <w:szCs w:val="16"/>
                <w:lang w:val="en-GB"/>
              </w:rPr>
              <w:t>eGFR</w:t>
            </w:r>
          </w:p>
        </w:tc>
        <w:tc>
          <w:tcPr>
            <w:tcW w:w="3381" w:type="pct"/>
            <w:shd w:val="clear" w:color="auto" w:fill="EEECE1" w:themeFill="background2"/>
          </w:tcPr>
          <w:p w14:paraId="02FA9124" w14:textId="77777777" w:rsidR="00C02921" w:rsidRPr="0048642F" w:rsidRDefault="00C02921" w:rsidP="00C02921">
            <w:pPr>
              <w:pStyle w:val="ep4"/>
              <w:numPr>
                <w:ilvl w:val="0"/>
                <w:numId w:val="0"/>
              </w:numPr>
              <w:rPr>
                <w:b/>
                <w:color w:val="auto"/>
                <w:sz w:val="16"/>
                <w:szCs w:val="16"/>
                <w:lang w:val="en-GB"/>
              </w:rPr>
            </w:pPr>
            <w:r w:rsidRPr="0048642F">
              <w:rPr>
                <w:b/>
                <w:color w:val="auto"/>
                <w:sz w:val="16"/>
                <w:szCs w:val="16"/>
                <w:lang w:val="en-GB"/>
              </w:rPr>
              <w:t>Metformin dose</w:t>
            </w:r>
          </w:p>
        </w:tc>
      </w:tr>
      <w:tr w:rsidR="00C02921" w:rsidRPr="006759C5" w14:paraId="46DA0FDB" w14:textId="77777777" w:rsidTr="00C02921">
        <w:tc>
          <w:tcPr>
            <w:tcW w:w="1619" w:type="pct"/>
          </w:tcPr>
          <w:p w14:paraId="222D745A" w14:textId="77777777" w:rsidR="00C02921" w:rsidRPr="006759C5" w:rsidRDefault="00C02921" w:rsidP="007E4E67">
            <w:pPr>
              <w:pStyle w:val="ep4"/>
              <w:numPr>
                <w:ilvl w:val="0"/>
                <w:numId w:val="55"/>
              </w:numPr>
              <w:tabs>
                <w:tab w:val="clear" w:pos="360"/>
                <w:tab w:val="num" w:pos="166"/>
              </w:tabs>
              <w:rPr>
                <w:sz w:val="16"/>
                <w:szCs w:val="16"/>
                <w:lang w:val="en-GB"/>
              </w:rPr>
            </w:pPr>
            <w:r w:rsidRPr="006759C5">
              <w:rPr>
                <w:sz w:val="16"/>
                <w:szCs w:val="16"/>
                <w:lang w:val="en-GB"/>
              </w:rPr>
              <w:t>eGFR</w:t>
            </w:r>
            <w:r w:rsidR="006759C5" w:rsidRPr="006759C5">
              <w:rPr>
                <w:sz w:val="16"/>
                <w:szCs w:val="16"/>
                <w:lang w:val="en-GB"/>
              </w:rPr>
              <w:t xml:space="preserve"> </w:t>
            </w:r>
            <w:r w:rsidRPr="006759C5">
              <w:rPr>
                <w:sz w:val="16"/>
                <w:szCs w:val="16"/>
                <w:lang w:val="en-GB"/>
              </w:rPr>
              <w:t>&gt;</w:t>
            </w:r>
            <w:r w:rsidRPr="006759C5">
              <w:rPr>
                <w:color w:val="auto"/>
                <w:sz w:val="16"/>
                <w:szCs w:val="16"/>
                <w:lang w:val="en-GB"/>
              </w:rPr>
              <w:t>60 mL/min:</w:t>
            </w:r>
          </w:p>
        </w:tc>
        <w:tc>
          <w:tcPr>
            <w:tcW w:w="3381" w:type="pct"/>
          </w:tcPr>
          <w:p w14:paraId="44D552E6" w14:textId="77777777" w:rsidR="00C02921" w:rsidRPr="006759C5" w:rsidRDefault="00C02921" w:rsidP="00C02921">
            <w:pPr>
              <w:pStyle w:val="ep4"/>
              <w:numPr>
                <w:ilvl w:val="0"/>
                <w:numId w:val="0"/>
              </w:numPr>
              <w:rPr>
                <w:sz w:val="16"/>
                <w:szCs w:val="16"/>
                <w:lang w:val="en-GB"/>
              </w:rPr>
            </w:pPr>
            <w:r w:rsidRPr="006759C5">
              <w:rPr>
                <w:color w:val="auto"/>
                <w:sz w:val="16"/>
                <w:szCs w:val="16"/>
                <w:lang w:val="en-GB"/>
              </w:rPr>
              <w:t>Normal daily dose (see above).</w:t>
            </w:r>
          </w:p>
        </w:tc>
      </w:tr>
      <w:tr w:rsidR="00C02921" w:rsidRPr="006759C5" w14:paraId="722D6D58" w14:textId="77777777" w:rsidTr="00C02921">
        <w:tc>
          <w:tcPr>
            <w:tcW w:w="1619" w:type="pct"/>
          </w:tcPr>
          <w:p w14:paraId="369F1748" w14:textId="77777777" w:rsidR="00C02921" w:rsidRPr="006759C5" w:rsidRDefault="00C02921" w:rsidP="007E4E67">
            <w:pPr>
              <w:pStyle w:val="ep4"/>
              <w:numPr>
                <w:ilvl w:val="0"/>
                <w:numId w:val="55"/>
              </w:numPr>
              <w:tabs>
                <w:tab w:val="clear" w:pos="360"/>
                <w:tab w:val="num" w:pos="166"/>
              </w:tabs>
              <w:rPr>
                <w:sz w:val="16"/>
                <w:szCs w:val="16"/>
                <w:lang w:val="en-GB"/>
              </w:rPr>
            </w:pPr>
            <w:r w:rsidRPr="006759C5">
              <w:rPr>
                <w:sz w:val="16"/>
                <w:szCs w:val="16"/>
                <w:lang w:val="en-GB"/>
              </w:rPr>
              <w:t>eGFR 45–60 mL/min:</w:t>
            </w:r>
          </w:p>
        </w:tc>
        <w:tc>
          <w:tcPr>
            <w:tcW w:w="3381" w:type="pct"/>
          </w:tcPr>
          <w:p w14:paraId="104CED04" w14:textId="6D0B0FFD" w:rsidR="00C02921" w:rsidRPr="006759C5" w:rsidRDefault="00C02921" w:rsidP="006759C5">
            <w:pPr>
              <w:pStyle w:val="ep4"/>
              <w:numPr>
                <w:ilvl w:val="0"/>
                <w:numId w:val="0"/>
              </w:numPr>
              <w:rPr>
                <w:sz w:val="16"/>
                <w:szCs w:val="16"/>
                <w:lang w:val="en-GB"/>
              </w:rPr>
            </w:pPr>
            <w:r w:rsidRPr="006759C5">
              <w:rPr>
                <w:sz w:val="16"/>
                <w:szCs w:val="16"/>
                <w:lang w:val="en-GB"/>
              </w:rPr>
              <w:t>Standard dose, measure eGFR 3</w:t>
            </w:r>
            <w:r w:rsidR="006759C5">
              <w:rPr>
                <w:sz w:val="16"/>
                <w:szCs w:val="16"/>
                <w:lang w:val="en-GB"/>
              </w:rPr>
              <w:t>–</w:t>
            </w:r>
            <w:r w:rsidRPr="006759C5">
              <w:rPr>
                <w:sz w:val="16"/>
                <w:szCs w:val="16"/>
                <w:lang w:val="en-GB"/>
              </w:rPr>
              <w:t>6 monthly</w:t>
            </w:r>
            <w:r w:rsidR="002240B9">
              <w:rPr>
                <w:sz w:val="16"/>
                <w:szCs w:val="16"/>
                <w:lang w:val="en-GB"/>
              </w:rPr>
              <w:t>.</w:t>
            </w:r>
          </w:p>
        </w:tc>
      </w:tr>
      <w:tr w:rsidR="00C02921" w:rsidRPr="006759C5" w14:paraId="7A620D31" w14:textId="77777777" w:rsidTr="00C02921">
        <w:tc>
          <w:tcPr>
            <w:tcW w:w="1619" w:type="pct"/>
          </w:tcPr>
          <w:p w14:paraId="53C8C054" w14:textId="77777777" w:rsidR="00C02921" w:rsidRPr="006759C5" w:rsidRDefault="00C02921" w:rsidP="007E4E67">
            <w:pPr>
              <w:pStyle w:val="ep4"/>
              <w:numPr>
                <w:ilvl w:val="0"/>
                <w:numId w:val="55"/>
              </w:numPr>
              <w:tabs>
                <w:tab w:val="clear" w:pos="360"/>
                <w:tab w:val="num" w:pos="166"/>
              </w:tabs>
              <w:rPr>
                <w:sz w:val="16"/>
                <w:szCs w:val="16"/>
                <w:lang w:val="en-GB"/>
              </w:rPr>
            </w:pPr>
            <w:r w:rsidRPr="006759C5">
              <w:rPr>
                <w:sz w:val="16"/>
                <w:szCs w:val="16"/>
                <w:lang w:val="en-GB"/>
              </w:rPr>
              <w:t>eGFR 30</w:t>
            </w:r>
            <w:r w:rsidR="006759C5">
              <w:rPr>
                <w:sz w:val="16"/>
                <w:szCs w:val="16"/>
                <w:lang w:val="en-GB"/>
              </w:rPr>
              <w:t>–</w:t>
            </w:r>
            <w:r w:rsidRPr="006759C5">
              <w:rPr>
                <w:sz w:val="16"/>
                <w:szCs w:val="16"/>
                <w:lang w:val="en-GB"/>
              </w:rPr>
              <w:t>45 mL/min:</w:t>
            </w:r>
          </w:p>
        </w:tc>
        <w:tc>
          <w:tcPr>
            <w:tcW w:w="3381" w:type="pct"/>
          </w:tcPr>
          <w:p w14:paraId="57873DFE" w14:textId="3286CC5F" w:rsidR="00C02921" w:rsidRPr="006759C5" w:rsidRDefault="00C02921" w:rsidP="006759C5">
            <w:pPr>
              <w:pStyle w:val="ep4"/>
              <w:numPr>
                <w:ilvl w:val="0"/>
                <w:numId w:val="0"/>
              </w:numPr>
              <w:rPr>
                <w:sz w:val="16"/>
                <w:szCs w:val="16"/>
                <w:lang w:val="en-GB"/>
              </w:rPr>
            </w:pPr>
            <w:r w:rsidRPr="006759C5">
              <w:rPr>
                <w:sz w:val="16"/>
                <w:szCs w:val="16"/>
                <w:lang w:val="en-GB"/>
              </w:rPr>
              <w:t>Maximum dose 1 g per day; measure eGFR 3</w:t>
            </w:r>
            <w:r w:rsidR="006759C5">
              <w:rPr>
                <w:sz w:val="16"/>
                <w:szCs w:val="16"/>
                <w:lang w:val="en-GB"/>
              </w:rPr>
              <w:t>–</w:t>
            </w:r>
            <w:r w:rsidRPr="006759C5">
              <w:rPr>
                <w:sz w:val="16"/>
                <w:szCs w:val="16"/>
                <w:lang w:val="en-GB"/>
              </w:rPr>
              <w:t>6 monthly</w:t>
            </w:r>
            <w:r w:rsidR="002240B9">
              <w:rPr>
                <w:sz w:val="16"/>
                <w:szCs w:val="16"/>
                <w:lang w:val="en-GB"/>
              </w:rPr>
              <w:t>.</w:t>
            </w:r>
          </w:p>
        </w:tc>
      </w:tr>
      <w:tr w:rsidR="00C02921" w:rsidRPr="006759C5" w14:paraId="71636304" w14:textId="77777777" w:rsidTr="00C02921">
        <w:tc>
          <w:tcPr>
            <w:tcW w:w="1619" w:type="pct"/>
          </w:tcPr>
          <w:p w14:paraId="1EA0FB6D" w14:textId="77777777" w:rsidR="00C02921" w:rsidRPr="006759C5" w:rsidRDefault="00C02921" w:rsidP="007E4E67">
            <w:pPr>
              <w:pStyle w:val="ep4"/>
              <w:numPr>
                <w:ilvl w:val="0"/>
                <w:numId w:val="55"/>
              </w:numPr>
              <w:tabs>
                <w:tab w:val="clear" w:pos="360"/>
                <w:tab w:val="num" w:pos="166"/>
              </w:tabs>
              <w:rPr>
                <w:sz w:val="16"/>
                <w:szCs w:val="16"/>
                <w:lang w:val="en-GB"/>
              </w:rPr>
            </w:pPr>
            <w:r w:rsidRPr="006759C5">
              <w:rPr>
                <w:color w:val="auto"/>
                <w:sz w:val="16"/>
                <w:szCs w:val="16"/>
                <w:lang w:val="en-GB"/>
              </w:rPr>
              <w:t>eGFR</w:t>
            </w:r>
            <w:r w:rsidR="006759C5" w:rsidRPr="006759C5">
              <w:rPr>
                <w:color w:val="auto"/>
                <w:sz w:val="16"/>
                <w:szCs w:val="16"/>
                <w:lang w:val="en-GB"/>
              </w:rPr>
              <w:t xml:space="preserve"> </w:t>
            </w:r>
            <w:r w:rsidRPr="006759C5">
              <w:rPr>
                <w:color w:val="auto"/>
                <w:sz w:val="16"/>
                <w:szCs w:val="16"/>
                <w:lang w:val="en-GB"/>
              </w:rPr>
              <w:t>&lt;30 mL/min:</w:t>
            </w:r>
          </w:p>
        </w:tc>
        <w:tc>
          <w:tcPr>
            <w:tcW w:w="3381" w:type="pct"/>
          </w:tcPr>
          <w:p w14:paraId="20DA4A5C" w14:textId="77777777" w:rsidR="00C02921" w:rsidRPr="006759C5" w:rsidRDefault="00C02921" w:rsidP="00C02921">
            <w:pPr>
              <w:pStyle w:val="ep4"/>
              <w:numPr>
                <w:ilvl w:val="0"/>
                <w:numId w:val="0"/>
              </w:numPr>
              <w:rPr>
                <w:sz w:val="16"/>
                <w:szCs w:val="16"/>
                <w:lang w:val="en-GB"/>
              </w:rPr>
            </w:pPr>
            <w:r w:rsidRPr="006759C5">
              <w:rPr>
                <w:color w:val="auto"/>
                <w:sz w:val="16"/>
                <w:szCs w:val="16"/>
                <w:lang w:val="en-GB"/>
              </w:rPr>
              <w:t>Stop metformin.</w:t>
            </w:r>
          </w:p>
        </w:tc>
      </w:tr>
    </w:tbl>
    <w:p w14:paraId="0CDA881E" w14:textId="77777777" w:rsidR="005E1803" w:rsidRPr="00D6340F" w:rsidRDefault="00F513D7" w:rsidP="007E4E67">
      <w:pPr>
        <w:pStyle w:val="ep4"/>
        <w:numPr>
          <w:ilvl w:val="0"/>
          <w:numId w:val="14"/>
        </w:numPr>
        <w:ind w:left="567" w:hanging="283"/>
        <w:rPr>
          <w:lang w:val="en-GB"/>
        </w:rPr>
      </w:pPr>
      <w:r w:rsidRPr="00D6340F">
        <w:rPr>
          <w:lang w:val="en-GB"/>
        </w:rPr>
        <w:t>Contra-indicated in:</w:t>
      </w: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5E1803" w:rsidRPr="0048642F" w14:paraId="643BE11D" w14:textId="77777777" w:rsidTr="00FC265C">
        <w:tc>
          <w:tcPr>
            <w:tcW w:w="1134" w:type="dxa"/>
            <w:shd w:val="clear" w:color="auto" w:fill="auto"/>
          </w:tcPr>
          <w:p w14:paraId="36A49D86" w14:textId="77777777" w:rsidR="005E1803" w:rsidRPr="0048642F" w:rsidRDefault="005E1803" w:rsidP="00FC265C">
            <w:pPr>
              <w:jc w:val="right"/>
              <w:rPr>
                <w:b/>
                <w:i/>
                <w:sz w:val="16"/>
                <w:lang w:val="en-GB"/>
              </w:rPr>
            </w:pPr>
            <w:proofErr w:type="spellStart"/>
            <w:proofErr w:type="gramStart"/>
            <w:r w:rsidRPr="0048642F">
              <w:rPr>
                <w:i/>
                <w:sz w:val="16"/>
                <w:lang w:val="en-GB"/>
              </w:rPr>
              <w:t>LoE:III</w:t>
            </w:r>
            <w:proofErr w:type="spellEnd"/>
            <w:proofErr w:type="gramEnd"/>
            <w:r w:rsidRPr="0048642F">
              <w:rPr>
                <w:rStyle w:val="EndnoteReference"/>
                <w:i/>
                <w:sz w:val="16"/>
                <w:lang w:val="en-GB"/>
              </w:rPr>
              <w:endnoteReference w:id="14"/>
            </w:r>
          </w:p>
        </w:tc>
      </w:tr>
    </w:tbl>
    <w:p w14:paraId="683801A8" w14:textId="77777777" w:rsidR="0036185F" w:rsidRPr="00D6340F" w:rsidRDefault="0036185F" w:rsidP="005E1803">
      <w:pPr>
        <w:pStyle w:val="ep4"/>
        <w:numPr>
          <w:ilvl w:val="0"/>
          <w:numId w:val="0"/>
        </w:numPr>
        <w:ind w:left="720"/>
        <w:rPr>
          <w:sz w:val="2"/>
          <w:lang w:val="en-GB"/>
        </w:rPr>
      </w:pPr>
    </w:p>
    <w:p w14:paraId="47A467FE" w14:textId="6FDADCA0" w:rsidR="0036185F" w:rsidRPr="00D6340F" w:rsidRDefault="00F513D7" w:rsidP="007E4E67">
      <w:pPr>
        <w:pStyle w:val="ep4"/>
        <w:numPr>
          <w:ilvl w:val="1"/>
          <w:numId w:val="14"/>
        </w:numPr>
        <w:ind w:left="1080"/>
        <w:rPr>
          <w:lang w:val="en-GB"/>
        </w:rPr>
      </w:pPr>
      <w:r w:rsidRPr="00D6340F">
        <w:rPr>
          <w:lang w:val="en-GB"/>
        </w:rPr>
        <w:t>renal impairment i.e. eGFR</w:t>
      </w:r>
      <w:r w:rsidR="006759C5">
        <w:rPr>
          <w:lang w:val="en-GB"/>
        </w:rPr>
        <w:t xml:space="preserve"> </w:t>
      </w:r>
      <w:r w:rsidRPr="00D6340F">
        <w:rPr>
          <w:lang w:val="en-GB"/>
        </w:rPr>
        <w:t>&lt;</w:t>
      </w:r>
      <w:r w:rsidR="00977EBD" w:rsidRPr="00D6340F">
        <w:rPr>
          <w:lang w:val="en-GB"/>
        </w:rPr>
        <w:t>30</w:t>
      </w:r>
      <w:r w:rsidR="006759C5">
        <w:rPr>
          <w:lang w:val="en-GB"/>
        </w:rPr>
        <w:t xml:space="preserve"> </w:t>
      </w:r>
      <w:r w:rsidRPr="00D6340F">
        <w:rPr>
          <w:lang w:val="en-GB"/>
        </w:rPr>
        <w:t>m</w:t>
      </w:r>
      <w:r w:rsidR="001F4E71" w:rsidRPr="00D6340F">
        <w:rPr>
          <w:lang w:val="en-GB"/>
        </w:rPr>
        <w:t>L</w:t>
      </w:r>
      <w:r w:rsidRPr="00D6340F">
        <w:rPr>
          <w:lang w:val="en-GB"/>
        </w:rPr>
        <w:t>/min</w:t>
      </w:r>
      <w:r w:rsidR="00C02EBC">
        <w:rPr>
          <w:lang w:val="en-GB"/>
        </w:rPr>
        <w:t>ute</w:t>
      </w:r>
      <w:r w:rsidR="005B59DB" w:rsidRPr="00D6340F">
        <w:rPr>
          <w:lang w:val="en-GB"/>
        </w:rPr>
        <w:t>,</w:t>
      </w:r>
    </w:p>
    <w:p w14:paraId="09364C93" w14:textId="77777777" w:rsidR="0036185F" w:rsidRPr="00D6340F" w:rsidRDefault="00F513D7" w:rsidP="007E4E67">
      <w:pPr>
        <w:pStyle w:val="ep4"/>
        <w:numPr>
          <w:ilvl w:val="1"/>
          <w:numId w:val="14"/>
        </w:numPr>
        <w:ind w:left="1080"/>
        <w:rPr>
          <w:lang w:val="en-GB"/>
        </w:rPr>
      </w:pPr>
      <w:r w:rsidRPr="00D6340F">
        <w:rPr>
          <w:lang w:val="en-GB"/>
        </w:rPr>
        <w:t>uncontrolled congestive cardiac failure,</w:t>
      </w:r>
    </w:p>
    <w:p w14:paraId="032459F4" w14:textId="77777777" w:rsidR="0036185F" w:rsidRPr="00D6340F" w:rsidRDefault="00F513D7" w:rsidP="007E4E67">
      <w:pPr>
        <w:pStyle w:val="ep4"/>
        <w:numPr>
          <w:ilvl w:val="1"/>
          <w:numId w:val="14"/>
        </w:numPr>
        <w:ind w:left="1080"/>
        <w:rPr>
          <w:lang w:val="en-GB"/>
        </w:rPr>
      </w:pPr>
      <w:r w:rsidRPr="00D6340F">
        <w:rPr>
          <w:lang w:val="en-GB"/>
        </w:rPr>
        <w:t xml:space="preserve">severe liver disease, </w:t>
      </w:r>
    </w:p>
    <w:p w14:paraId="249BA21C" w14:textId="77777777" w:rsidR="0036185F" w:rsidRPr="00D6340F" w:rsidRDefault="00F513D7" w:rsidP="007E4E67">
      <w:pPr>
        <w:pStyle w:val="ep4"/>
        <w:numPr>
          <w:ilvl w:val="1"/>
          <w:numId w:val="14"/>
        </w:numPr>
        <w:ind w:left="1080"/>
        <w:rPr>
          <w:lang w:val="en-GB"/>
        </w:rPr>
      </w:pPr>
      <w:r w:rsidRPr="00D6340F">
        <w:rPr>
          <w:lang w:val="en-GB"/>
        </w:rPr>
        <w:t>patients with significant respiratory compromise</w:t>
      </w:r>
      <w:r w:rsidR="005B59DB" w:rsidRPr="00D6340F">
        <w:rPr>
          <w:lang w:val="en-GB"/>
        </w:rPr>
        <w:t>, or</w:t>
      </w:r>
    </w:p>
    <w:p w14:paraId="01A6D60F" w14:textId="77777777" w:rsidR="0036185F" w:rsidRPr="00D6340F" w:rsidRDefault="00F513D7" w:rsidP="007E4E67">
      <w:pPr>
        <w:pStyle w:val="ep4"/>
        <w:numPr>
          <w:ilvl w:val="1"/>
          <w:numId w:val="14"/>
        </w:numPr>
        <w:ind w:left="1080"/>
        <w:rPr>
          <w:lang w:val="en-GB"/>
        </w:rPr>
      </w:pPr>
      <w:r w:rsidRPr="00D6340F">
        <w:rPr>
          <w:lang w:val="en-GB"/>
        </w:rPr>
        <w:t>peri-operative</w:t>
      </w:r>
      <w:r w:rsidR="005B59DB" w:rsidRPr="00D6340F">
        <w:rPr>
          <w:lang w:val="en-GB"/>
        </w:rPr>
        <w:t xml:space="preserve"> cases</w:t>
      </w:r>
      <w:r w:rsidRPr="00D6340F">
        <w:rPr>
          <w:lang w:val="en-GB"/>
        </w:rPr>
        <w:t>.</w:t>
      </w:r>
    </w:p>
    <w:p w14:paraId="786EA54F" w14:textId="77777777" w:rsidR="00F513D7" w:rsidRPr="00D6340F" w:rsidRDefault="00F513D7" w:rsidP="00F513D7">
      <w:pPr>
        <w:rPr>
          <w:rFonts w:cs="Arial"/>
          <w:sz w:val="10"/>
          <w:szCs w:val="10"/>
          <w:lang w:val="en-GB"/>
        </w:rPr>
      </w:pPr>
    </w:p>
    <w:p w14:paraId="47C8B9D1" w14:textId="77777777" w:rsidR="00F513D7" w:rsidRPr="00D6340F" w:rsidRDefault="00F513D7" w:rsidP="00F513D7">
      <w:pPr>
        <w:pStyle w:val="Heading7"/>
        <w:rPr>
          <w:lang w:val="en-GB"/>
        </w:rPr>
      </w:pPr>
      <w:proofErr w:type="spellStart"/>
      <w:r w:rsidRPr="00D6340F">
        <w:rPr>
          <w:lang w:val="en-GB"/>
        </w:rPr>
        <w:t>Sulphonylurea</w:t>
      </w:r>
      <w:proofErr w:type="spellEnd"/>
      <w:r w:rsidR="00FD14D7">
        <w:rPr>
          <w:lang w:val="en-GB"/>
        </w:rPr>
        <w:t xml:space="preserve"> </w:t>
      </w:r>
      <w:r w:rsidRPr="00D6340F">
        <w:rPr>
          <w:lang w:val="en-GB"/>
        </w:rPr>
        <w:t>derivatives:</w:t>
      </w:r>
      <w:r w:rsidR="00FD14D7">
        <w:rPr>
          <w:lang w:val="en-GB"/>
        </w:rPr>
        <w:t xml:space="preserve"> </w:t>
      </w:r>
      <w:r w:rsidR="00D845D9" w:rsidRPr="00D6340F">
        <w:rPr>
          <w:color w:val="auto"/>
          <w:lang w:val="en-GB"/>
        </w:rPr>
        <w:t>glimepiride</w:t>
      </w:r>
      <w:r w:rsidR="00FD14D7">
        <w:rPr>
          <w:color w:val="auto"/>
          <w:lang w:val="en-GB"/>
        </w:rPr>
        <w:t xml:space="preserve"> </w:t>
      </w:r>
      <w:r w:rsidRPr="00D6340F">
        <w:rPr>
          <w:lang w:val="en-GB"/>
        </w:rPr>
        <w:t>or</w:t>
      </w:r>
      <w:r w:rsidR="00FD14D7">
        <w:rPr>
          <w:lang w:val="en-GB"/>
        </w:rPr>
        <w:t xml:space="preserve"> </w:t>
      </w:r>
      <w:proofErr w:type="spellStart"/>
      <w:r w:rsidRPr="00D6340F">
        <w:rPr>
          <w:lang w:val="en-GB"/>
        </w:rPr>
        <w:t>glibenclamide</w:t>
      </w:r>
      <w:proofErr w:type="spellEnd"/>
      <w:r w:rsidRPr="00D6340F">
        <w:rPr>
          <w:lang w:val="en-GB"/>
        </w:rPr>
        <w:t>.</w:t>
      </w:r>
    </w:p>
    <w:p w14:paraId="7A8D5E84" w14:textId="77777777" w:rsidR="00AD7703" w:rsidRPr="00D6340F" w:rsidRDefault="00AD7703" w:rsidP="00AD7703">
      <w:pPr>
        <w:pStyle w:val="ep4"/>
        <w:rPr>
          <w:color w:val="auto"/>
          <w:szCs w:val="18"/>
          <w:lang w:val="en-GB"/>
        </w:rPr>
      </w:pPr>
      <w:r w:rsidRPr="00D6340F">
        <w:rPr>
          <w:color w:val="auto"/>
          <w:szCs w:val="18"/>
          <w:lang w:val="en-GB"/>
        </w:rPr>
        <w:t>Glimepiride, oral, 1 mg daily.</w:t>
      </w: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AD7703" w:rsidRPr="00D6340F" w14:paraId="0941D20C" w14:textId="77777777" w:rsidTr="00CD3CA2">
        <w:tc>
          <w:tcPr>
            <w:tcW w:w="1134" w:type="dxa"/>
            <w:shd w:val="clear" w:color="auto" w:fill="auto"/>
          </w:tcPr>
          <w:p w14:paraId="1C6FD4C2" w14:textId="77777777" w:rsidR="00AD7703" w:rsidRPr="00D6340F" w:rsidRDefault="00AD7703" w:rsidP="00CD3CA2">
            <w:pPr>
              <w:jc w:val="right"/>
              <w:rPr>
                <w:b/>
                <w:i/>
                <w:lang w:val="en-GB"/>
              </w:rPr>
            </w:pPr>
            <w:proofErr w:type="spellStart"/>
            <w:proofErr w:type="gramStart"/>
            <w:r w:rsidRPr="00D6340F">
              <w:rPr>
                <w:i/>
                <w:lang w:val="en-GB"/>
              </w:rPr>
              <w:t>LoE:III</w:t>
            </w:r>
            <w:proofErr w:type="spellEnd"/>
            <w:proofErr w:type="gramEnd"/>
            <w:r w:rsidRPr="00D6340F">
              <w:rPr>
                <w:rStyle w:val="EndnoteReference"/>
                <w:i/>
                <w:lang w:val="en-GB"/>
              </w:rPr>
              <w:endnoteReference w:id="15"/>
            </w:r>
          </w:p>
        </w:tc>
      </w:tr>
    </w:tbl>
    <w:p w14:paraId="3D23D959" w14:textId="77777777" w:rsidR="00AD7703" w:rsidRPr="00D6340F" w:rsidRDefault="00AD7703" w:rsidP="00AD7703">
      <w:pPr>
        <w:pStyle w:val="ep4"/>
        <w:numPr>
          <w:ilvl w:val="0"/>
          <w:numId w:val="0"/>
        </w:numPr>
        <w:ind w:left="284"/>
        <w:rPr>
          <w:color w:val="auto"/>
          <w:sz w:val="2"/>
          <w:szCs w:val="18"/>
          <w:lang w:val="en-GB"/>
        </w:rPr>
      </w:pPr>
    </w:p>
    <w:p w14:paraId="2355EDA5" w14:textId="77777777" w:rsidR="00AD7703" w:rsidRPr="00D6340F" w:rsidRDefault="00AD7703" w:rsidP="007E4E67">
      <w:pPr>
        <w:pStyle w:val="StyleNormal2Bold"/>
        <w:numPr>
          <w:ilvl w:val="0"/>
          <w:numId w:val="13"/>
        </w:numPr>
        <w:ind w:left="567" w:hanging="283"/>
        <w:rPr>
          <w:lang w:val="en-GB"/>
        </w:rPr>
      </w:pPr>
      <w:r w:rsidRPr="00D6340F">
        <w:rPr>
          <w:b w:val="0"/>
          <w:color w:val="auto"/>
          <w:szCs w:val="18"/>
          <w:lang w:val="en-GB"/>
        </w:rPr>
        <w:t>Titrate the dose by 1 mg at weekly intervals up to 6 mg daily (according to blood glucose levels).</w:t>
      </w:r>
    </w:p>
    <w:p w14:paraId="328AA344" w14:textId="77777777" w:rsidR="00AD7703" w:rsidRPr="00D6340F" w:rsidRDefault="00AD7703" w:rsidP="007E4E67">
      <w:pPr>
        <w:pStyle w:val="StyleNormal2Bold"/>
        <w:numPr>
          <w:ilvl w:val="0"/>
          <w:numId w:val="13"/>
        </w:numPr>
        <w:ind w:left="567" w:hanging="283"/>
        <w:rPr>
          <w:lang w:val="en-GB"/>
        </w:rPr>
      </w:pPr>
      <w:r w:rsidRPr="00D6340F">
        <w:rPr>
          <w:b w:val="0"/>
          <w:color w:val="auto"/>
          <w:szCs w:val="18"/>
          <w:lang w:val="en-GB"/>
        </w:rPr>
        <w:t>Usual dose: 4 mg daily.</w:t>
      </w:r>
    </w:p>
    <w:p w14:paraId="0BA636C2" w14:textId="77777777" w:rsidR="00AD7703" w:rsidRPr="00AD7703" w:rsidRDefault="00AD7703" w:rsidP="007E4E67">
      <w:pPr>
        <w:pStyle w:val="StyleNormal2Bold"/>
        <w:numPr>
          <w:ilvl w:val="0"/>
          <w:numId w:val="13"/>
        </w:numPr>
        <w:ind w:left="567" w:hanging="283"/>
        <w:rPr>
          <w:lang w:val="en-GB"/>
        </w:rPr>
      </w:pPr>
      <w:r w:rsidRPr="00D6340F">
        <w:rPr>
          <w:b w:val="0"/>
          <w:color w:val="auto"/>
          <w:szCs w:val="18"/>
          <w:lang w:val="en-GB"/>
        </w:rPr>
        <w:t>Maximum dose: 8 mg daily.</w:t>
      </w:r>
    </w:p>
    <w:p w14:paraId="028F55CC" w14:textId="77777777" w:rsidR="00AD7703" w:rsidRPr="00AD7703" w:rsidRDefault="00AD7703" w:rsidP="00AD7703">
      <w:pPr>
        <w:pStyle w:val="StyleNormal2Bold"/>
        <w:rPr>
          <w:lang w:val="en-GB"/>
        </w:rPr>
      </w:pPr>
      <w:r w:rsidRPr="00AD7703">
        <w:rPr>
          <w:color w:val="auto"/>
          <w:szCs w:val="18"/>
          <w:lang w:val="en-GB"/>
        </w:rPr>
        <w:t>OR</w:t>
      </w:r>
    </w:p>
    <w:p w14:paraId="4FDB11C1" w14:textId="77777777" w:rsidR="00D845D9" w:rsidRPr="00D6340F" w:rsidRDefault="00D845D9" w:rsidP="00D845D9">
      <w:pPr>
        <w:pStyle w:val="ep4"/>
        <w:rPr>
          <w:color w:val="auto"/>
          <w:lang w:val="en-GB"/>
        </w:rPr>
      </w:pPr>
      <w:proofErr w:type="spellStart"/>
      <w:r w:rsidRPr="00D6340F">
        <w:rPr>
          <w:color w:val="auto"/>
          <w:lang w:val="en-GB"/>
        </w:rPr>
        <w:t>Glibenclamide</w:t>
      </w:r>
      <w:proofErr w:type="spellEnd"/>
      <w:r w:rsidRPr="00D6340F">
        <w:rPr>
          <w:color w:val="auto"/>
          <w:lang w:val="en-GB"/>
        </w:rPr>
        <w:t>, oral, 2.5 mg daily 30 minutes before breakfast.</w:t>
      </w:r>
    </w:p>
    <w:p w14:paraId="2244FE1F" w14:textId="77777777" w:rsidR="0036185F" w:rsidRPr="00D6340F" w:rsidRDefault="00D845D9" w:rsidP="007E4E67">
      <w:pPr>
        <w:pStyle w:val="Normal2"/>
        <w:numPr>
          <w:ilvl w:val="0"/>
          <w:numId w:val="15"/>
        </w:numPr>
        <w:ind w:left="567" w:hanging="283"/>
        <w:rPr>
          <w:color w:val="auto"/>
          <w:lang w:val="en-GB"/>
        </w:rPr>
      </w:pPr>
      <w:r w:rsidRPr="00D6340F">
        <w:rPr>
          <w:color w:val="auto"/>
          <w:lang w:val="en-GB"/>
        </w:rPr>
        <w:lastRenderedPageBreak/>
        <w:t>Titrate dose slowly depending on HbA</w:t>
      </w:r>
      <w:r w:rsidRPr="006759C5">
        <w:rPr>
          <w:color w:val="auto"/>
          <w:lang w:val="en-GB"/>
        </w:rPr>
        <w:t>1c</w:t>
      </w:r>
      <w:r w:rsidRPr="00D6340F">
        <w:rPr>
          <w:color w:val="auto"/>
          <w:lang w:val="en-GB"/>
        </w:rPr>
        <w:t xml:space="preserve"> and/or fasting blood glucose levels to 15 mg daily.</w:t>
      </w:r>
    </w:p>
    <w:p w14:paraId="4BD5B00C" w14:textId="77777777" w:rsidR="0036185F" w:rsidRPr="00D6340F" w:rsidRDefault="00D845D9" w:rsidP="007E4E67">
      <w:pPr>
        <w:pStyle w:val="Normal2"/>
        <w:numPr>
          <w:ilvl w:val="0"/>
          <w:numId w:val="15"/>
        </w:numPr>
        <w:ind w:left="567" w:hanging="283"/>
        <w:rPr>
          <w:color w:val="auto"/>
          <w:lang w:val="en-GB"/>
        </w:rPr>
      </w:pPr>
      <w:r w:rsidRPr="00D6340F">
        <w:rPr>
          <w:color w:val="auto"/>
          <w:lang w:val="en-GB"/>
        </w:rPr>
        <w:t>When ≥7.5 mg per day is needed, divide the total daily dose into 2, with the larger dose in the morning.</w:t>
      </w:r>
    </w:p>
    <w:p w14:paraId="5FCF8C75" w14:textId="0D941753" w:rsidR="00525B17" w:rsidRPr="00AD7703" w:rsidRDefault="00D845D9" w:rsidP="007E4E67">
      <w:pPr>
        <w:pStyle w:val="Normal2"/>
        <w:numPr>
          <w:ilvl w:val="0"/>
          <w:numId w:val="15"/>
        </w:numPr>
        <w:ind w:left="567" w:hanging="283"/>
        <w:jc w:val="left"/>
        <w:rPr>
          <w:lang w:val="en-GB"/>
        </w:rPr>
      </w:pPr>
      <w:r w:rsidRPr="00D6340F">
        <w:rPr>
          <w:color w:val="auto"/>
          <w:lang w:val="en-GB"/>
        </w:rPr>
        <w:t>Avoid in the elderly and patients with renal impairment</w:t>
      </w:r>
      <w:r w:rsidR="00A12E22" w:rsidRPr="00D6340F">
        <w:rPr>
          <w:color w:val="auto"/>
          <w:lang w:val="en-GB"/>
        </w:rPr>
        <w:t xml:space="preserve"> (i.e. eGFR</w:t>
      </w:r>
      <w:r w:rsidR="006759C5">
        <w:rPr>
          <w:color w:val="auto"/>
          <w:lang w:val="en-GB"/>
        </w:rPr>
        <w:t xml:space="preserve"> </w:t>
      </w:r>
      <w:r w:rsidR="00A12E22" w:rsidRPr="00D6340F">
        <w:rPr>
          <w:color w:val="auto"/>
          <w:lang w:val="en-GB"/>
        </w:rPr>
        <w:t>&lt;60 m</w:t>
      </w:r>
      <w:r w:rsidR="006759C5">
        <w:rPr>
          <w:color w:val="auto"/>
          <w:lang w:val="en-GB"/>
        </w:rPr>
        <w:t>L</w:t>
      </w:r>
      <w:r w:rsidR="00A12E22" w:rsidRPr="00D6340F">
        <w:rPr>
          <w:color w:val="auto"/>
          <w:lang w:val="en-GB"/>
        </w:rPr>
        <w:t>/min</w:t>
      </w:r>
      <w:r w:rsidR="00C02EBC">
        <w:rPr>
          <w:color w:val="auto"/>
          <w:lang w:val="en-GB"/>
        </w:rPr>
        <w:t>ute</w:t>
      </w:r>
      <w:r w:rsidR="00A12E22" w:rsidRPr="00D6340F">
        <w:rPr>
          <w:color w:val="auto"/>
          <w:lang w:val="en-GB"/>
        </w:rPr>
        <w:t>)</w:t>
      </w:r>
      <w:r w:rsidRPr="00D6340F">
        <w:rPr>
          <w:color w:val="auto"/>
          <w:lang w:val="en-GB"/>
        </w:rPr>
        <w:t>.</w:t>
      </w: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2109AE" w:rsidRPr="002109AE" w14:paraId="61005C21" w14:textId="77777777" w:rsidTr="00CC1CF6">
        <w:tc>
          <w:tcPr>
            <w:tcW w:w="1134" w:type="dxa"/>
            <w:shd w:val="clear" w:color="auto" w:fill="auto"/>
          </w:tcPr>
          <w:p w14:paraId="384C4503" w14:textId="77777777" w:rsidR="002109AE" w:rsidRPr="002109AE" w:rsidRDefault="002109AE" w:rsidP="00CC1CF6">
            <w:pPr>
              <w:jc w:val="right"/>
              <w:rPr>
                <w:b/>
                <w:i/>
                <w:sz w:val="16"/>
                <w:lang w:val="en-GB"/>
              </w:rPr>
            </w:pPr>
            <w:proofErr w:type="spellStart"/>
            <w:proofErr w:type="gramStart"/>
            <w:r w:rsidRPr="002109AE">
              <w:rPr>
                <w:i/>
                <w:sz w:val="16"/>
                <w:lang w:val="en-GB"/>
              </w:rPr>
              <w:t>LoE:III</w:t>
            </w:r>
            <w:proofErr w:type="spellEnd"/>
            <w:proofErr w:type="gramEnd"/>
            <w:r w:rsidRPr="002109AE">
              <w:rPr>
                <w:rStyle w:val="EndnoteReference"/>
                <w:i/>
                <w:sz w:val="16"/>
                <w:lang w:val="en-GB"/>
              </w:rPr>
              <w:endnoteReference w:id="16"/>
            </w:r>
          </w:p>
        </w:tc>
      </w:tr>
    </w:tbl>
    <w:p w14:paraId="65DB483C" w14:textId="77777777" w:rsidR="002109AE" w:rsidRDefault="002109AE" w:rsidP="00B702D2">
      <w:pPr>
        <w:pStyle w:val="StyleNormal2Bold"/>
        <w:rPr>
          <w:color w:val="auto"/>
          <w:szCs w:val="18"/>
          <w:lang w:val="en-GB"/>
        </w:rPr>
      </w:pPr>
    </w:p>
    <w:p w14:paraId="286F155E" w14:textId="77777777" w:rsidR="00AD7703" w:rsidRPr="00C77771" w:rsidRDefault="00AD7703" w:rsidP="00B702D2">
      <w:pPr>
        <w:pStyle w:val="StyleNormal2Bold"/>
        <w:rPr>
          <w:b w:val="0"/>
          <w:color w:val="auto"/>
          <w:sz w:val="4"/>
          <w:szCs w:val="18"/>
          <w:lang w:val="en-GB"/>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094"/>
      </w:tblGrid>
      <w:tr w:rsidR="00F513D7" w:rsidRPr="00D6340F" w14:paraId="4E76C05E" w14:textId="77777777" w:rsidTr="00525B17">
        <w:tc>
          <w:tcPr>
            <w:tcW w:w="5000" w:type="pct"/>
          </w:tcPr>
          <w:p w14:paraId="48937C62" w14:textId="77777777" w:rsidR="00F05D50" w:rsidRPr="00D6340F" w:rsidRDefault="00F05D50" w:rsidP="00A12E22">
            <w:pPr>
              <w:jc w:val="center"/>
              <w:rPr>
                <w:rFonts w:cs="Arial"/>
                <w:sz w:val="6"/>
                <w:lang w:val="en-GB"/>
              </w:rPr>
            </w:pPr>
          </w:p>
          <w:p w14:paraId="5D178F25" w14:textId="77777777" w:rsidR="00A12E22" w:rsidRPr="00D6340F" w:rsidRDefault="00F513D7" w:rsidP="00A12E22">
            <w:pPr>
              <w:jc w:val="center"/>
              <w:rPr>
                <w:rFonts w:cs="Arial"/>
                <w:lang w:val="en-GB"/>
              </w:rPr>
            </w:pPr>
            <w:r w:rsidRPr="00D6340F">
              <w:rPr>
                <w:rFonts w:cs="Arial"/>
                <w:lang w:val="en-GB"/>
              </w:rPr>
              <w:t>Oral agents should not be used in type 1 diabetes</w:t>
            </w:r>
            <w:r w:rsidR="00FD14D7">
              <w:rPr>
                <w:rFonts w:cs="Arial"/>
                <w:lang w:val="en-GB"/>
              </w:rPr>
              <w:t xml:space="preserve"> </w:t>
            </w:r>
            <w:r w:rsidR="00A12E22" w:rsidRPr="00D6340F">
              <w:rPr>
                <w:rFonts w:cs="Arial"/>
                <w:lang w:val="en-GB"/>
              </w:rPr>
              <w:t>and</w:t>
            </w:r>
            <w:r w:rsidR="00DE4A4A">
              <w:rPr>
                <w:rFonts w:cs="Arial"/>
                <w:lang w:val="en-GB"/>
              </w:rPr>
              <w:t xml:space="preserve"> should be</w:t>
            </w:r>
            <w:r w:rsidR="00FD14D7">
              <w:rPr>
                <w:rFonts w:cs="Arial"/>
                <w:lang w:val="en-GB"/>
              </w:rPr>
              <w:t xml:space="preserve"> </w:t>
            </w:r>
            <w:r w:rsidR="00D756C8" w:rsidRPr="00D6340F">
              <w:rPr>
                <w:rFonts w:cs="Arial"/>
                <w:lang w:val="en-GB"/>
              </w:rPr>
              <w:t>used with caution in</w:t>
            </w:r>
            <w:r w:rsidRPr="00D6340F">
              <w:rPr>
                <w:rFonts w:cs="Arial"/>
                <w:lang w:val="en-GB"/>
              </w:rPr>
              <w:t xml:space="preserve"> liver </w:t>
            </w:r>
            <w:r w:rsidR="00A12E22" w:rsidRPr="00D6340F">
              <w:rPr>
                <w:rFonts w:cs="Arial"/>
                <w:lang w:val="en-GB"/>
              </w:rPr>
              <w:t xml:space="preserve">and renal </w:t>
            </w:r>
            <w:r w:rsidR="00D756C8" w:rsidRPr="00D6340F">
              <w:rPr>
                <w:rFonts w:cs="Arial"/>
                <w:lang w:val="en-GB"/>
              </w:rPr>
              <w:t>impairment</w:t>
            </w:r>
            <w:r w:rsidR="00A12E22" w:rsidRPr="00D6340F">
              <w:rPr>
                <w:rFonts w:cs="Arial"/>
                <w:lang w:val="en-GB"/>
              </w:rPr>
              <w:t xml:space="preserve">. </w:t>
            </w:r>
          </w:p>
          <w:p w14:paraId="6BDB6C95" w14:textId="77777777" w:rsidR="00F513D7" w:rsidRDefault="00A12E22" w:rsidP="00A12E22">
            <w:pPr>
              <w:jc w:val="center"/>
              <w:rPr>
                <w:rFonts w:cs="Arial"/>
                <w:lang w:val="en-GB"/>
              </w:rPr>
            </w:pPr>
            <w:r w:rsidRPr="00D6340F">
              <w:rPr>
                <w:rFonts w:cs="Arial"/>
                <w:lang w:val="en-GB"/>
              </w:rPr>
              <w:t>M</w:t>
            </w:r>
            <w:r w:rsidR="007030F2" w:rsidRPr="00D6340F">
              <w:rPr>
                <w:rFonts w:cs="Arial"/>
                <w:lang w:val="en-GB"/>
              </w:rPr>
              <w:t>etformin should be</w:t>
            </w:r>
            <w:r w:rsidR="00D756C8" w:rsidRPr="00D6340F">
              <w:rPr>
                <w:rFonts w:cs="Arial"/>
                <w:lang w:val="en-GB"/>
              </w:rPr>
              <w:t xml:space="preserve"> dose adjusted in renal impairment.</w:t>
            </w:r>
          </w:p>
          <w:p w14:paraId="5BE190C8" w14:textId="77777777" w:rsidR="00B53E09" w:rsidRPr="006759C5" w:rsidRDefault="00B53E09" w:rsidP="00A12E22">
            <w:pPr>
              <w:jc w:val="center"/>
              <w:rPr>
                <w:rFonts w:cs="Arial"/>
                <w:sz w:val="2"/>
                <w:lang w:val="en-GB"/>
              </w:rPr>
            </w:pPr>
          </w:p>
          <w:p w14:paraId="777C1DD9" w14:textId="77777777" w:rsidR="00082BBF" w:rsidRPr="00D6340F" w:rsidRDefault="00B53E09" w:rsidP="00A12E22">
            <w:pPr>
              <w:jc w:val="center"/>
              <w:rPr>
                <w:rFonts w:cs="Arial"/>
                <w:lang w:val="en-GB"/>
              </w:rPr>
            </w:pPr>
            <w:r w:rsidRPr="00F67B65">
              <w:rPr>
                <w:rFonts w:cs="Arial"/>
                <w:lang w:val="en-GB"/>
              </w:rPr>
              <w:t>Monitor p</w:t>
            </w:r>
            <w:r w:rsidR="00082BBF" w:rsidRPr="00F67B65">
              <w:rPr>
                <w:rFonts w:cs="Arial"/>
                <w:lang w:val="en-GB"/>
              </w:rPr>
              <w:t xml:space="preserve">atients on </w:t>
            </w:r>
            <w:proofErr w:type="spellStart"/>
            <w:r w:rsidRPr="00F67B65">
              <w:rPr>
                <w:rFonts w:cs="Arial"/>
                <w:lang w:val="en-GB"/>
              </w:rPr>
              <w:t>s</w:t>
            </w:r>
            <w:r w:rsidR="00082BBF" w:rsidRPr="00F67B65">
              <w:rPr>
                <w:rFonts w:cs="Arial"/>
                <w:lang w:val="en-GB"/>
              </w:rPr>
              <w:t>ulphonylurea</w:t>
            </w:r>
            <w:proofErr w:type="spellEnd"/>
            <w:r w:rsidR="00082BBF" w:rsidRPr="00F67B65">
              <w:rPr>
                <w:rFonts w:cs="Arial"/>
                <w:lang w:val="en-GB"/>
              </w:rPr>
              <w:t xml:space="preserve"> derivatives </w:t>
            </w:r>
            <w:r w:rsidRPr="00F67B65">
              <w:rPr>
                <w:rFonts w:cs="Arial"/>
                <w:lang w:val="en-GB"/>
              </w:rPr>
              <w:t xml:space="preserve">and concomitant rifampicin </w:t>
            </w:r>
            <w:r w:rsidR="00082BBF" w:rsidRPr="00F67B65">
              <w:rPr>
                <w:rFonts w:cs="Arial"/>
                <w:lang w:val="en-GB"/>
              </w:rPr>
              <w:t xml:space="preserve">and </w:t>
            </w:r>
            <w:r w:rsidRPr="00F67B65">
              <w:rPr>
                <w:rFonts w:cs="Arial"/>
                <w:lang w:val="en-GB"/>
              </w:rPr>
              <w:t xml:space="preserve">dose-adjust </w:t>
            </w:r>
            <w:proofErr w:type="spellStart"/>
            <w:r w:rsidRPr="00F67B65">
              <w:rPr>
                <w:rFonts w:cs="Arial"/>
                <w:lang w:val="en-GB"/>
              </w:rPr>
              <w:t>sulphonylurea</w:t>
            </w:r>
            <w:proofErr w:type="spellEnd"/>
            <w:r w:rsidR="00082BBF" w:rsidRPr="00F67B65">
              <w:rPr>
                <w:rFonts w:cs="Arial"/>
                <w:lang w:val="en-GB"/>
              </w:rPr>
              <w:t xml:space="preserve"> as required. When </w:t>
            </w:r>
            <w:r w:rsidRPr="00F67B65">
              <w:rPr>
                <w:rFonts w:cs="Arial"/>
                <w:lang w:val="en-GB"/>
              </w:rPr>
              <w:t>rifampicin</w:t>
            </w:r>
            <w:r w:rsidR="00082BBF" w:rsidRPr="00F67B65">
              <w:rPr>
                <w:rFonts w:cs="Arial"/>
                <w:lang w:val="en-GB"/>
              </w:rPr>
              <w:t xml:space="preserve"> is discontinued, monitor for risk of hypoglycaemia and dose adjustment is required, </w:t>
            </w:r>
            <w:r w:rsidR="00616998" w:rsidRPr="00F67B65">
              <w:rPr>
                <w:rFonts w:cs="Arial"/>
                <w:lang w:val="en-GB"/>
              </w:rPr>
              <w:t>particularly</w:t>
            </w:r>
            <w:r w:rsidRPr="00F67B65">
              <w:rPr>
                <w:rFonts w:cs="Arial"/>
                <w:lang w:val="en-GB"/>
              </w:rPr>
              <w:t xml:space="preserve"> </w:t>
            </w:r>
            <w:r w:rsidR="00082BBF" w:rsidRPr="00F67B65">
              <w:rPr>
                <w:rFonts w:cs="Arial"/>
                <w:lang w:val="en-GB"/>
              </w:rPr>
              <w:t>in the elderly</w:t>
            </w:r>
            <w:r w:rsidRPr="00F67B65">
              <w:rPr>
                <w:rFonts w:cs="Arial"/>
                <w:lang w:val="en-GB"/>
              </w:rPr>
              <w:t>.</w:t>
            </w:r>
          </w:p>
          <w:p w14:paraId="6F91FBD3" w14:textId="77777777" w:rsidR="00F05D50" w:rsidRPr="00D6340F" w:rsidRDefault="00F05D50" w:rsidP="00A12E22">
            <w:pPr>
              <w:jc w:val="center"/>
              <w:rPr>
                <w:rFonts w:cs="Arial"/>
                <w:sz w:val="6"/>
                <w:lang w:val="en-GB"/>
              </w:rPr>
            </w:pPr>
          </w:p>
        </w:tc>
      </w:tr>
    </w:tbl>
    <w:p w14:paraId="3CBEB396" w14:textId="77777777" w:rsidR="00F513D7" w:rsidRPr="00D6340F" w:rsidRDefault="00F513D7" w:rsidP="00F513D7">
      <w:pPr>
        <w:jc w:val="left"/>
        <w:rPr>
          <w:rFonts w:cs="Arial"/>
          <w:sz w:val="6"/>
          <w:szCs w:val="10"/>
          <w:lang w:val="en-GB"/>
        </w:rPr>
      </w:pPr>
    </w:p>
    <w:p w14:paraId="7AFC485F" w14:textId="77777777" w:rsidR="003C138C" w:rsidRDefault="003C138C" w:rsidP="00F513D7">
      <w:pPr>
        <w:jc w:val="left"/>
        <w:rPr>
          <w:rFonts w:cs="Arial"/>
          <w:lang w:val="en-GB"/>
        </w:rPr>
      </w:pPr>
      <w:r w:rsidRPr="00D6340F">
        <w:rPr>
          <w:rFonts w:cs="Arial"/>
          <w:lang w:val="en-GB"/>
        </w:rPr>
        <w:t xml:space="preserve">Monitor serum creatinine and estimated eGFR </w:t>
      </w:r>
      <w:r w:rsidR="00A478E8">
        <w:rPr>
          <w:rFonts w:cs="Arial"/>
          <w:lang w:val="en-GB"/>
        </w:rPr>
        <w:t xml:space="preserve">three monthly </w:t>
      </w:r>
      <w:r w:rsidRPr="00D6340F">
        <w:rPr>
          <w:rFonts w:cs="Arial"/>
          <w:lang w:val="en-GB"/>
        </w:rPr>
        <w:t xml:space="preserve">in </w:t>
      </w:r>
      <w:r w:rsidRPr="00D6340F">
        <w:rPr>
          <w:rFonts w:cs="Arial"/>
          <w:color w:val="auto"/>
          <w:lang w:val="en-GB"/>
        </w:rPr>
        <w:t>patients with</w:t>
      </w:r>
      <w:r>
        <w:rPr>
          <w:rFonts w:cs="Arial"/>
          <w:color w:val="auto"/>
          <w:lang w:val="en-GB"/>
        </w:rPr>
        <w:t xml:space="preserve"> </w:t>
      </w:r>
      <w:r w:rsidRPr="00D6340F">
        <w:rPr>
          <w:rFonts w:cs="Arial"/>
          <w:lang w:val="en-GB"/>
        </w:rPr>
        <w:t>kidney</w:t>
      </w:r>
      <w:r>
        <w:rPr>
          <w:rFonts w:cs="Arial"/>
          <w:lang w:val="en-GB"/>
        </w:rPr>
        <w:t xml:space="preserve"> </w:t>
      </w:r>
      <w:r w:rsidRPr="00D6340F">
        <w:rPr>
          <w:rFonts w:cs="Arial"/>
          <w:lang w:val="en-GB"/>
        </w:rPr>
        <w:t xml:space="preserve">disease. </w:t>
      </w:r>
    </w:p>
    <w:p w14:paraId="3B715E45" w14:textId="77777777" w:rsidR="003C138C" w:rsidRDefault="003C138C" w:rsidP="00F513D7">
      <w:pPr>
        <w:jc w:val="left"/>
        <w:rPr>
          <w:rFonts w:cs="Arial"/>
          <w:lang w:val="en-GB"/>
        </w:rPr>
      </w:pPr>
    </w:p>
    <w:p w14:paraId="073A5D5A" w14:textId="77777777" w:rsidR="00F513D7" w:rsidRPr="00D6340F" w:rsidRDefault="00F513D7" w:rsidP="00F513D7">
      <w:pPr>
        <w:pStyle w:val="Heading6"/>
        <w:rPr>
          <w:rFonts w:cs="Arial"/>
        </w:rPr>
      </w:pPr>
      <w:r w:rsidRPr="00D6340F">
        <w:rPr>
          <w:rFonts w:cs="Arial"/>
        </w:rPr>
        <w:t>Insulin therapy in type 2 diabetes</w:t>
      </w:r>
    </w:p>
    <w:p w14:paraId="651C08D4" w14:textId="77777777" w:rsidR="00F513D7" w:rsidRPr="00D6340F" w:rsidRDefault="00F513D7" w:rsidP="00F513D7">
      <w:pPr>
        <w:rPr>
          <w:rFonts w:cs="Arial"/>
          <w:lang w:val="en-GB"/>
        </w:rPr>
      </w:pPr>
      <w:r w:rsidRPr="00D6340F">
        <w:rPr>
          <w:rFonts w:cs="Arial"/>
          <w:lang w:val="en-GB"/>
        </w:rPr>
        <w:t>Indications for insulin therapy:</w:t>
      </w:r>
    </w:p>
    <w:p w14:paraId="7F8BA3A0" w14:textId="77777777" w:rsidR="0036185F" w:rsidRPr="00D6340F" w:rsidRDefault="00F513D7" w:rsidP="007E4E67">
      <w:pPr>
        <w:pStyle w:val="ep0"/>
        <w:numPr>
          <w:ilvl w:val="0"/>
          <w:numId w:val="16"/>
        </w:numPr>
        <w:ind w:left="284" w:hanging="284"/>
        <w:rPr>
          <w:rFonts w:cs="Arial"/>
          <w:strike w:val="0"/>
          <w:lang w:val="en-GB"/>
        </w:rPr>
      </w:pPr>
      <w:r w:rsidRPr="00D6340F">
        <w:rPr>
          <w:rFonts w:cs="Arial"/>
          <w:strike w:val="0"/>
          <w:lang w:val="en-GB"/>
        </w:rPr>
        <w:t xml:space="preserve">Inability to control blood glucose </w:t>
      </w:r>
      <w:r w:rsidR="006759C5">
        <w:rPr>
          <w:rFonts w:cs="Arial"/>
          <w:strike w:val="0"/>
          <w:lang w:val="en-GB"/>
        </w:rPr>
        <w:t xml:space="preserve">pharmacologically, </w:t>
      </w:r>
      <w:r w:rsidRPr="00D6340F">
        <w:rPr>
          <w:rFonts w:cs="Arial"/>
          <w:strike w:val="0"/>
          <w:lang w:val="en-GB"/>
        </w:rPr>
        <w:t>i.e. combination/substitution insulin therapy.</w:t>
      </w:r>
    </w:p>
    <w:p w14:paraId="2B111F92" w14:textId="77777777" w:rsidR="0036185F" w:rsidRPr="00D6340F" w:rsidRDefault="00F513D7" w:rsidP="007E4E67">
      <w:pPr>
        <w:pStyle w:val="ep0"/>
        <w:numPr>
          <w:ilvl w:val="0"/>
          <w:numId w:val="16"/>
        </w:numPr>
        <w:ind w:left="284" w:hanging="284"/>
        <w:rPr>
          <w:rFonts w:cs="Arial"/>
          <w:strike w:val="0"/>
          <w:lang w:val="en-GB"/>
        </w:rPr>
      </w:pPr>
      <w:r w:rsidRPr="00D6340F">
        <w:rPr>
          <w:rFonts w:cs="Arial"/>
          <w:strike w:val="0"/>
          <w:lang w:val="en-GB"/>
        </w:rPr>
        <w:t>Temporary use for major stress, e.g. surgery, medical illness.</w:t>
      </w:r>
    </w:p>
    <w:p w14:paraId="4AF4F3FD" w14:textId="77777777" w:rsidR="0036185F" w:rsidRPr="00D6340F" w:rsidRDefault="00F513D7" w:rsidP="007E4E67">
      <w:pPr>
        <w:pStyle w:val="ep0"/>
        <w:numPr>
          <w:ilvl w:val="0"/>
          <w:numId w:val="16"/>
        </w:numPr>
        <w:ind w:left="284" w:hanging="284"/>
        <w:rPr>
          <w:rFonts w:cs="Arial"/>
          <w:strike w:val="0"/>
          <w:lang w:val="en-GB"/>
        </w:rPr>
      </w:pPr>
      <w:r w:rsidRPr="00D6340F">
        <w:rPr>
          <w:rFonts w:cs="Arial"/>
          <w:strike w:val="0"/>
          <w:lang w:val="en-GB"/>
        </w:rPr>
        <w:t xml:space="preserve">Severe kidney or liver </w:t>
      </w:r>
      <w:r w:rsidR="002F11FB" w:rsidRPr="00D6340F">
        <w:rPr>
          <w:rFonts w:cs="Arial"/>
          <w:strike w:val="0"/>
          <w:lang w:val="en-GB"/>
        </w:rPr>
        <w:t>disease</w:t>
      </w:r>
      <w:r w:rsidRPr="00D6340F">
        <w:rPr>
          <w:rFonts w:cs="Arial"/>
          <w:strike w:val="0"/>
          <w:lang w:val="en-GB"/>
        </w:rPr>
        <w:t>.</w:t>
      </w:r>
    </w:p>
    <w:p w14:paraId="3241037B" w14:textId="77777777" w:rsidR="0036185F" w:rsidRPr="00D6340F" w:rsidRDefault="00F513D7" w:rsidP="007E4E67">
      <w:pPr>
        <w:pStyle w:val="ep0"/>
        <w:numPr>
          <w:ilvl w:val="0"/>
          <w:numId w:val="16"/>
        </w:numPr>
        <w:ind w:left="284" w:hanging="284"/>
        <w:rPr>
          <w:rFonts w:cs="Arial"/>
          <w:strike w:val="0"/>
          <w:lang w:val="en-GB"/>
        </w:rPr>
      </w:pPr>
      <w:r w:rsidRPr="00D6340F">
        <w:rPr>
          <w:rFonts w:cs="Arial"/>
          <w:strike w:val="0"/>
          <w:lang w:val="en-GB"/>
        </w:rPr>
        <w:t xml:space="preserve">Pregnancy. </w:t>
      </w:r>
    </w:p>
    <w:p w14:paraId="032F65F8" w14:textId="77777777" w:rsidR="00F513D7" w:rsidRPr="00D6340F" w:rsidRDefault="00F513D7" w:rsidP="00F513D7">
      <w:pPr>
        <w:pStyle w:val="ep0"/>
        <w:rPr>
          <w:rFonts w:cs="Arial"/>
          <w:strike w:val="0"/>
          <w:sz w:val="10"/>
          <w:szCs w:val="16"/>
          <w:lang w:val="en-GB"/>
        </w:rPr>
      </w:pPr>
    </w:p>
    <w:p w14:paraId="4C679E3B" w14:textId="77777777" w:rsidR="00F513D7" w:rsidRPr="00D6340F" w:rsidRDefault="00F513D7" w:rsidP="00F513D7">
      <w:pPr>
        <w:pStyle w:val="ep0"/>
        <w:rPr>
          <w:rFonts w:cs="Arial"/>
          <w:strike w:val="0"/>
          <w:lang w:val="en-GB"/>
        </w:rPr>
      </w:pPr>
      <w:r w:rsidRPr="00D6340F">
        <w:rPr>
          <w:rFonts w:cs="Arial"/>
          <w:b/>
          <w:strike w:val="0"/>
          <w:lang w:val="en-GB"/>
        </w:rPr>
        <w:t>Note</w:t>
      </w:r>
      <w:r w:rsidRPr="00D6340F">
        <w:rPr>
          <w:rFonts w:cs="Arial"/>
          <w:strike w:val="0"/>
          <w:lang w:val="en-GB"/>
        </w:rPr>
        <w:t>:</w:t>
      </w:r>
    </w:p>
    <w:p w14:paraId="3E2E0DAF" w14:textId="77777777" w:rsidR="00F513D7" w:rsidRPr="00D6340F" w:rsidRDefault="00F513D7" w:rsidP="007E4E67">
      <w:pPr>
        <w:pStyle w:val="ep0"/>
        <w:numPr>
          <w:ilvl w:val="0"/>
          <w:numId w:val="16"/>
        </w:numPr>
        <w:rPr>
          <w:rFonts w:cs="Arial"/>
          <w:strike w:val="0"/>
          <w:lang w:val="en-GB"/>
        </w:rPr>
      </w:pPr>
      <w:r w:rsidRPr="00D6340F">
        <w:rPr>
          <w:rFonts w:cs="Arial"/>
          <w:strike w:val="0"/>
          <w:lang w:val="en-GB"/>
        </w:rPr>
        <w:t>At initiation of insulin therapy, give appropriate advice on self-blood glucose monitoring (SBGM) and diet.</w:t>
      </w:r>
    </w:p>
    <w:p w14:paraId="07CFD1A9" w14:textId="77777777" w:rsidR="00F513D7" w:rsidRPr="00D6340F" w:rsidRDefault="00F513D7" w:rsidP="007E4E67">
      <w:pPr>
        <w:pStyle w:val="ep0"/>
        <w:numPr>
          <w:ilvl w:val="0"/>
          <w:numId w:val="16"/>
        </w:numPr>
        <w:rPr>
          <w:rFonts w:cs="Arial"/>
          <w:strike w:val="0"/>
          <w:lang w:val="en-GB"/>
        </w:rPr>
      </w:pPr>
      <w:r w:rsidRPr="00D6340F">
        <w:rPr>
          <w:rFonts w:cs="Arial"/>
          <w:strike w:val="0"/>
          <w:lang w:val="en-GB"/>
        </w:rPr>
        <w:t>It is advisable to maintain all patients on metformin once therapy with insulin has been initiated.</w:t>
      </w:r>
    </w:p>
    <w:p w14:paraId="4AAB0720" w14:textId="77777777" w:rsidR="00D33F97" w:rsidRPr="00D6340F" w:rsidRDefault="00D33F97" w:rsidP="00F513D7">
      <w:pPr>
        <w:pStyle w:val="ep0"/>
        <w:rPr>
          <w:rFonts w:cs="Arial"/>
          <w:strike w:val="0"/>
          <w:sz w:val="6"/>
          <w:lang w:val="en-GB"/>
        </w:rPr>
      </w:pPr>
    </w:p>
    <w:tbl>
      <w:tblPr>
        <w:tblW w:w="4951" w:type="pct"/>
        <w:tblCellMar>
          <w:left w:w="120" w:type="dxa"/>
          <w:right w:w="120" w:type="dxa"/>
        </w:tblCellMar>
        <w:tblLook w:val="0000" w:firstRow="0" w:lastRow="0" w:firstColumn="0" w:lastColumn="0" w:noHBand="0" w:noVBand="0"/>
      </w:tblPr>
      <w:tblGrid>
        <w:gridCol w:w="1377"/>
        <w:gridCol w:w="1762"/>
        <w:gridCol w:w="1496"/>
        <w:gridCol w:w="1411"/>
      </w:tblGrid>
      <w:tr w:rsidR="00D33F97" w:rsidRPr="00AE3B2E" w14:paraId="17F2A969" w14:textId="77777777" w:rsidTr="00E066CB">
        <w:trPr>
          <w:tblHeader/>
        </w:trPr>
        <w:tc>
          <w:tcPr>
            <w:tcW w:w="1139" w:type="pct"/>
            <w:tcBorders>
              <w:top w:val="single" w:sz="7" w:space="0" w:color="000000"/>
              <w:left w:val="single" w:sz="7" w:space="0" w:color="000000"/>
              <w:bottom w:val="single" w:sz="7" w:space="0" w:color="000000"/>
              <w:right w:val="single" w:sz="7" w:space="0" w:color="000000"/>
            </w:tcBorders>
            <w:tcMar>
              <w:left w:w="57" w:type="dxa"/>
              <w:right w:w="57" w:type="dxa"/>
            </w:tcMar>
          </w:tcPr>
          <w:p w14:paraId="1E3D4273" w14:textId="77777777" w:rsidR="00E01F5A" w:rsidRPr="00AE3B2E" w:rsidRDefault="00E01F5A" w:rsidP="00C4050E">
            <w:pPr>
              <w:jc w:val="center"/>
              <w:rPr>
                <w:rFonts w:cs="Arial"/>
                <w:b/>
                <w:sz w:val="16"/>
                <w:szCs w:val="16"/>
                <w:lang w:val="en-GB"/>
              </w:rPr>
            </w:pPr>
            <w:r w:rsidRPr="00AE3B2E">
              <w:rPr>
                <w:rFonts w:cs="Arial"/>
                <w:b/>
                <w:sz w:val="16"/>
                <w:szCs w:val="16"/>
                <w:lang w:val="en-GB"/>
              </w:rPr>
              <w:t>Insulin type</w:t>
            </w:r>
          </w:p>
        </w:tc>
        <w:tc>
          <w:tcPr>
            <w:tcW w:w="1457" w:type="pct"/>
            <w:tcBorders>
              <w:top w:val="single" w:sz="7" w:space="0" w:color="000000"/>
              <w:left w:val="single" w:sz="7" w:space="0" w:color="000000"/>
              <w:bottom w:val="single" w:sz="7" w:space="0" w:color="000000"/>
              <w:right w:val="single" w:sz="7" w:space="0" w:color="000000"/>
            </w:tcBorders>
            <w:tcMar>
              <w:left w:w="57" w:type="dxa"/>
              <w:right w:w="57" w:type="dxa"/>
            </w:tcMar>
          </w:tcPr>
          <w:p w14:paraId="2F2AF7DE" w14:textId="77777777" w:rsidR="00E01F5A" w:rsidRPr="00AE3B2E" w:rsidRDefault="00E01F5A" w:rsidP="00C4050E">
            <w:pPr>
              <w:jc w:val="center"/>
              <w:rPr>
                <w:rFonts w:cs="Arial"/>
                <w:b/>
                <w:sz w:val="16"/>
                <w:szCs w:val="16"/>
                <w:lang w:val="en-GB"/>
              </w:rPr>
            </w:pPr>
            <w:r w:rsidRPr="00AE3B2E">
              <w:rPr>
                <w:rFonts w:cs="Arial"/>
                <w:b/>
                <w:sz w:val="16"/>
                <w:szCs w:val="16"/>
                <w:lang w:val="en-GB"/>
              </w:rPr>
              <w:t>Starting dose</w:t>
            </w:r>
          </w:p>
        </w:tc>
        <w:tc>
          <w:tcPr>
            <w:tcW w:w="1237" w:type="pct"/>
            <w:tcBorders>
              <w:top w:val="single" w:sz="7" w:space="0" w:color="000000"/>
              <w:left w:val="single" w:sz="7" w:space="0" w:color="000000"/>
              <w:bottom w:val="single" w:sz="7" w:space="0" w:color="000000"/>
              <w:right w:val="single" w:sz="7" w:space="0" w:color="000000"/>
            </w:tcBorders>
            <w:tcMar>
              <w:left w:w="57" w:type="dxa"/>
              <w:right w:w="57" w:type="dxa"/>
            </w:tcMar>
          </w:tcPr>
          <w:p w14:paraId="1E73BB12" w14:textId="77777777" w:rsidR="00E01F5A" w:rsidRPr="00AE3B2E" w:rsidRDefault="00E01F5A" w:rsidP="00C4050E">
            <w:pPr>
              <w:jc w:val="center"/>
              <w:rPr>
                <w:rFonts w:cs="Arial"/>
                <w:b/>
                <w:sz w:val="16"/>
                <w:szCs w:val="16"/>
                <w:lang w:val="en-GB"/>
              </w:rPr>
            </w:pPr>
            <w:r w:rsidRPr="00AE3B2E">
              <w:rPr>
                <w:rFonts w:cs="Arial"/>
                <w:b/>
                <w:sz w:val="16"/>
                <w:szCs w:val="16"/>
                <w:lang w:val="en-GB"/>
              </w:rPr>
              <w:t>Increment</w:t>
            </w:r>
          </w:p>
        </w:tc>
        <w:tc>
          <w:tcPr>
            <w:tcW w:w="1167" w:type="pct"/>
            <w:tcBorders>
              <w:top w:val="single" w:sz="7" w:space="0" w:color="000000"/>
              <w:left w:val="single" w:sz="7" w:space="0" w:color="000000"/>
              <w:bottom w:val="single" w:sz="7" w:space="0" w:color="000000"/>
              <w:right w:val="single" w:sz="7" w:space="0" w:color="000000"/>
            </w:tcBorders>
            <w:tcMar>
              <w:left w:w="57" w:type="dxa"/>
              <w:right w:w="57" w:type="dxa"/>
            </w:tcMar>
          </w:tcPr>
          <w:p w14:paraId="58DC5696" w14:textId="77777777" w:rsidR="00E01F5A" w:rsidRPr="00AE3B2E" w:rsidRDefault="00D33F97" w:rsidP="00D33F97">
            <w:pPr>
              <w:jc w:val="center"/>
              <w:rPr>
                <w:rFonts w:cs="Arial"/>
                <w:b/>
                <w:sz w:val="16"/>
                <w:szCs w:val="16"/>
                <w:lang w:val="en-GB"/>
              </w:rPr>
            </w:pPr>
            <w:r w:rsidRPr="00AE3B2E">
              <w:rPr>
                <w:rFonts w:cs="Arial"/>
                <w:b/>
                <w:sz w:val="16"/>
                <w:szCs w:val="16"/>
                <w:lang w:val="en-GB"/>
              </w:rPr>
              <w:t>Max.</w:t>
            </w:r>
            <w:r w:rsidR="00E066CB" w:rsidRPr="00AE3B2E">
              <w:rPr>
                <w:rFonts w:cs="Arial"/>
                <w:b/>
                <w:sz w:val="16"/>
                <w:szCs w:val="16"/>
                <w:lang w:val="en-GB"/>
              </w:rPr>
              <w:t xml:space="preserve"> </w:t>
            </w:r>
            <w:r w:rsidR="00E01F5A" w:rsidRPr="00AE3B2E">
              <w:rPr>
                <w:rFonts w:cs="Arial"/>
                <w:b/>
                <w:sz w:val="16"/>
                <w:szCs w:val="16"/>
                <w:lang w:val="en-GB"/>
              </w:rPr>
              <w:t>daily dose</w:t>
            </w:r>
          </w:p>
        </w:tc>
      </w:tr>
      <w:tr w:rsidR="00D33F97" w:rsidRPr="00AE3B2E" w14:paraId="7088921E" w14:textId="77777777" w:rsidTr="00E066CB">
        <w:tc>
          <w:tcPr>
            <w:tcW w:w="1139" w:type="pct"/>
            <w:tcBorders>
              <w:top w:val="single" w:sz="7" w:space="0" w:color="000000"/>
              <w:left w:val="single" w:sz="7" w:space="0" w:color="000000"/>
              <w:bottom w:val="single" w:sz="7" w:space="0" w:color="000000"/>
              <w:right w:val="single" w:sz="7" w:space="0" w:color="000000"/>
            </w:tcBorders>
            <w:tcMar>
              <w:left w:w="57" w:type="dxa"/>
              <w:right w:w="57" w:type="dxa"/>
            </w:tcMar>
          </w:tcPr>
          <w:p w14:paraId="5359F0B8" w14:textId="77777777" w:rsidR="00753075" w:rsidRPr="00AE3B2E" w:rsidRDefault="00753075" w:rsidP="002A6CD2">
            <w:pPr>
              <w:jc w:val="left"/>
              <w:rPr>
                <w:rFonts w:cs="Arial"/>
                <w:b/>
                <w:color w:val="auto"/>
                <w:sz w:val="16"/>
                <w:szCs w:val="16"/>
                <w:lang w:val="en-GB"/>
              </w:rPr>
            </w:pPr>
            <w:r w:rsidRPr="00AE3B2E">
              <w:rPr>
                <w:rFonts w:cs="Arial"/>
                <w:b/>
                <w:color w:val="auto"/>
                <w:sz w:val="16"/>
                <w:szCs w:val="16"/>
                <w:lang w:val="en-GB"/>
              </w:rPr>
              <w:t>Add on therapy:</w:t>
            </w:r>
          </w:p>
          <w:p w14:paraId="3C7498F0" w14:textId="1058B0C4" w:rsidR="00463E34" w:rsidRPr="00AE3B2E" w:rsidRDefault="00AE3B2E" w:rsidP="007E4E67">
            <w:pPr>
              <w:pStyle w:val="ListParagraph"/>
              <w:numPr>
                <w:ilvl w:val="0"/>
                <w:numId w:val="52"/>
              </w:numPr>
              <w:spacing w:line="240" w:lineRule="auto"/>
              <w:ind w:left="180" w:hanging="180"/>
              <w:rPr>
                <w:rFonts w:ascii="Arial" w:hAnsi="Arial" w:cs="Arial"/>
                <w:color w:val="auto"/>
                <w:spacing w:val="-4"/>
                <w:sz w:val="16"/>
                <w:szCs w:val="16"/>
                <w:lang w:val="en-GB"/>
              </w:rPr>
            </w:pPr>
            <w:r w:rsidRPr="00AE3B2E">
              <w:rPr>
                <w:rFonts w:ascii="Arial" w:hAnsi="Arial" w:cs="Arial"/>
                <w:color w:val="auto"/>
                <w:sz w:val="16"/>
                <w:szCs w:val="16"/>
                <w:lang w:val="en-GB"/>
              </w:rPr>
              <w:t>Intermediate to long-acting insulin</w:t>
            </w:r>
          </w:p>
        </w:tc>
        <w:tc>
          <w:tcPr>
            <w:tcW w:w="1457" w:type="pct"/>
            <w:tcBorders>
              <w:top w:val="single" w:sz="7" w:space="0" w:color="000000"/>
              <w:left w:val="single" w:sz="7" w:space="0" w:color="000000"/>
              <w:bottom w:val="single" w:sz="7" w:space="0" w:color="000000"/>
              <w:right w:val="single" w:sz="7" w:space="0" w:color="000000"/>
            </w:tcBorders>
            <w:tcMar>
              <w:left w:w="57" w:type="dxa"/>
              <w:right w:w="57" w:type="dxa"/>
            </w:tcMar>
          </w:tcPr>
          <w:p w14:paraId="601BFDB6" w14:textId="7AF3D199" w:rsidR="00753075" w:rsidRPr="00AE3B2E" w:rsidRDefault="002D5B17" w:rsidP="00F74C89">
            <w:pPr>
              <w:jc w:val="left"/>
              <w:rPr>
                <w:rFonts w:cs="Arial"/>
                <w:color w:val="auto"/>
                <w:sz w:val="16"/>
                <w:szCs w:val="16"/>
                <w:lang w:val="en-GB"/>
              </w:rPr>
            </w:pPr>
            <w:r w:rsidRPr="00AE3B2E">
              <w:rPr>
                <w:rFonts w:cs="Arial"/>
                <w:color w:val="auto"/>
                <w:sz w:val="16"/>
                <w:szCs w:val="16"/>
                <w:lang w:val="en-GB"/>
              </w:rPr>
              <w:t>10</w:t>
            </w:r>
            <w:r w:rsidR="00753075" w:rsidRPr="00AE3B2E">
              <w:rPr>
                <w:rFonts w:cs="Arial"/>
                <w:color w:val="auto"/>
                <w:sz w:val="16"/>
                <w:szCs w:val="16"/>
                <w:lang w:val="en-GB"/>
              </w:rPr>
              <w:t xml:space="preserve"> units, (or 0.3 units</w:t>
            </w:r>
            <w:r w:rsidR="00F74C89" w:rsidRPr="00AE3B2E">
              <w:rPr>
                <w:rFonts w:cs="Arial"/>
                <w:color w:val="auto"/>
                <w:sz w:val="16"/>
                <w:szCs w:val="16"/>
                <w:lang w:val="en-GB"/>
              </w:rPr>
              <w:t>/</w:t>
            </w:r>
            <w:r w:rsidR="00753075" w:rsidRPr="00AE3B2E">
              <w:rPr>
                <w:rFonts w:cs="Arial"/>
                <w:color w:val="auto"/>
                <w:sz w:val="16"/>
                <w:szCs w:val="16"/>
                <w:lang w:val="en-GB"/>
              </w:rPr>
              <w:t>kg</w:t>
            </w:r>
            <w:r w:rsidR="00F74C89" w:rsidRPr="00AE3B2E">
              <w:rPr>
                <w:rFonts w:cs="Arial"/>
                <w:color w:val="auto"/>
                <w:sz w:val="16"/>
                <w:szCs w:val="16"/>
                <w:lang w:val="en-GB"/>
              </w:rPr>
              <w:t>/day</w:t>
            </w:r>
            <w:r w:rsidR="00753075" w:rsidRPr="00AE3B2E">
              <w:rPr>
                <w:rFonts w:cs="Arial"/>
                <w:color w:val="auto"/>
                <w:sz w:val="16"/>
                <w:szCs w:val="16"/>
                <w:lang w:val="en-GB"/>
              </w:rPr>
              <w:t>), in the evening before bedtime, but not after 22h00.</w:t>
            </w:r>
          </w:p>
        </w:tc>
        <w:tc>
          <w:tcPr>
            <w:tcW w:w="1237" w:type="pct"/>
            <w:tcBorders>
              <w:top w:val="single" w:sz="7" w:space="0" w:color="000000"/>
              <w:left w:val="single" w:sz="7" w:space="0" w:color="000000"/>
              <w:bottom w:val="single" w:sz="7" w:space="0" w:color="000000"/>
              <w:right w:val="single" w:sz="7" w:space="0" w:color="000000"/>
            </w:tcBorders>
            <w:tcMar>
              <w:left w:w="57" w:type="dxa"/>
              <w:right w:w="57" w:type="dxa"/>
            </w:tcMar>
          </w:tcPr>
          <w:p w14:paraId="2CE116BF" w14:textId="77777777" w:rsidR="00753075" w:rsidRPr="00AE3B2E" w:rsidRDefault="00753075" w:rsidP="002A6CD2">
            <w:pPr>
              <w:jc w:val="left"/>
              <w:rPr>
                <w:rFonts w:cs="Arial"/>
                <w:color w:val="auto"/>
                <w:sz w:val="16"/>
                <w:szCs w:val="16"/>
                <w:lang w:val="en-GB"/>
              </w:rPr>
            </w:pPr>
            <w:r w:rsidRPr="00AE3B2E">
              <w:rPr>
                <w:rFonts w:cs="Arial"/>
                <w:color w:val="auto"/>
                <w:spacing w:val="-4"/>
                <w:sz w:val="16"/>
                <w:szCs w:val="16"/>
                <w:lang w:val="en-GB"/>
              </w:rPr>
              <w:t xml:space="preserve">If the starting dose is not effective increase by 2-4 units per dose every 3 to 7 days until fasting glucose is in the target range.  </w:t>
            </w:r>
          </w:p>
        </w:tc>
        <w:tc>
          <w:tcPr>
            <w:tcW w:w="1167" w:type="pct"/>
            <w:tcBorders>
              <w:top w:val="single" w:sz="7" w:space="0" w:color="000000"/>
              <w:left w:val="single" w:sz="7" w:space="0" w:color="000000"/>
              <w:bottom w:val="single" w:sz="7" w:space="0" w:color="000000"/>
              <w:right w:val="single" w:sz="7" w:space="0" w:color="000000"/>
            </w:tcBorders>
            <w:tcMar>
              <w:left w:w="57" w:type="dxa"/>
              <w:right w:w="57" w:type="dxa"/>
            </w:tcMar>
          </w:tcPr>
          <w:p w14:paraId="523258E1" w14:textId="77777777" w:rsidR="00753075" w:rsidRPr="00AE3B2E" w:rsidRDefault="00753075" w:rsidP="002A6CD2">
            <w:pPr>
              <w:jc w:val="left"/>
              <w:rPr>
                <w:rFonts w:cs="Arial"/>
                <w:color w:val="auto"/>
                <w:sz w:val="16"/>
                <w:szCs w:val="16"/>
                <w:lang w:val="en-GB"/>
              </w:rPr>
            </w:pPr>
            <w:r w:rsidRPr="00AE3B2E">
              <w:rPr>
                <w:rFonts w:cs="Arial"/>
                <w:color w:val="auto"/>
                <w:spacing w:val="-2"/>
                <w:sz w:val="16"/>
                <w:szCs w:val="16"/>
                <w:lang w:val="en-GB"/>
              </w:rPr>
              <w:t>Refer if recurrent hypoglycaemia occurs and targets for control are not met</w:t>
            </w:r>
            <w:r w:rsidR="001A73B0" w:rsidRPr="00AE3B2E">
              <w:rPr>
                <w:rFonts w:cs="Arial"/>
                <w:color w:val="auto"/>
                <w:spacing w:val="-2"/>
                <w:sz w:val="16"/>
                <w:szCs w:val="16"/>
                <w:lang w:val="en-GB"/>
              </w:rPr>
              <w:t>.</w:t>
            </w:r>
          </w:p>
        </w:tc>
      </w:tr>
      <w:tr w:rsidR="00D33F97" w:rsidRPr="00AE3B2E" w14:paraId="717CC491" w14:textId="77777777" w:rsidTr="00E066CB">
        <w:tc>
          <w:tcPr>
            <w:tcW w:w="1139" w:type="pct"/>
            <w:tcBorders>
              <w:top w:val="single" w:sz="7" w:space="0" w:color="000000"/>
              <w:left w:val="single" w:sz="7" w:space="0" w:color="000000"/>
              <w:bottom w:val="single" w:sz="7" w:space="0" w:color="000000"/>
              <w:right w:val="single" w:sz="7" w:space="0" w:color="000000"/>
            </w:tcBorders>
            <w:tcMar>
              <w:left w:w="57" w:type="dxa"/>
              <w:right w:w="57" w:type="dxa"/>
            </w:tcMar>
          </w:tcPr>
          <w:p w14:paraId="425A75B2" w14:textId="77777777" w:rsidR="00753075" w:rsidRPr="00AE3B2E" w:rsidRDefault="00753075" w:rsidP="00774A06">
            <w:pPr>
              <w:jc w:val="left"/>
              <w:rPr>
                <w:rFonts w:cs="Arial"/>
                <w:b/>
                <w:color w:val="auto"/>
                <w:sz w:val="16"/>
                <w:szCs w:val="16"/>
                <w:lang w:val="en-GB"/>
              </w:rPr>
            </w:pPr>
            <w:r w:rsidRPr="00AE3B2E">
              <w:rPr>
                <w:rFonts w:cs="Arial"/>
                <w:b/>
                <w:color w:val="auto"/>
                <w:spacing w:val="-4"/>
                <w:sz w:val="16"/>
                <w:szCs w:val="16"/>
                <w:lang w:val="en-GB"/>
              </w:rPr>
              <w:t>Substitution</w:t>
            </w:r>
            <w:r w:rsidRPr="00AE3B2E">
              <w:rPr>
                <w:rFonts w:cs="Arial"/>
                <w:b/>
                <w:color w:val="auto"/>
                <w:sz w:val="16"/>
                <w:szCs w:val="16"/>
                <w:lang w:val="en-GB"/>
              </w:rPr>
              <w:t xml:space="preserve"> therapy:</w:t>
            </w:r>
          </w:p>
          <w:p w14:paraId="2361FD9D" w14:textId="77777777" w:rsidR="00463E34" w:rsidRPr="00AE3B2E" w:rsidRDefault="00753075" w:rsidP="007E4E67">
            <w:pPr>
              <w:pStyle w:val="ListParagraph"/>
              <w:numPr>
                <w:ilvl w:val="0"/>
                <w:numId w:val="52"/>
              </w:numPr>
              <w:spacing w:line="240" w:lineRule="auto"/>
              <w:ind w:left="180" w:hanging="180"/>
              <w:rPr>
                <w:rFonts w:ascii="Arial" w:hAnsi="Arial" w:cs="Arial"/>
                <w:color w:val="auto"/>
                <w:sz w:val="16"/>
                <w:szCs w:val="16"/>
                <w:lang w:val="en-GB"/>
              </w:rPr>
            </w:pPr>
            <w:r w:rsidRPr="00AE3B2E">
              <w:rPr>
                <w:rFonts w:ascii="Arial" w:hAnsi="Arial" w:cs="Arial"/>
                <w:color w:val="auto"/>
                <w:sz w:val="16"/>
                <w:szCs w:val="16"/>
                <w:lang w:val="en-GB"/>
              </w:rPr>
              <w:t>Biphasic insulin (30/70 mix)</w:t>
            </w:r>
          </w:p>
        </w:tc>
        <w:tc>
          <w:tcPr>
            <w:tcW w:w="1457" w:type="pct"/>
            <w:tcBorders>
              <w:top w:val="single" w:sz="7" w:space="0" w:color="000000"/>
              <w:left w:val="single" w:sz="7" w:space="0" w:color="000000"/>
              <w:bottom w:val="single" w:sz="7" w:space="0" w:color="000000"/>
              <w:right w:val="single" w:sz="7" w:space="0" w:color="000000"/>
            </w:tcBorders>
            <w:tcMar>
              <w:left w:w="57" w:type="dxa"/>
              <w:right w:w="57" w:type="dxa"/>
            </w:tcMar>
          </w:tcPr>
          <w:p w14:paraId="014B429C" w14:textId="1C469880" w:rsidR="00753075" w:rsidRPr="00AE3B2E" w:rsidRDefault="00753075" w:rsidP="00774A06">
            <w:pPr>
              <w:pStyle w:val="Level1"/>
              <w:tabs>
                <w:tab w:val="clear" w:pos="360"/>
              </w:tabs>
              <w:ind w:left="-34" w:firstLine="0"/>
              <w:jc w:val="left"/>
              <w:rPr>
                <w:rFonts w:ascii="Arial" w:hAnsi="Arial"/>
                <w:color w:val="auto"/>
                <w:sz w:val="16"/>
                <w:szCs w:val="16"/>
                <w:lang w:val="en-GB"/>
              </w:rPr>
            </w:pPr>
            <w:r w:rsidRPr="00AE3B2E">
              <w:rPr>
                <w:rFonts w:ascii="Arial" w:hAnsi="Arial"/>
                <w:color w:val="auto"/>
                <w:sz w:val="16"/>
                <w:szCs w:val="16"/>
                <w:lang w:val="en-GB"/>
              </w:rPr>
              <w:t xml:space="preserve">Total daily dose: </w:t>
            </w:r>
            <w:r w:rsidR="00412089" w:rsidRPr="00AE3B2E">
              <w:rPr>
                <w:rFonts w:ascii="Arial" w:hAnsi="Arial"/>
                <w:color w:val="auto"/>
                <w:sz w:val="16"/>
                <w:szCs w:val="16"/>
                <w:lang w:val="en-GB"/>
              </w:rPr>
              <w:t xml:space="preserve">0.3 units/kg/day </w:t>
            </w:r>
            <w:r w:rsidRPr="00AE3B2E">
              <w:rPr>
                <w:rFonts w:ascii="Arial" w:hAnsi="Arial"/>
                <w:color w:val="auto"/>
                <w:sz w:val="16"/>
                <w:szCs w:val="16"/>
                <w:lang w:val="en-GB"/>
              </w:rPr>
              <w:t>divided as follows:</w:t>
            </w:r>
          </w:p>
          <w:p w14:paraId="3F471498" w14:textId="5B552417" w:rsidR="00C15E52" w:rsidRPr="00AE3B2E" w:rsidRDefault="00753075" w:rsidP="007E4E67">
            <w:pPr>
              <w:pStyle w:val="Level1"/>
              <w:numPr>
                <w:ilvl w:val="0"/>
                <w:numId w:val="51"/>
              </w:numPr>
              <w:tabs>
                <w:tab w:val="clear" w:pos="360"/>
                <w:tab w:val="left" w:pos="196"/>
              </w:tabs>
              <w:ind w:left="0" w:firstLine="0"/>
              <w:jc w:val="left"/>
              <w:rPr>
                <w:rFonts w:ascii="Arial" w:hAnsi="Arial"/>
                <w:color w:val="auto"/>
                <w:sz w:val="16"/>
                <w:szCs w:val="16"/>
                <w:lang w:val="en-GB"/>
              </w:rPr>
            </w:pPr>
            <w:r w:rsidRPr="00AE3B2E">
              <w:rPr>
                <w:rFonts w:ascii="Arial" w:hAnsi="Arial"/>
                <w:color w:val="auto"/>
                <w:sz w:val="16"/>
                <w:szCs w:val="16"/>
                <w:lang w:val="en-GB"/>
              </w:rPr>
              <w:t>2/3 of total daily dose</w:t>
            </w:r>
            <w:r w:rsidR="00412089" w:rsidRPr="00AE3B2E">
              <w:rPr>
                <w:rFonts w:ascii="Arial" w:hAnsi="Arial"/>
                <w:color w:val="auto"/>
                <w:sz w:val="16"/>
                <w:szCs w:val="16"/>
                <w:lang w:val="en-GB"/>
              </w:rPr>
              <w:t xml:space="preserve"> </w:t>
            </w:r>
            <w:r w:rsidRPr="00AE3B2E">
              <w:rPr>
                <w:rFonts w:ascii="Arial" w:hAnsi="Arial"/>
                <w:color w:val="auto"/>
                <w:sz w:val="16"/>
                <w:szCs w:val="16"/>
                <w:lang w:val="en-GB"/>
              </w:rPr>
              <w:t xml:space="preserve">30 minutes before breakfast. </w:t>
            </w:r>
          </w:p>
          <w:p w14:paraId="4C5DE2E8" w14:textId="6C566C08" w:rsidR="00412089" w:rsidRPr="00AE3B2E" w:rsidRDefault="00753075" w:rsidP="007E4E67">
            <w:pPr>
              <w:pStyle w:val="Level1"/>
              <w:numPr>
                <w:ilvl w:val="0"/>
                <w:numId w:val="51"/>
              </w:numPr>
              <w:tabs>
                <w:tab w:val="clear" w:pos="360"/>
                <w:tab w:val="left" w:pos="196"/>
              </w:tabs>
              <w:ind w:left="0" w:firstLine="0"/>
              <w:jc w:val="left"/>
              <w:rPr>
                <w:rFonts w:ascii="Arial" w:hAnsi="Arial"/>
                <w:color w:val="auto"/>
                <w:sz w:val="16"/>
                <w:szCs w:val="16"/>
                <w:lang w:val="en-GB"/>
              </w:rPr>
            </w:pPr>
            <w:r w:rsidRPr="00AE3B2E">
              <w:rPr>
                <w:rFonts w:ascii="Arial" w:hAnsi="Arial"/>
                <w:color w:val="auto"/>
                <w:sz w:val="16"/>
                <w:szCs w:val="16"/>
                <w:lang w:val="en-GB"/>
              </w:rPr>
              <w:t>1/3 of total daily dose</w:t>
            </w:r>
            <w:r w:rsidR="00412089" w:rsidRPr="00AE3B2E">
              <w:rPr>
                <w:rFonts w:ascii="Arial" w:hAnsi="Arial"/>
                <w:color w:val="auto"/>
                <w:sz w:val="16"/>
                <w:szCs w:val="16"/>
                <w:lang w:val="en-GB"/>
              </w:rPr>
              <w:t xml:space="preserve"> </w:t>
            </w:r>
            <w:r w:rsidRPr="00AE3B2E">
              <w:rPr>
                <w:rFonts w:ascii="Arial" w:hAnsi="Arial"/>
                <w:color w:val="auto"/>
                <w:sz w:val="16"/>
                <w:szCs w:val="16"/>
                <w:lang w:val="en-GB"/>
              </w:rPr>
              <w:t xml:space="preserve">30 minutes </w:t>
            </w:r>
            <w:r w:rsidRPr="00AE3B2E">
              <w:rPr>
                <w:rFonts w:ascii="Arial" w:hAnsi="Arial"/>
                <w:color w:val="auto"/>
                <w:sz w:val="16"/>
                <w:szCs w:val="16"/>
                <w:lang w:val="en-GB"/>
              </w:rPr>
              <w:lastRenderedPageBreak/>
              <w:t>before supper.</w:t>
            </w: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412089" w:rsidRPr="00AE3B2E" w14:paraId="6C55C6D0" w14:textId="77777777" w:rsidTr="00412089">
              <w:tc>
                <w:tcPr>
                  <w:tcW w:w="1134" w:type="dxa"/>
                  <w:shd w:val="clear" w:color="auto" w:fill="auto"/>
                </w:tcPr>
                <w:p w14:paraId="3C82431F" w14:textId="77777777" w:rsidR="00412089" w:rsidRPr="00AE3B2E" w:rsidRDefault="00412089" w:rsidP="00412089">
                  <w:pPr>
                    <w:jc w:val="right"/>
                    <w:rPr>
                      <w:b/>
                      <w:i/>
                      <w:sz w:val="16"/>
                      <w:szCs w:val="16"/>
                      <w:lang w:val="en-GB"/>
                    </w:rPr>
                  </w:pPr>
                  <w:proofErr w:type="spellStart"/>
                  <w:proofErr w:type="gramStart"/>
                  <w:r w:rsidRPr="00AE3B2E">
                    <w:rPr>
                      <w:i/>
                      <w:sz w:val="16"/>
                      <w:szCs w:val="16"/>
                      <w:lang w:val="en-GB"/>
                    </w:rPr>
                    <w:t>LoE:III</w:t>
                  </w:r>
                  <w:proofErr w:type="spellEnd"/>
                  <w:proofErr w:type="gramEnd"/>
                  <w:r w:rsidRPr="00AE3B2E">
                    <w:rPr>
                      <w:rStyle w:val="EndnoteReference"/>
                      <w:i/>
                      <w:sz w:val="16"/>
                      <w:szCs w:val="16"/>
                      <w:lang w:val="en-GB"/>
                    </w:rPr>
                    <w:endnoteReference w:id="17"/>
                  </w:r>
                </w:p>
              </w:tc>
            </w:tr>
          </w:tbl>
          <w:p w14:paraId="24EDCE5C" w14:textId="4A7B5B67" w:rsidR="00C15E52" w:rsidRPr="00AE3B2E" w:rsidRDefault="00C15E52" w:rsidP="00793955">
            <w:pPr>
              <w:pStyle w:val="Level1"/>
              <w:tabs>
                <w:tab w:val="clear" w:pos="360"/>
                <w:tab w:val="left" w:pos="196"/>
              </w:tabs>
              <w:ind w:left="0" w:firstLine="0"/>
              <w:jc w:val="left"/>
              <w:rPr>
                <w:rFonts w:ascii="Arial" w:hAnsi="Arial"/>
                <w:color w:val="auto"/>
                <w:sz w:val="16"/>
                <w:szCs w:val="16"/>
                <w:lang w:val="en-GB"/>
              </w:rPr>
            </w:pPr>
          </w:p>
        </w:tc>
        <w:tc>
          <w:tcPr>
            <w:tcW w:w="1237" w:type="pct"/>
            <w:tcBorders>
              <w:top w:val="single" w:sz="7" w:space="0" w:color="000000"/>
              <w:left w:val="single" w:sz="7" w:space="0" w:color="000000"/>
              <w:bottom w:val="single" w:sz="7" w:space="0" w:color="000000"/>
              <w:right w:val="single" w:sz="7" w:space="0" w:color="000000"/>
            </w:tcBorders>
            <w:tcMar>
              <w:left w:w="57" w:type="dxa"/>
              <w:right w:w="57" w:type="dxa"/>
            </w:tcMar>
          </w:tcPr>
          <w:p w14:paraId="521254C5" w14:textId="77777777" w:rsidR="00753075" w:rsidRPr="00AE3B2E" w:rsidRDefault="00753075" w:rsidP="00774A06">
            <w:pPr>
              <w:spacing w:before="60"/>
              <w:jc w:val="left"/>
              <w:rPr>
                <w:rFonts w:cs="Arial"/>
                <w:color w:val="auto"/>
                <w:sz w:val="16"/>
                <w:szCs w:val="16"/>
                <w:lang w:val="en-GB"/>
              </w:rPr>
            </w:pPr>
            <w:r w:rsidRPr="00AE3B2E">
              <w:rPr>
                <w:rFonts w:cs="Arial"/>
                <w:color w:val="auto"/>
                <w:sz w:val="16"/>
                <w:szCs w:val="16"/>
                <w:lang w:val="en-GB"/>
              </w:rPr>
              <w:lastRenderedPageBreak/>
              <w:t>4 units weekly.</w:t>
            </w:r>
          </w:p>
          <w:p w14:paraId="244AEFFF" w14:textId="77777777" w:rsidR="00753075" w:rsidRPr="00AE3B2E" w:rsidRDefault="00753075" w:rsidP="00774A06">
            <w:pPr>
              <w:pStyle w:val="Level1"/>
              <w:tabs>
                <w:tab w:val="clear" w:pos="360"/>
              </w:tabs>
              <w:ind w:left="-32" w:firstLine="0"/>
              <w:jc w:val="left"/>
              <w:rPr>
                <w:rFonts w:ascii="Arial" w:hAnsi="Arial"/>
                <w:color w:val="auto"/>
                <w:sz w:val="16"/>
                <w:szCs w:val="16"/>
                <w:lang w:val="en-GB"/>
              </w:rPr>
            </w:pPr>
          </w:p>
          <w:p w14:paraId="69E5C8B9" w14:textId="280FA194" w:rsidR="00753075" w:rsidRPr="00AE3B2E" w:rsidRDefault="00753075" w:rsidP="00774A06">
            <w:pPr>
              <w:pStyle w:val="Level1"/>
              <w:tabs>
                <w:tab w:val="clear" w:pos="360"/>
              </w:tabs>
              <w:ind w:left="-32" w:firstLine="0"/>
              <w:jc w:val="left"/>
              <w:rPr>
                <w:rFonts w:ascii="Arial" w:hAnsi="Arial"/>
                <w:color w:val="auto"/>
                <w:sz w:val="16"/>
                <w:szCs w:val="16"/>
                <w:lang w:val="en-GB"/>
              </w:rPr>
            </w:pPr>
            <w:r w:rsidRPr="00AE3B2E">
              <w:rPr>
                <w:rFonts w:ascii="Arial" w:hAnsi="Arial"/>
                <w:color w:val="auto"/>
                <w:sz w:val="16"/>
                <w:szCs w:val="16"/>
                <w:lang w:val="en-GB"/>
              </w:rPr>
              <w:t>First increment is added to dose before breakfast</w:t>
            </w:r>
            <w:r w:rsidR="002240B9">
              <w:rPr>
                <w:rFonts w:ascii="Arial" w:hAnsi="Arial"/>
                <w:color w:val="auto"/>
                <w:sz w:val="16"/>
                <w:szCs w:val="16"/>
                <w:lang w:val="en-GB"/>
              </w:rPr>
              <w:t>.</w:t>
            </w:r>
          </w:p>
          <w:p w14:paraId="2F525F2A" w14:textId="77777777" w:rsidR="00753075" w:rsidRPr="00AE3B2E" w:rsidRDefault="00753075" w:rsidP="00774A06">
            <w:pPr>
              <w:pStyle w:val="Level1"/>
              <w:tabs>
                <w:tab w:val="clear" w:pos="360"/>
              </w:tabs>
              <w:ind w:left="-32" w:firstLine="0"/>
              <w:jc w:val="left"/>
              <w:rPr>
                <w:rFonts w:ascii="Arial" w:hAnsi="Arial"/>
                <w:color w:val="auto"/>
                <w:sz w:val="16"/>
                <w:szCs w:val="16"/>
                <w:lang w:val="en-GB"/>
              </w:rPr>
            </w:pPr>
          </w:p>
          <w:p w14:paraId="06198EB3" w14:textId="77777777" w:rsidR="00753075" w:rsidRPr="00AE3B2E" w:rsidRDefault="00753075" w:rsidP="00C4050E">
            <w:pPr>
              <w:spacing w:before="60"/>
              <w:jc w:val="left"/>
              <w:rPr>
                <w:rFonts w:cs="Arial"/>
                <w:color w:val="auto"/>
                <w:spacing w:val="-4"/>
                <w:sz w:val="16"/>
                <w:szCs w:val="16"/>
                <w:lang w:val="en-GB"/>
              </w:rPr>
            </w:pPr>
            <w:r w:rsidRPr="00AE3B2E">
              <w:rPr>
                <w:rFonts w:cs="Arial"/>
                <w:color w:val="auto"/>
                <w:sz w:val="16"/>
                <w:szCs w:val="16"/>
                <w:lang w:val="en-GB"/>
              </w:rPr>
              <w:lastRenderedPageBreak/>
              <w:t>Second increment is added to dose before supper.</w:t>
            </w:r>
          </w:p>
        </w:tc>
        <w:tc>
          <w:tcPr>
            <w:tcW w:w="1167" w:type="pct"/>
            <w:tcBorders>
              <w:top w:val="single" w:sz="7" w:space="0" w:color="000000"/>
              <w:left w:val="single" w:sz="7" w:space="0" w:color="000000"/>
              <w:bottom w:val="single" w:sz="7" w:space="0" w:color="000000"/>
              <w:right w:val="single" w:sz="7" w:space="0" w:color="000000"/>
            </w:tcBorders>
            <w:tcMar>
              <w:left w:w="57" w:type="dxa"/>
              <w:right w:w="57" w:type="dxa"/>
            </w:tcMar>
          </w:tcPr>
          <w:p w14:paraId="1D842499" w14:textId="77777777" w:rsidR="00753075" w:rsidRPr="00AE3B2E" w:rsidRDefault="00753075" w:rsidP="00C4050E">
            <w:pPr>
              <w:spacing w:before="60"/>
              <w:jc w:val="left"/>
              <w:rPr>
                <w:rFonts w:cs="Arial"/>
                <w:color w:val="auto"/>
                <w:spacing w:val="-2"/>
                <w:sz w:val="16"/>
                <w:szCs w:val="16"/>
                <w:lang w:val="en-GB"/>
              </w:rPr>
            </w:pPr>
            <w:r w:rsidRPr="00AE3B2E">
              <w:rPr>
                <w:rFonts w:cs="Arial"/>
                <w:color w:val="auto"/>
                <w:spacing w:val="-2"/>
                <w:sz w:val="16"/>
                <w:szCs w:val="16"/>
                <w:lang w:val="en-GB"/>
              </w:rPr>
              <w:lastRenderedPageBreak/>
              <w:t xml:space="preserve">Refer if recurrent hypoglycaemia occurs and targets for control are not met. </w:t>
            </w:r>
          </w:p>
        </w:tc>
      </w:tr>
      <w:tr w:rsidR="00D33F97" w:rsidRPr="00AE3B2E" w14:paraId="6FF501BA" w14:textId="77777777" w:rsidTr="00E066CB">
        <w:tc>
          <w:tcPr>
            <w:tcW w:w="1139" w:type="pct"/>
            <w:tcBorders>
              <w:top w:val="single" w:sz="7" w:space="0" w:color="000000"/>
              <w:left w:val="single" w:sz="7" w:space="0" w:color="000000"/>
              <w:bottom w:val="single" w:sz="7" w:space="0" w:color="000000"/>
              <w:right w:val="single" w:sz="7" w:space="0" w:color="000000"/>
            </w:tcBorders>
            <w:tcMar>
              <w:left w:w="57" w:type="dxa"/>
              <w:right w:w="57" w:type="dxa"/>
            </w:tcMar>
          </w:tcPr>
          <w:p w14:paraId="5A8DD759" w14:textId="77777777" w:rsidR="00753075" w:rsidRPr="00AE3B2E" w:rsidRDefault="00753075" w:rsidP="00774A06">
            <w:pPr>
              <w:spacing w:before="60"/>
              <w:jc w:val="left"/>
              <w:rPr>
                <w:rFonts w:cs="Arial"/>
                <w:b/>
                <w:color w:val="auto"/>
                <w:spacing w:val="-4"/>
                <w:sz w:val="16"/>
                <w:szCs w:val="16"/>
                <w:lang w:val="en-GB"/>
              </w:rPr>
            </w:pPr>
            <w:r w:rsidRPr="00AE3B2E">
              <w:rPr>
                <w:rFonts w:cs="Arial"/>
                <w:b/>
                <w:color w:val="auto"/>
                <w:spacing w:val="-4"/>
                <w:sz w:val="16"/>
                <w:szCs w:val="16"/>
                <w:lang w:val="en-GB"/>
              </w:rPr>
              <w:t>Basal bolus insulin therapy</w:t>
            </w:r>
          </w:p>
        </w:tc>
        <w:tc>
          <w:tcPr>
            <w:tcW w:w="1457" w:type="pct"/>
            <w:tcBorders>
              <w:top w:val="single" w:sz="7" w:space="0" w:color="000000"/>
              <w:left w:val="single" w:sz="7" w:space="0" w:color="000000"/>
              <w:bottom w:val="single" w:sz="7" w:space="0" w:color="000000"/>
              <w:right w:val="single" w:sz="7" w:space="0" w:color="000000"/>
            </w:tcBorders>
            <w:tcMar>
              <w:left w:w="57" w:type="dxa"/>
              <w:right w:w="57" w:type="dxa"/>
            </w:tcMar>
          </w:tcPr>
          <w:p w14:paraId="0E8B6819" w14:textId="54C96EED" w:rsidR="00753075" w:rsidRPr="00AE3B2E" w:rsidRDefault="00753075" w:rsidP="00F74C89">
            <w:pPr>
              <w:spacing w:before="60"/>
              <w:jc w:val="left"/>
              <w:rPr>
                <w:rFonts w:cs="Arial"/>
                <w:color w:val="auto"/>
                <w:sz w:val="16"/>
                <w:szCs w:val="16"/>
                <w:lang w:val="en-GB"/>
              </w:rPr>
            </w:pPr>
            <w:r w:rsidRPr="00AE3B2E">
              <w:rPr>
                <w:rFonts w:cs="Arial"/>
                <w:color w:val="auto"/>
                <w:sz w:val="16"/>
                <w:szCs w:val="16"/>
                <w:lang w:val="en-GB"/>
              </w:rPr>
              <w:t>Start with 0.4 to 0.6 units</w:t>
            </w:r>
            <w:r w:rsidR="00F74C89" w:rsidRPr="00AE3B2E">
              <w:rPr>
                <w:rFonts w:cs="Arial"/>
                <w:color w:val="auto"/>
                <w:sz w:val="16"/>
                <w:szCs w:val="16"/>
                <w:lang w:val="en-GB"/>
              </w:rPr>
              <w:t xml:space="preserve">/kg </w:t>
            </w:r>
            <w:r w:rsidRPr="00AE3B2E">
              <w:rPr>
                <w:rFonts w:cs="Arial"/>
                <w:color w:val="auto"/>
                <w:sz w:val="16"/>
                <w:szCs w:val="16"/>
                <w:lang w:val="en-GB"/>
              </w:rPr>
              <w:t xml:space="preserve">and divide this total daily dose into 50% basal and 50% bolus, using equal pre-meal doses </w:t>
            </w:r>
          </w:p>
        </w:tc>
        <w:tc>
          <w:tcPr>
            <w:tcW w:w="1237" w:type="pct"/>
            <w:tcBorders>
              <w:top w:val="single" w:sz="7" w:space="0" w:color="000000"/>
              <w:left w:val="single" w:sz="7" w:space="0" w:color="000000"/>
              <w:bottom w:val="single" w:sz="7" w:space="0" w:color="000000"/>
              <w:right w:val="single" w:sz="7" w:space="0" w:color="000000"/>
            </w:tcBorders>
            <w:tcMar>
              <w:left w:w="57" w:type="dxa"/>
              <w:right w:w="57" w:type="dxa"/>
            </w:tcMar>
          </w:tcPr>
          <w:p w14:paraId="152536BD" w14:textId="77777777" w:rsidR="00753075" w:rsidRPr="00AE3B2E" w:rsidRDefault="00753075" w:rsidP="00D33F97">
            <w:pPr>
              <w:spacing w:before="60"/>
              <w:jc w:val="left"/>
              <w:rPr>
                <w:rFonts w:cs="Arial"/>
                <w:color w:val="auto"/>
                <w:spacing w:val="-2"/>
                <w:sz w:val="16"/>
                <w:szCs w:val="16"/>
                <w:lang w:val="en-GB"/>
              </w:rPr>
            </w:pPr>
            <w:r w:rsidRPr="00AE3B2E">
              <w:rPr>
                <w:rFonts w:cs="Arial"/>
                <w:color w:val="auto"/>
                <w:spacing w:val="-2"/>
                <w:sz w:val="16"/>
                <w:szCs w:val="16"/>
                <w:lang w:val="en-GB"/>
              </w:rPr>
              <w:t>Basal insulin is adjusted according to fasting glucose levels and bolus insulin is adjusted according to pre- and post-meal glucose, using the patient’s home glucose record as a guide.</w:t>
            </w:r>
          </w:p>
        </w:tc>
        <w:tc>
          <w:tcPr>
            <w:tcW w:w="1167" w:type="pct"/>
            <w:tcBorders>
              <w:top w:val="single" w:sz="7" w:space="0" w:color="000000"/>
              <w:left w:val="single" w:sz="7" w:space="0" w:color="000000"/>
              <w:bottom w:val="single" w:sz="7" w:space="0" w:color="000000"/>
              <w:right w:val="single" w:sz="7" w:space="0" w:color="000000"/>
            </w:tcBorders>
            <w:tcMar>
              <w:left w:w="57" w:type="dxa"/>
              <w:right w:w="57" w:type="dxa"/>
            </w:tcMar>
          </w:tcPr>
          <w:p w14:paraId="4FB1B837" w14:textId="77777777" w:rsidR="00753075" w:rsidRPr="00AE3B2E" w:rsidRDefault="00753075" w:rsidP="00C4050E">
            <w:pPr>
              <w:spacing w:before="60"/>
              <w:jc w:val="left"/>
              <w:rPr>
                <w:rFonts w:cs="Arial"/>
                <w:color w:val="auto"/>
                <w:spacing w:val="-2"/>
                <w:sz w:val="16"/>
                <w:szCs w:val="16"/>
                <w:lang w:val="en-GB"/>
              </w:rPr>
            </w:pPr>
            <w:r w:rsidRPr="00AE3B2E">
              <w:rPr>
                <w:rFonts w:cs="Arial"/>
                <w:color w:val="auto"/>
                <w:spacing w:val="-2"/>
                <w:sz w:val="16"/>
                <w:szCs w:val="16"/>
                <w:lang w:val="en-GB"/>
              </w:rPr>
              <w:t>Refer if recurrent hypoglycaemia occurs and targets for control are not met.</w:t>
            </w:r>
          </w:p>
        </w:tc>
      </w:tr>
    </w:tbl>
    <w:p w14:paraId="25501E0E" w14:textId="1D9B1443" w:rsidR="00F513D7" w:rsidRPr="00D6340F" w:rsidRDefault="00F513D7" w:rsidP="00F513D7">
      <w:pPr>
        <w:rPr>
          <w:rFonts w:cs="Arial"/>
          <w:lang w:val="en-GB"/>
        </w:rPr>
      </w:pPr>
      <w:r w:rsidRPr="00D6340F">
        <w:rPr>
          <w:rFonts w:cs="Arial"/>
          <w:lang w:val="en-GB"/>
        </w:rPr>
        <w:t>Also see insulin protocols as in</w:t>
      </w:r>
      <w:r w:rsidR="00774A06" w:rsidRPr="00D6340F">
        <w:rPr>
          <w:rFonts w:cs="Arial"/>
          <w:lang w:val="en-GB"/>
        </w:rPr>
        <w:t xml:space="preserve"> </w:t>
      </w:r>
      <w:r w:rsidR="002840C6">
        <w:rPr>
          <w:rFonts w:cs="Arial"/>
          <w:lang w:val="en-GB"/>
        </w:rPr>
        <w:t>Section</w:t>
      </w:r>
      <w:r w:rsidR="00774A06" w:rsidRPr="00D6340F">
        <w:rPr>
          <w:rFonts w:cs="Arial"/>
          <w:lang w:val="en-GB"/>
        </w:rPr>
        <w:t xml:space="preserve"> 8.5.2: T</w:t>
      </w:r>
      <w:r w:rsidRPr="00D6340F">
        <w:rPr>
          <w:rFonts w:cs="Arial"/>
          <w:lang w:val="en-GB"/>
        </w:rPr>
        <w:t>ype 1 diabetes mellitus</w:t>
      </w:r>
      <w:r w:rsidR="00774A06" w:rsidRPr="00D6340F">
        <w:rPr>
          <w:rFonts w:cs="Arial"/>
          <w:lang w:val="en-GB"/>
        </w:rPr>
        <w:t>.</w:t>
      </w: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525B17" w:rsidRPr="00D6340F" w14:paraId="77A9BB08" w14:textId="77777777" w:rsidTr="00FC265C">
        <w:tc>
          <w:tcPr>
            <w:tcW w:w="1134" w:type="dxa"/>
            <w:shd w:val="clear" w:color="auto" w:fill="auto"/>
          </w:tcPr>
          <w:p w14:paraId="0D9DBEB4" w14:textId="77777777" w:rsidR="00525B17" w:rsidRPr="00D6340F" w:rsidRDefault="00525B17" w:rsidP="00FC265C">
            <w:pPr>
              <w:jc w:val="right"/>
              <w:rPr>
                <w:b/>
                <w:i/>
                <w:lang w:val="en-GB"/>
              </w:rPr>
            </w:pPr>
            <w:proofErr w:type="spellStart"/>
            <w:proofErr w:type="gramStart"/>
            <w:r w:rsidRPr="00D6340F">
              <w:rPr>
                <w:i/>
                <w:lang w:val="en-GB"/>
              </w:rPr>
              <w:t>LoE:III</w:t>
            </w:r>
            <w:proofErr w:type="spellEnd"/>
            <w:proofErr w:type="gramEnd"/>
            <w:r w:rsidRPr="00D6340F">
              <w:rPr>
                <w:rStyle w:val="EndnoteReference"/>
                <w:i/>
                <w:lang w:val="en-GB"/>
              </w:rPr>
              <w:endnoteReference w:id="18"/>
            </w:r>
          </w:p>
        </w:tc>
      </w:tr>
    </w:tbl>
    <w:p w14:paraId="45791239" w14:textId="77777777" w:rsidR="00525B17" w:rsidRPr="00D6340F" w:rsidRDefault="00525B17" w:rsidP="00F513D7">
      <w:pPr>
        <w:rPr>
          <w:rFonts w:cs="Arial"/>
          <w:sz w:val="24"/>
          <w:lang w:val="en-GB"/>
        </w:rPr>
      </w:pPr>
    </w:p>
    <w:p w14:paraId="50BCF956" w14:textId="77777777" w:rsidR="00F513D7" w:rsidRPr="00D6340F" w:rsidRDefault="00F513D7" w:rsidP="00113615">
      <w:pPr>
        <w:pStyle w:val="Heading7"/>
        <w:rPr>
          <w:b w:val="0"/>
          <w:lang w:val="en-GB"/>
        </w:rPr>
      </w:pPr>
      <w:r w:rsidRPr="00D6340F">
        <w:rPr>
          <w:lang w:val="en-GB"/>
        </w:rPr>
        <w:t>Note:</w:t>
      </w:r>
      <w:r w:rsidR="00E066CB">
        <w:rPr>
          <w:lang w:val="en-GB"/>
        </w:rPr>
        <w:t xml:space="preserve"> </w:t>
      </w:r>
      <w:r w:rsidRPr="00D6340F">
        <w:rPr>
          <w:b w:val="0"/>
          <w:lang w:val="en-GB"/>
        </w:rPr>
        <w:t xml:space="preserve">Insulin requirements decrease in patients with chronic renal impairment. In these situations, blood glucose monitoring must be done regularly (at least daily) </w:t>
      </w:r>
      <w:proofErr w:type="gramStart"/>
      <w:r w:rsidRPr="00D6340F">
        <w:rPr>
          <w:b w:val="0"/>
          <w:lang w:val="en-GB"/>
        </w:rPr>
        <w:t>in order to</w:t>
      </w:r>
      <w:proofErr w:type="gramEnd"/>
      <w:r w:rsidRPr="00D6340F">
        <w:rPr>
          <w:b w:val="0"/>
          <w:lang w:val="en-GB"/>
        </w:rPr>
        <w:t xml:space="preserve"> reduce the dose appropriately, reducing the risk of hypoglycaemia.</w:t>
      </w:r>
    </w:p>
    <w:p w14:paraId="7CB62FE8" w14:textId="77777777" w:rsidR="005D4438" w:rsidRPr="00D6340F" w:rsidRDefault="005D4438" w:rsidP="005F039D">
      <w:pPr>
        <w:pStyle w:val="Bullet1"/>
        <w:rPr>
          <w:sz w:val="14"/>
          <w:lang w:val="en-GB"/>
        </w:rPr>
      </w:pPr>
    </w:p>
    <w:p w14:paraId="7458C50C" w14:textId="77777777" w:rsidR="00F513D7" w:rsidRPr="00D6340F" w:rsidRDefault="00F513D7" w:rsidP="00F513D7">
      <w:pPr>
        <w:rPr>
          <w:rFonts w:cs="Arial"/>
          <w:b/>
          <w:lang w:val="en-GB"/>
        </w:rPr>
      </w:pPr>
      <w:r w:rsidRPr="00D6340F">
        <w:rPr>
          <w:rFonts w:cs="Arial"/>
          <w:b/>
          <w:lang w:val="en-GB"/>
        </w:rPr>
        <w:t>To reduce cardiovascular risk</w:t>
      </w:r>
    </w:p>
    <w:p w14:paraId="0C8C619C" w14:textId="7DB8416D" w:rsidR="00F513D7" w:rsidRDefault="00F513D7" w:rsidP="00F513D7">
      <w:pPr>
        <w:rPr>
          <w:rFonts w:cs="Arial"/>
          <w:lang w:val="en-GB"/>
        </w:rPr>
      </w:pPr>
      <w:r w:rsidRPr="00AB44A9">
        <w:rPr>
          <w:rFonts w:cs="Arial"/>
          <w:lang w:val="en-GB"/>
        </w:rPr>
        <w:t xml:space="preserve">See </w:t>
      </w:r>
      <w:r w:rsidR="002840C6">
        <w:rPr>
          <w:rFonts w:cs="Arial"/>
          <w:lang w:val="en-GB"/>
        </w:rPr>
        <w:t>Section</w:t>
      </w:r>
      <w:r w:rsidRPr="00AB44A9">
        <w:rPr>
          <w:rFonts w:cs="Arial"/>
          <w:lang w:val="en-GB"/>
        </w:rPr>
        <w:t xml:space="preserve"> 8.8: Dyslipidaemia.</w:t>
      </w:r>
    </w:p>
    <w:p w14:paraId="00896814" w14:textId="77777777" w:rsidR="00774A06" w:rsidRPr="00D6340F" w:rsidRDefault="00774A06" w:rsidP="004B51B4">
      <w:pPr>
        <w:pStyle w:val="ep4"/>
        <w:numPr>
          <w:ilvl w:val="0"/>
          <w:numId w:val="0"/>
        </w:numPr>
        <w:ind w:left="284"/>
        <w:rPr>
          <w:sz w:val="14"/>
          <w:szCs w:val="18"/>
          <w:lang w:val="en-GB"/>
        </w:rPr>
      </w:pPr>
    </w:p>
    <w:p w14:paraId="326A88E7" w14:textId="77777777" w:rsidR="005B4516" w:rsidRPr="00D6340F" w:rsidRDefault="005B4516" w:rsidP="00F513D7">
      <w:pPr>
        <w:pStyle w:val="ep4"/>
        <w:numPr>
          <w:ilvl w:val="0"/>
          <w:numId w:val="0"/>
        </w:numPr>
        <w:rPr>
          <w:b/>
          <w:spacing w:val="-2"/>
          <w:szCs w:val="18"/>
          <w:lang w:val="en-GB"/>
        </w:rPr>
      </w:pPr>
      <w:r w:rsidRPr="00D6340F">
        <w:rPr>
          <w:b/>
          <w:spacing w:val="-2"/>
          <w:szCs w:val="18"/>
          <w:lang w:val="en-GB"/>
        </w:rPr>
        <w:t>Renal impairment</w:t>
      </w:r>
    </w:p>
    <w:p w14:paraId="3C12E441" w14:textId="43EE93D0" w:rsidR="00FC490D" w:rsidRDefault="00F513D7" w:rsidP="00F513D7">
      <w:pPr>
        <w:pStyle w:val="ep4"/>
        <w:numPr>
          <w:ilvl w:val="0"/>
          <w:numId w:val="0"/>
        </w:numPr>
        <w:rPr>
          <w:spacing w:val="-2"/>
          <w:szCs w:val="18"/>
          <w:u w:val="single"/>
          <w:lang w:val="en-GB"/>
        </w:rPr>
      </w:pPr>
      <w:r w:rsidRPr="00D6340F">
        <w:rPr>
          <w:spacing w:val="-2"/>
          <w:szCs w:val="18"/>
          <w:u w:val="single"/>
          <w:lang w:val="en-GB"/>
        </w:rPr>
        <w:t xml:space="preserve">If urine </w:t>
      </w:r>
      <w:r w:rsidR="00363760">
        <w:rPr>
          <w:spacing w:val="-2"/>
          <w:szCs w:val="18"/>
          <w:u w:val="single"/>
          <w:lang w:val="en-GB"/>
        </w:rPr>
        <w:t>ACR</w:t>
      </w:r>
      <w:r w:rsidRPr="00D6340F">
        <w:rPr>
          <w:spacing w:val="-2"/>
          <w:szCs w:val="18"/>
          <w:u w:val="single"/>
          <w:lang w:val="en-GB"/>
        </w:rPr>
        <w:t xml:space="preserve"> </w:t>
      </w:r>
      <w:r w:rsidR="00507E0F" w:rsidRPr="00D6340F">
        <w:rPr>
          <w:spacing w:val="-2"/>
          <w:szCs w:val="18"/>
          <w:u w:val="single"/>
          <w:lang w:val="en-GB"/>
        </w:rPr>
        <w:t>&gt;2.5 mg/</w:t>
      </w:r>
      <w:proofErr w:type="spellStart"/>
      <w:r w:rsidR="00507E0F" w:rsidRPr="00D6340F">
        <w:rPr>
          <w:spacing w:val="-2"/>
          <w:szCs w:val="18"/>
          <w:u w:val="single"/>
          <w:lang w:val="en-GB"/>
        </w:rPr>
        <w:t>mmoL</w:t>
      </w:r>
      <w:proofErr w:type="spellEnd"/>
      <w:r w:rsidR="00CB2418" w:rsidRPr="00D6340F">
        <w:rPr>
          <w:spacing w:val="-2"/>
          <w:szCs w:val="18"/>
          <w:u w:val="single"/>
          <w:lang w:val="en-GB"/>
        </w:rPr>
        <w:t xml:space="preserve"> (men) or &gt;3.5 mg/</w:t>
      </w:r>
      <w:proofErr w:type="spellStart"/>
      <w:r w:rsidR="00CB2418" w:rsidRPr="00D6340F">
        <w:rPr>
          <w:spacing w:val="-2"/>
          <w:szCs w:val="18"/>
          <w:u w:val="single"/>
          <w:lang w:val="en-GB"/>
        </w:rPr>
        <w:t>mmoL</w:t>
      </w:r>
      <w:proofErr w:type="spellEnd"/>
      <w:r w:rsidR="00CB2418" w:rsidRPr="00D6340F">
        <w:rPr>
          <w:spacing w:val="-2"/>
          <w:szCs w:val="18"/>
          <w:u w:val="single"/>
          <w:lang w:val="en-GB"/>
        </w:rPr>
        <w:t xml:space="preserve"> (women)</w:t>
      </w:r>
      <w:r w:rsidR="00FC490D">
        <w:rPr>
          <w:spacing w:val="-2"/>
          <w:szCs w:val="18"/>
          <w:u w:val="single"/>
          <w:lang w:val="en-GB"/>
        </w:rPr>
        <w:t>:</w:t>
      </w:r>
    </w:p>
    <w:p w14:paraId="3BCB6AE4" w14:textId="77777777" w:rsidR="00E942C5" w:rsidRDefault="00FC490D" w:rsidP="00F513D7">
      <w:pPr>
        <w:pStyle w:val="ep4"/>
        <w:numPr>
          <w:ilvl w:val="0"/>
          <w:numId w:val="0"/>
        </w:numPr>
        <w:rPr>
          <w:spacing w:val="-2"/>
          <w:szCs w:val="18"/>
          <w:u w:val="single"/>
          <w:lang w:val="en-GB"/>
        </w:rPr>
      </w:pPr>
      <w:r w:rsidRPr="00484573">
        <w:rPr>
          <w:rStyle w:val="StyleText1"/>
          <w:lang w:val="en-GB"/>
        </w:rPr>
        <w:t>Start treatment with a low dose of ACE-inhibitor and titrate up to the maximum tolerated dose</w:t>
      </w:r>
      <w:r>
        <w:rPr>
          <w:rStyle w:val="StyleText1"/>
          <w:lang w:val="en-GB"/>
        </w:rPr>
        <w:t>.</w:t>
      </w:r>
      <w:r w:rsidR="00CF1E5F" w:rsidRPr="00D6340F">
        <w:rPr>
          <w:spacing w:val="-2"/>
          <w:szCs w:val="18"/>
          <w:u w:val="single"/>
          <w:lang w:val="en-GB"/>
        </w:rPr>
        <w:t xml:space="preserve"> </w:t>
      </w: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FC490D" w:rsidRPr="00FC490D" w14:paraId="2B5B04D7" w14:textId="77777777" w:rsidTr="00324E81">
        <w:tc>
          <w:tcPr>
            <w:tcW w:w="1134" w:type="dxa"/>
            <w:shd w:val="clear" w:color="auto" w:fill="auto"/>
          </w:tcPr>
          <w:p w14:paraId="05D083C0" w14:textId="77777777" w:rsidR="00FC490D" w:rsidRPr="00FC490D" w:rsidRDefault="00FC490D" w:rsidP="00324E81">
            <w:pPr>
              <w:jc w:val="right"/>
              <w:rPr>
                <w:b/>
                <w:i/>
                <w:sz w:val="16"/>
                <w:lang w:val="en-GB"/>
              </w:rPr>
            </w:pPr>
            <w:proofErr w:type="spellStart"/>
            <w:proofErr w:type="gramStart"/>
            <w:r w:rsidRPr="00FC490D">
              <w:rPr>
                <w:i/>
                <w:sz w:val="16"/>
                <w:lang w:val="en-GB"/>
              </w:rPr>
              <w:t>LoE:I</w:t>
            </w:r>
            <w:proofErr w:type="spellEnd"/>
            <w:proofErr w:type="gramEnd"/>
            <w:r w:rsidRPr="00FC490D">
              <w:rPr>
                <w:rStyle w:val="EndnoteReference"/>
                <w:i/>
                <w:sz w:val="16"/>
                <w:lang w:val="en-GB"/>
              </w:rPr>
              <w:endnoteReference w:id="19"/>
            </w:r>
          </w:p>
        </w:tc>
      </w:tr>
    </w:tbl>
    <w:p w14:paraId="5DD56666" w14:textId="77777777" w:rsidR="00E942C5" w:rsidRPr="00E942C5" w:rsidRDefault="00E942C5" w:rsidP="00F513D7">
      <w:pPr>
        <w:pStyle w:val="ep4"/>
        <w:numPr>
          <w:ilvl w:val="0"/>
          <w:numId w:val="0"/>
        </w:numPr>
        <w:rPr>
          <w:b/>
          <w:spacing w:val="-2"/>
          <w:szCs w:val="18"/>
          <w:lang w:val="en-GB"/>
        </w:rPr>
      </w:pPr>
      <w:r w:rsidRPr="00E942C5">
        <w:rPr>
          <w:b/>
          <w:spacing w:val="-2"/>
          <w:szCs w:val="18"/>
          <w:lang w:val="en-GB"/>
        </w:rPr>
        <w:t>ADD</w:t>
      </w:r>
    </w:p>
    <w:p w14:paraId="5EC63D08" w14:textId="77777777" w:rsidR="00F513D7" w:rsidRDefault="00A47C33" w:rsidP="007E4E67">
      <w:pPr>
        <w:pStyle w:val="ep4"/>
        <w:numPr>
          <w:ilvl w:val="0"/>
          <w:numId w:val="67"/>
        </w:numPr>
        <w:ind w:left="284" w:hanging="284"/>
        <w:rPr>
          <w:spacing w:val="-2"/>
          <w:szCs w:val="18"/>
          <w:lang w:val="en-GB"/>
        </w:rPr>
      </w:pPr>
      <w:r w:rsidRPr="00E942C5">
        <w:rPr>
          <w:spacing w:val="-2"/>
          <w:szCs w:val="18"/>
          <w:lang w:val="en-GB"/>
        </w:rPr>
        <w:t>ACE-</w:t>
      </w:r>
      <w:r w:rsidR="00F513D7" w:rsidRPr="00E942C5">
        <w:rPr>
          <w:spacing w:val="-2"/>
          <w:szCs w:val="18"/>
          <w:lang w:val="en-GB"/>
        </w:rPr>
        <w:t>inhibitor, e.g.:</w:t>
      </w:r>
    </w:p>
    <w:p w14:paraId="76203DE9" w14:textId="77777777" w:rsidR="00FC490D" w:rsidRPr="00484573" w:rsidRDefault="00FC490D" w:rsidP="007E4E67">
      <w:pPr>
        <w:pStyle w:val="ep4"/>
        <w:widowControl/>
        <w:numPr>
          <w:ilvl w:val="0"/>
          <w:numId w:val="68"/>
        </w:numPr>
        <w:tabs>
          <w:tab w:val="left" w:pos="284"/>
        </w:tabs>
        <w:ind w:left="284" w:hanging="284"/>
        <w:rPr>
          <w:bCs w:val="0"/>
          <w:lang w:val="en-GB"/>
        </w:rPr>
      </w:pPr>
      <w:r w:rsidRPr="00484573">
        <w:rPr>
          <w:rStyle w:val="StyleText1"/>
          <w:szCs w:val="18"/>
          <w:lang w:val="en-GB"/>
        </w:rPr>
        <w:t>E</w:t>
      </w:r>
      <w:r w:rsidRPr="00484573">
        <w:rPr>
          <w:bCs w:val="0"/>
          <w:szCs w:val="18"/>
          <w:lang w:val="en-GB"/>
        </w:rPr>
        <w:t>nalapril, oral.</w:t>
      </w: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FC490D" w:rsidRPr="00DB6802" w14:paraId="2548D8FF" w14:textId="77777777" w:rsidTr="00324E81">
        <w:tc>
          <w:tcPr>
            <w:tcW w:w="1134" w:type="dxa"/>
            <w:shd w:val="clear" w:color="auto" w:fill="auto"/>
          </w:tcPr>
          <w:p w14:paraId="4DF403F6" w14:textId="77777777" w:rsidR="00FC490D" w:rsidRPr="00DB6802" w:rsidRDefault="00FC490D" w:rsidP="00FC490D">
            <w:pPr>
              <w:jc w:val="right"/>
              <w:rPr>
                <w:i/>
                <w:sz w:val="16"/>
              </w:rPr>
            </w:pPr>
            <w:proofErr w:type="spellStart"/>
            <w:proofErr w:type="gramStart"/>
            <w:r>
              <w:rPr>
                <w:i/>
                <w:sz w:val="16"/>
              </w:rPr>
              <w:t>LoE:III</w:t>
            </w:r>
            <w:proofErr w:type="spellEnd"/>
            <w:proofErr w:type="gramEnd"/>
            <w:r w:rsidRPr="00DB6802">
              <w:rPr>
                <w:rStyle w:val="EndnoteReference"/>
                <w:i/>
                <w:sz w:val="16"/>
              </w:rPr>
              <w:endnoteReference w:id="20"/>
            </w:r>
          </w:p>
        </w:tc>
      </w:tr>
    </w:tbl>
    <w:p w14:paraId="76B9864D" w14:textId="64EC6127" w:rsidR="00164A35" w:rsidRPr="00FC490D" w:rsidRDefault="00FC490D" w:rsidP="007E4E67">
      <w:pPr>
        <w:numPr>
          <w:ilvl w:val="0"/>
          <w:numId w:val="69"/>
        </w:numPr>
        <w:tabs>
          <w:tab w:val="clear" w:pos="360"/>
        </w:tabs>
        <w:ind w:left="567" w:hanging="283"/>
        <w:rPr>
          <w:rFonts w:cs="Arial"/>
          <w:bCs w:val="0"/>
          <w:lang w:val="en-GB"/>
        </w:rPr>
      </w:pPr>
      <w:r w:rsidRPr="00484573">
        <w:rPr>
          <w:rFonts w:cs="Arial"/>
          <w:bCs w:val="0"/>
          <w:lang w:val="en-GB"/>
        </w:rPr>
        <w:t>Start with 5</w:t>
      </w:r>
      <w:r>
        <w:rPr>
          <w:rFonts w:cs="Arial"/>
          <w:bCs w:val="0"/>
          <w:lang w:val="en-GB"/>
        </w:rPr>
        <w:t xml:space="preserve"> </w:t>
      </w:r>
      <w:r w:rsidRPr="00484573">
        <w:rPr>
          <w:rFonts w:cs="Arial"/>
          <w:bCs w:val="0"/>
          <w:lang w:val="en-GB"/>
        </w:rPr>
        <w:t>mg 12</w:t>
      </w:r>
      <w:r>
        <w:rPr>
          <w:rFonts w:cs="Arial"/>
          <w:bCs w:val="0"/>
          <w:lang w:val="en-GB"/>
        </w:rPr>
        <w:t xml:space="preserve"> </w:t>
      </w:r>
      <w:r w:rsidRPr="00484573">
        <w:rPr>
          <w:rFonts w:cs="Arial"/>
          <w:bCs w:val="0"/>
          <w:lang w:val="en-GB"/>
        </w:rPr>
        <w:t>hourly and titrate to 20 mg 12 hourly, if tolerated</w:t>
      </w:r>
      <w:r>
        <w:rPr>
          <w:rFonts w:cs="Arial"/>
          <w:bCs w:val="0"/>
          <w:lang w:val="en-GB"/>
        </w:rPr>
        <w:t xml:space="preserve"> (depending on </w:t>
      </w:r>
      <w:r w:rsidR="00363760">
        <w:rPr>
          <w:rFonts w:cs="Arial"/>
          <w:bCs w:val="0"/>
          <w:lang w:val="en-GB"/>
        </w:rPr>
        <w:t>BP</w:t>
      </w:r>
      <w:r>
        <w:rPr>
          <w:rFonts w:cs="Arial"/>
          <w:bCs w:val="0"/>
          <w:lang w:val="en-GB"/>
        </w:rPr>
        <w:t xml:space="preserve"> and </w:t>
      </w:r>
      <w:r w:rsidR="00363760">
        <w:rPr>
          <w:rFonts w:cs="Arial"/>
          <w:bCs w:val="0"/>
          <w:lang w:val="en-GB"/>
        </w:rPr>
        <w:t>ACR</w:t>
      </w:r>
      <w:r>
        <w:rPr>
          <w:rFonts w:cs="Arial"/>
          <w:bCs w:val="0"/>
          <w:lang w:val="en-GB"/>
        </w:rPr>
        <w:t>)</w:t>
      </w:r>
      <w:r w:rsidRPr="00484573">
        <w:rPr>
          <w:rFonts w:cs="Arial"/>
          <w:bCs w:val="0"/>
          <w:lang w:val="en-GB"/>
        </w:rPr>
        <w:t xml:space="preserve">. </w:t>
      </w:r>
      <w:r w:rsidR="0063434A" w:rsidRPr="00FC490D">
        <w:rPr>
          <w:lang w:val="en-GB"/>
        </w:rPr>
        <w:t xml:space="preserve"> </w:t>
      </w:r>
    </w:p>
    <w:p w14:paraId="466225BE" w14:textId="77777777" w:rsidR="00F513D7" w:rsidRPr="00D6340F" w:rsidRDefault="00F513D7" w:rsidP="00164A35">
      <w:pPr>
        <w:pStyle w:val="ep4"/>
        <w:numPr>
          <w:ilvl w:val="0"/>
          <w:numId w:val="0"/>
        </w:numPr>
        <w:ind w:left="284"/>
        <w:rPr>
          <w:sz w:val="2"/>
          <w:szCs w:val="18"/>
          <w:lang w:val="en-GB"/>
        </w:rPr>
      </w:pPr>
    </w:p>
    <w:p w14:paraId="3E4EC7E9" w14:textId="0CAC0DB4" w:rsidR="00F513D7" w:rsidRPr="00D6340F" w:rsidRDefault="00F513D7" w:rsidP="00F513D7">
      <w:pPr>
        <w:pStyle w:val="ep4"/>
        <w:numPr>
          <w:ilvl w:val="0"/>
          <w:numId w:val="0"/>
        </w:numPr>
        <w:rPr>
          <w:lang w:val="en-GB"/>
        </w:rPr>
      </w:pPr>
      <w:r w:rsidRPr="00D6340F">
        <w:rPr>
          <w:szCs w:val="18"/>
          <w:lang w:val="en-GB"/>
        </w:rPr>
        <w:t xml:space="preserve">See </w:t>
      </w:r>
      <w:r w:rsidR="002840C6">
        <w:rPr>
          <w:szCs w:val="18"/>
          <w:lang w:val="en-GB"/>
        </w:rPr>
        <w:t>Section</w:t>
      </w:r>
      <w:r w:rsidRPr="00D6340F">
        <w:rPr>
          <w:lang w:val="en-GB"/>
        </w:rPr>
        <w:t xml:space="preserve"> 7.1.1: Chronic Kidney Disease.</w:t>
      </w:r>
    </w:p>
    <w:p w14:paraId="6F57FFF9" w14:textId="77777777" w:rsidR="00FC490D" w:rsidRDefault="00FC490D" w:rsidP="005F039D">
      <w:pPr>
        <w:pStyle w:val="Bullet1"/>
        <w:rPr>
          <w:lang w:val="en-GB"/>
        </w:rPr>
      </w:pPr>
    </w:p>
    <w:p w14:paraId="1E03D47E" w14:textId="0713EFBB" w:rsidR="00706566" w:rsidRPr="00706566" w:rsidRDefault="00706566" w:rsidP="00706566">
      <w:pPr>
        <w:pStyle w:val="ep4"/>
        <w:numPr>
          <w:ilvl w:val="0"/>
          <w:numId w:val="0"/>
        </w:numPr>
        <w:rPr>
          <w:rStyle w:val="StyleText1"/>
          <w:lang w:val="en-GB"/>
        </w:rPr>
      </w:pPr>
      <w:r w:rsidRPr="00706566">
        <w:rPr>
          <w:rStyle w:val="StyleText1"/>
          <w:lang w:val="en-GB"/>
        </w:rPr>
        <w:t xml:space="preserve">If an ACE-inhibitor is not tolerated due to intractable cough, consider an angiotensin II receptor blocker. </w:t>
      </w:r>
      <w:r w:rsidRPr="00706566">
        <w:rPr>
          <w:szCs w:val="18"/>
          <w:lang w:val="en-GB"/>
        </w:rPr>
        <w:t xml:space="preserve">See </w:t>
      </w:r>
      <w:r w:rsidR="002840C6">
        <w:rPr>
          <w:szCs w:val="18"/>
          <w:lang w:val="en-GB"/>
        </w:rPr>
        <w:t>Section</w:t>
      </w:r>
      <w:r w:rsidRPr="00706566">
        <w:rPr>
          <w:lang w:val="en-GB"/>
        </w:rPr>
        <w:t xml:space="preserve"> 7.1.1: Chronic Kidney Disease.</w:t>
      </w:r>
    </w:p>
    <w:p w14:paraId="13FBA1F2" w14:textId="77777777" w:rsidR="00BC5CF2" w:rsidRPr="00D6340F" w:rsidRDefault="00BC5CF2" w:rsidP="005F039D">
      <w:pPr>
        <w:pStyle w:val="Bullet1"/>
        <w:rPr>
          <w:lang w:val="en-GB"/>
        </w:rPr>
      </w:pPr>
    </w:p>
    <w:p w14:paraId="37806EEC" w14:textId="77777777" w:rsidR="00F513D7" w:rsidRPr="00D6340F" w:rsidRDefault="00F513D7" w:rsidP="00110944">
      <w:pPr>
        <w:pStyle w:val="Heading2"/>
        <w:rPr>
          <w:i/>
          <w:iCs/>
        </w:rPr>
      </w:pPr>
      <w:r w:rsidRPr="00D6340F">
        <w:t>8.5.2</w:t>
      </w:r>
      <w:r w:rsidR="00E066CB">
        <w:tab/>
      </w:r>
      <w:r w:rsidR="00872D01" w:rsidRPr="00D6340F">
        <w:t xml:space="preserve">TYPE 1 </w:t>
      </w:r>
      <w:r w:rsidRPr="00D6340F">
        <w:t>DIABETES MELLITUS</w:t>
      </w:r>
    </w:p>
    <w:p w14:paraId="552C1B71" w14:textId="77777777" w:rsidR="00F513D7" w:rsidRPr="00D6340F" w:rsidRDefault="00F513D7" w:rsidP="00C02921">
      <w:pPr>
        <w:pStyle w:val="Heading4"/>
      </w:pPr>
      <w:r w:rsidRPr="00D6340F">
        <w:t>e10.</w:t>
      </w:r>
      <w:r w:rsidR="007A52FA">
        <w:t>0-9</w:t>
      </w:r>
      <w:r w:rsidR="00A658E3">
        <w:t>/</w:t>
      </w:r>
      <w:r w:rsidR="00A658E3" w:rsidRPr="00A658E3">
        <w:t xml:space="preserve"> </w:t>
      </w:r>
      <w:r w:rsidR="00A658E3">
        <w:t>E12.0-9/E13.0-9/E14.0-9</w:t>
      </w:r>
    </w:p>
    <w:p w14:paraId="18259160" w14:textId="77777777" w:rsidR="00F513D7" w:rsidRPr="00D6340F" w:rsidRDefault="00F513D7" w:rsidP="00F513D7">
      <w:pPr>
        <w:rPr>
          <w:rFonts w:cs="Arial"/>
          <w:sz w:val="16"/>
          <w:lang w:val="en-GB"/>
        </w:rPr>
      </w:pPr>
    </w:p>
    <w:p w14:paraId="7446C2C0" w14:textId="77777777" w:rsidR="00F513D7" w:rsidRPr="00D6340F" w:rsidRDefault="00F513D7" w:rsidP="00F513D7">
      <w:pPr>
        <w:rPr>
          <w:rFonts w:cs="Arial"/>
          <w:lang w:val="en-GB"/>
        </w:rPr>
      </w:pPr>
      <w:r w:rsidRPr="00D6340F">
        <w:rPr>
          <w:rFonts w:cs="Arial"/>
          <w:lang w:val="en-GB"/>
        </w:rPr>
        <w:t>Management includes:</w:t>
      </w:r>
    </w:p>
    <w:p w14:paraId="59AA2667" w14:textId="77777777" w:rsidR="00F513D7" w:rsidRPr="00D6340F" w:rsidRDefault="00F513D7" w:rsidP="007E4E67">
      <w:pPr>
        <w:pStyle w:val="ep4"/>
        <w:numPr>
          <w:ilvl w:val="0"/>
          <w:numId w:val="12"/>
        </w:numPr>
        <w:rPr>
          <w:szCs w:val="18"/>
          <w:lang w:val="en-GB"/>
        </w:rPr>
      </w:pPr>
      <w:r w:rsidRPr="00D6340F">
        <w:rPr>
          <w:szCs w:val="18"/>
          <w:lang w:val="en-GB"/>
        </w:rPr>
        <w:t>Maintenance of glycaemic control within acceptable limits.</w:t>
      </w:r>
    </w:p>
    <w:p w14:paraId="6F90118F" w14:textId="77777777" w:rsidR="00F513D7" w:rsidRPr="00D6340F" w:rsidRDefault="00F513D7" w:rsidP="007E4E67">
      <w:pPr>
        <w:pStyle w:val="ep4"/>
        <w:numPr>
          <w:ilvl w:val="0"/>
          <w:numId w:val="12"/>
        </w:numPr>
        <w:rPr>
          <w:szCs w:val="18"/>
          <w:lang w:val="en-GB"/>
        </w:rPr>
      </w:pPr>
      <w:r w:rsidRPr="00D6340F">
        <w:rPr>
          <w:szCs w:val="18"/>
          <w:lang w:val="en-GB"/>
        </w:rPr>
        <w:t>Prevention of chronic complications.</w:t>
      </w:r>
    </w:p>
    <w:p w14:paraId="04FE9A7B" w14:textId="77777777" w:rsidR="00F513D7" w:rsidRPr="00D6340F" w:rsidRDefault="00F513D7" w:rsidP="007E4E67">
      <w:pPr>
        <w:pStyle w:val="ep4"/>
        <w:numPr>
          <w:ilvl w:val="0"/>
          <w:numId w:val="12"/>
        </w:numPr>
        <w:rPr>
          <w:spacing w:val="-4"/>
          <w:szCs w:val="18"/>
          <w:lang w:val="en-GB"/>
        </w:rPr>
      </w:pPr>
      <w:r w:rsidRPr="00D6340F">
        <w:rPr>
          <w:spacing w:val="-4"/>
          <w:szCs w:val="18"/>
          <w:lang w:val="en-GB"/>
        </w:rPr>
        <w:t>Prevention of acute complications, e.g. hyperglycaemic and hypoglycaemic coma.</w:t>
      </w:r>
    </w:p>
    <w:p w14:paraId="5EED3038" w14:textId="77777777" w:rsidR="00F513D7" w:rsidRPr="00D6340F" w:rsidRDefault="00F513D7" w:rsidP="00F513D7">
      <w:pPr>
        <w:rPr>
          <w:b/>
          <w:lang w:val="en-GB"/>
        </w:rPr>
      </w:pPr>
      <w:r w:rsidRPr="00D6340F">
        <w:rPr>
          <w:b/>
          <w:lang w:val="en-GB"/>
        </w:rPr>
        <w:lastRenderedPageBreak/>
        <w:t>Insulin</w:t>
      </w:r>
      <w:r w:rsidR="00747AD8">
        <w:rPr>
          <w:b/>
          <w:lang w:val="en-GB"/>
        </w:rPr>
        <w:t xml:space="preserve"> </w:t>
      </w:r>
      <w:r w:rsidR="001F5151" w:rsidRPr="00D6340F">
        <w:rPr>
          <w:rFonts w:cs="Arial"/>
          <w:b/>
          <w:color w:val="auto"/>
          <w:lang w:val="en-GB"/>
        </w:rPr>
        <w:t>preparations</w:t>
      </w:r>
    </w:p>
    <w:p w14:paraId="4C5FBD51" w14:textId="77777777" w:rsidR="00F513D7" w:rsidRPr="00D6340F" w:rsidRDefault="00F513D7" w:rsidP="00F513D7">
      <w:pPr>
        <w:pStyle w:val="ep4"/>
        <w:rPr>
          <w:szCs w:val="18"/>
          <w:lang w:val="en-GB"/>
        </w:rPr>
      </w:pPr>
      <w:r w:rsidRPr="00D6340F">
        <w:rPr>
          <w:szCs w:val="18"/>
          <w:lang w:val="en-GB"/>
        </w:rPr>
        <w:t>Insulin, short acting SC, three times daily, 30 minutes before meals:</w:t>
      </w:r>
    </w:p>
    <w:p w14:paraId="0FEEB8A0" w14:textId="77777777" w:rsidR="00F513D7" w:rsidRPr="00D6340F" w:rsidRDefault="00F513D7" w:rsidP="00F513D7">
      <w:pPr>
        <w:pStyle w:val="Normal2"/>
        <w:ind w:left="720"/>
        <w:rPr>
          <w:szCs w:val="18"/>
          <w:lang w:val="en-GB"/>
        </w:rPr>
      </w:pPr>
      <w:r w:rsidRPr="00D6340F">
        <w:rPr>
          <w:szCs w:val="18"/>
          <w:lang w:val="en-GB"/>
        </w:rPr>
        <w:t>Regular human insulin.</w:t>
      </w:r>
    </w:p>
    <w:p w14:paraId="542D90B0" w14:textId="77777777" w:rsidR="00F513D7" w:rsidRPr="00D6340F" w:rsidRDefault="00F513D7" w:rsidP="00F513D7">
      <w:pPr>
        <w:pStyle w:val="Normal2"/>
        <w:ind w:left="720"/>
        <w:rPr>
          <w:szCs w:val="18"/>
          <w:lang w:val="en-GB"/>
        </w:rPr>
      </w:pPr>
      <w:r w:rsidRPr="00D6340F">
        <w:rPr>
          <w:szCs w:val="18"/>
          <w:lang w:val="en-GB"/>
        </w:rPr>
        <w:t>Onset of action: 30 minutes.</w:t>
      </w:r>
    </w:p>
    <w:p w14:paraId="7314A379" w14:textId="77777777" w:rsidR="00F513D7" w:rsidRPr="00D6340F" w:rsidRDefault="00F513D7" w:rsidP="00F513D7">
      <w:pPr>
        <w:pStyle w:val="Normal2"/>
        <w:ind w:left="720"/>
        <w:rPr>
          <w:szCs w:val="18"/>
          <w:lang w:val="en-GB"/>
        </w:rPr>
      </w:pPr>
      <w:r w:rsidRPr="00D6340F">
        <w:rPr>
          <w:szCs w:val="18"/>
          <w:lang w:val="en-GB"/>
        </w:rPr>
        <w:t>Peak action: 2–</w:t>
      </w:r>
      <w:r w:rsidR="00CF1E5F" w:rsidRPr="00D6340F">
        <w:rPr>
          <w:szCs w:val="18"/>
          <w:lang w:val="en-GB"/>
        </w:rPr>
        <w:t>5</w:t>
      </w:r>
      <w:r w:rsidRPr="00D6340F">
        <w:rPr>
          <w:szCs w:val="18"/>
          <w:lang w:val="en-GB"/>
        </w:rPr>
        <w:t xml:space="preserve"> hours.</w:t>
      </w:r>
    </w:p>
    <w:p w14:paraId="79D05C9A" w14:textId="77777777" w:rsidR="00F513D7" w:rsidRPr="00D6340F" w:rsidRDefault="00F513D7" w:rsidP="00F513D7">
      <w:pPr>
        <w:pStyle w:val="Normal2"/>
        <w:ind w:left="720"/>
        <w:rPr>
          <w:szCs w:val="18"/>
          <w:lang w:val="en-GB"/>
        </w:rPr>
      </w:pPr>
      <w:r w:rsidRPr="00D6340F">
        <w:rPr>
          <w:szCs w:val="18"/>
          <w:lang w:val="en-GB"/>
        </w:rPr>
        <w:t>Duration of action: 5–8 hours.</w:t>
      </w:r>
    </w:p>
    <w:p w14:paraId="497D85B1" w14:textId="77777777" w:rsidR="00F513D7" w:rsidRPr="00D6340F" w:rsidRDefault="00F513D7" w:rsidP="00F513D7">
      <w:pPr>
        <w:pStyle w:val="ep4"/>
        <w:rPr>
          <w:szCs w:val="18"/>
          <w:lang w:val="en-GB"/>
        </w:rPr>
      </w:pPr>
      <w:r w:rsidRPr="00D6340F">
        <w:rPr>
          <w:szCs w:val="18"/>
          <w:lang w:val="en-GB"/>
        </w:rPr>
        <w:t>Insulin, intermediate acting, SC, once or twice daily, usually at night</w:t>
      </w:r>
      <w:r w:rsidR="006B483D" w:rsidRPr="00D6340F">
        <w:rPr>
          <w:szCs w:val="18"/>
          <w:lang w:val="en-GB"/>
        </w:rPr>
        <w:t xml:space="preserve">, not later than </w:t>
      </w:r>
      <w:r w:rsidR="005E65F6">
        <w:rPr>
          <w:szCs w:val="18"/>
          <w:lang w:val="en-GB"/>
        </w:rPr>
        <w:t>22h00</w:t>
      </w:r>
      <w:r w:rsidR="006B483D" w:rsidRPr="00D6340F">
        <w:rPr>
          <w:szCs w:val="18"/>
          <w:lang w:val="en-GB"/>
        </w:rPr>
        <w:t>.</w:t>
      </w:r>
    </w:p>
    <w:p w14:paraId="6F7EB9FB" w14:textId="77777777" w:rsidR="00F513D7" w:rsidRPr="00D6340F" w:rsidRDefault="00F513D7" w:rsidP="00F513D7">
      <w:pPr>
        <w:pStyle w:val="Normal2"/>
        <w:ind w:left="720"/>
        <w:rPr>
          <w:szCs w:val="18"/>
          <w:lang w:val="en-GB"/>
        </w:rPr>
      </w:pPr>
      <w:r w:rsidRPr="00D6340F">
        <w:rPr>
          <w:szCs w:val="18"/>
          <w:lang w:val="en-GB"/>
        </w:rPr>
        <w:t xml:space="preserve">Onset of action: </w:t>
      </w:r>
      <w:r w:rsidR="00CF1E5F" w:rsidRPr="00D6340F">
        <w:rPr>
          <w:szCs w:val="18"/>
          <w:lang w:val="en-GB"/>
        </w:rPr>
        <w:t>1–3</w:t>
      </w:r>
      <w:r w:rsidRPr="00D6340F">
        <w:rPr>
          <w:szCs w:val="18"/>
          <w:lang w:val="en-GB"/>
        </w:rPr>
        <w:t xml:space="preserve"> hours.</w:t>
      </w:r>
    </w:p>
    <w:p w14:paraId="6BB1B47D" w14:textId="77777777" w:rsidR="00F513D7" w:rsidRPr="00D6340F" w:rsidRDefault="00F513D7" w:rsidP="00F513D7">
      <w:pPr>
        <w:pStyle w:val="Normal2"/>
        <w:ind w:left="720"/>
        <w:rPr>
          <w:szCs w:val="18"/>
          <w:lang w:val="en-GB"/>
        </w:rPr>
      </w:pPr>
      <w:r w:rsidRPr="00D6340F">
        <w:rPr>
          <w:szCs w:val="18"/>
          <w:lang w:val="en-GB"/>
        </w:rPr>
        <w:t xml:space="preserve">Peak action: </w:t>
      </w:r>
      <w:r w:rsidR="00CF1E5F" w:rsidRPr="00D6340F">
        <w:rPr>
          <w:szCs w:val="18"/>
          <w:lang w:val="en-GB"/>
        </w:rPr>
        <w:t>6–12</w:t>
      </w:r>
      <w:r w:rsidRPr="00D6340F">
        <w:rPr>
          <w:szCs w:val="18"/>
          <w:lang w:val="en-GB"/>
        </w:rPr>
        <w:t xml:space="preserve"> hours.</w:t>
      </w:r>
    </w:p>
    <w:p w14:paraId="1B66053E" w14:textId="77777777" w:rsidR="00F513D7" w:rsidRPr="00D6340F" w:rsidRDefault="00F513D7" w:rsidP="00F513D7">
      <w:pPr>
        <w:pStyle w:val="Normal2"/>
        <w:ind w:left="720"/>
        <w:rPr>
          <w:szCs w:val="18"/>
          <w:lang w:val="en-GB"/>
        </w:rPr>
      </w:pPr>
      <w:r w:rsidRPr="00D6340F">
        <w:rPr>
          <w:szCs w:val="18"/>
          <w:lang w:val="en-GB"/>
        </w:rPr>
        <w:t>Duration of action: 16</w:t>
      </w:r>
      <w:r w:rsidR="00CF1E5F" w:rsidRPr="00D6340F">
        <w:rPr>
          <w:szCs w:val="18"/>
          <w:lang w:val="en-GB"/>
        </w:rPr>
        <w:t>–</w:t>
      </w:r>
      <w:r w:rsidRPr="00D6340F">
        <w:rPr>
          <w:szCs w:val="18"/>
          <w:lang w:val="en-GB"/>
        </w:rPr>
        <w:t>24 hours.</w:t>
      </w:r>
    </w:p>
    <w:p w14:paraId="44AE8E80" w14:textId="77777777" w:rsidR="00F513D7" w:rsidRPr="00D6340F" w:rsidRDefault="00F513D7" w:rsidP="00F513D7">
      <w:pPr>
        <w:pStyle w:val="ep4"/>
        <w:rPr>
          <w:color w:val="auto"/>
          <w:szCs w:val="18"/>
          <w:lang w:val="en-GB"/>
        </w:rPr>
      </w:pPr>
      <w:r w:rsidRPr="00D6340F">
        <w:rPr>
          <w:color w:val="auto"/>
          <w:szCs w:val="18"/>
          <w:lang w:val="en-GB"/>
        </w:rPr>
        <w:t>Insulin, biphasic, SC, once or twice daily.</w:t>
      </w:r>
    </w:p>
    <w:p w14:paraId="779DA42E" w14:textId="77777777" w:rsidR="00F513D7" w:rsidRPr="00D6340F" w:rsidRDefault="00F513D7" w:rsidP="00F513D7">
      <w:pPr>
        <w:pStyle w:val="Normal2"/>
        <w:ind w:left="720"/>
        <w:rPr>
          <w:color w:val="auto"/>
          <w:szCs w:val="18"/>
          <w:lang w:val="en-GB"/>
        </w:rPr>
      </w:pPr>
      <w:r w:rsidRPr="00D6340F">
        <w:rPr>
          <w:color w:val="auto"/>
          <w:szCs w:val="18"/>
          <w:lang w:val="en-GB"/>
        </w:rPr>
        <w:t xml:space="preserve">Mixtures of regular human insulin and NPH insulin in different proportions, e.g. </w:t>
      </w:r>
      <w:r w:rsidRPr="00D6340F">
        <w:rPr>
          <w:color w:val="auto"/>
          <w:szCs w:val="18"/>
          <w:vertAlign w:val="superscript"/>
          <w:lang w:val="en-GB"/>
        </w:rPr>
        <w:t>30</w:t>
      </w:r>
      <w:r w:rsidRPr="00D6340F">
        <w:rPr>
          <w:color w:val="auto"/>
          <w:szCs w:val="18"/>
          <w:lang w:val="en-GB"/>
        </w:rPr>
        <w:t>/</w:t>
      </w:r>
      <w:r w:rsidRPr="00D6340F">
        <w:rPr>
          <w:color w:val="auto"/>
          <w:szCs w:val="18"/>
          <w:vertAlign w:val="subscript"/>
          <w:lang w:val="en-GB"/>
        </w:rPr>
        <w:t>70</w:t>
      </w:r>
      <w:r w:rsidRPr="00D6340F">
        <w:rPr>
          <w:color w:val="auto"/>
          <w:szCs w:val="18"/>
          <w:lang w:val="en-GB"/>
        </w:rPr>
        <w:t>.</w:t>
      </w:r>
    </w:p>
    <w:p w14:paraId="75B07730" w14:textId="77777777" w:rsidR="00F513D7" w:rsidRPr="00D6340F" w:rsidRDefault="00F513D7" w:rsidP="00F513D7">
      <w:pPr>
        <w:pStyle w:val="Normal2"/>
        <w:ind w:left="720"/>
        <w:rPr>
          <w:color w:val="auto"/>
          <w:szCs w:val="18"/>
          <w:lang w:val="en-GB"/>
        </w:rPr>
      </w:pPr>
      <w:r w:rsidRPr="00D6340F">
        <w:rPr>
          <w:color w:val="auto"/>
          <w:szCs w:val="18"/>
          <w:lang w:val="en-GB"/>
        </w:rPr>
        <w:t>Onset of action: 30 minutes.</w:t>
      </w:r>
    </w:p>
    <w:p w14:paraId="0DD95DA8" w14:textId="77777777" w:rsidR="00F513D7" w:rsidRPr="00D6340F" w:rsidRDefault="00F513D7" w:rsidP="00F513D7">
      <w:pPr>
        <w:pStyle w:val="Normal2"/>
        <w:ind w:left="720"/>
        <w:rPr>
          <w:color w:val="auto"/>
          <w:szCs w:val="18"/>
          <w:lang w:val="en-GB"/>
        </w:rPr>
      </w:pPr>
      <w:r w:rsidRPr="00D6340F">
        <w:rPr>
          <w:color w:val="auto"/>
          <w:szCs w:val="18"/>
          <w:lang w:val="en-GB"/>
        </w:rPr>
        <w:t>Peak action:</w:t>
      </w:r>
      <w:r w:rsidR="00E066CB">
        <w:rPr>
          <w:color w:val="auto"/>
          <w:szCs w:val="18"/>
          <w:lang w:val="en-GB"/>
        </w:rPr>
        <w:t xml:space="preserve"> </w:t>
      </w:r>
      <w:r w:rsidR="00CF1E5F" w:rsidRPr="00D6340F">
        <w:rPr>
          <w:color w:val="auto"/>
          <w:szCs w:val="18"/>
          <w:lang w:val="en-GB"/>
        </w:rPr>
        <w:t>2–12 hours.</w:t>
      </w:r>
    </w:p>
    <w:p w14:paraId="66EABB30" w14:textId="77777777" w:rsidR="00F513D7" w:rsidRPr="00D6340F" w:rsidRDefault="00F513D7" w:rsidP="00F513D7">
      <w:pPr>
        <w:pStyle w:val="Normal2"/>
        <w:ind w:left="720"/>
        <w:rPr>
          <w:color w:val="auto"/>
          <w:szCs w:val="18"/>
          <w:lang w:val="en-GB"/>
        </w:rPr>
      </w:pPr>
      <w:r w:rsidRPr="00D6340F">
        <w:rPr>
          <w:color w:val="auto"/>
          <w:szCs w:val="18"/>
          <w:lang w:val="en-GB"/>
        </w:rPr>
        <w:t xml:space="preserve">Duration of action: </w:t>
      </w:r>
      <w:r w:rsidR="00CF1E5F" w:rsidRPr="00D6340F">
        <w:rPr>
          <w:color w:val="auto"/>
          <w:szCs w:val="18"/>
          <w:lang w:val="en-GB"/>
        </w:rPr>
        <w:t>16–24</w:t>
      </w:r>
      <w:r w:rsidRPr="00D6340F">
        <w:rPr>
          <w:color w:val="auto"/>
          <w:szCs w:val="18"/>
          <w:lang w:val="en-GB"/>
        </w:rPr>
        <w:t xml:space="preserve"> hours.</w:t>
      </w:r>
    </w:p>
    <w:p w14:paraId="561C1360" w14:textId="77777777" w:rsidR="00F513D7" w:rsidRPr="00D6340F" w:rsidRDefault="00F513D7" w:rsidP="00F513D7">
      <w:pPr>
        <w:pStyle w:val="Normal2"/>
        <w:rPr>
          <w:sz w:val="16"/>
          <w:szCs w:val="16"/>
          <w:lang w:val="en-GB"/>
        </w:rPr>
      </w:pPr>
    </w:p>
    <w:p w14:paraId="0E203C25" w14:textId="77777777" w:rsidR="00CF1E5F" w:rsidRPr="00D6340F" w:rsidRDefault="00CF1E5F" w:rsidP="00CF1E5F">
      <w:pPr>
        <w:pStyle w:val="Heading6"/>
        <w:rPr>
          <w:rFonts w:cs="Arial"/>
          <w:color w:val="auto"/>
        </w:rPr>
      </w:pPr>
      <w:r w:rsidRPr="00D6340F">
        <w:rPr>
          <w:rFonts w:cs="Arial"/>
          <w:color w:val="auto"/>
        </w:rPr>
        <w:t>Selection of insulin</w:t>
      </w:r>
      <w:r w:rsidR="00E066CB">
        <w:rPr>
          <w:rFonts w:cs="Arial"/>
          <w:color w:val="auto"/>
        </w:rPr>
        <w:t xml:space="preserve"> </w:t>
      </w:r>
      <w:r w:rsidR="001F5151" w:rsidRPr="00D6340F">
        <w:rPr>
          <w:rFonts w:cs="Arial"/>
          <w:color w:val="auto"/>
        </w:rPr>
        <w:t>regimen</w:t>
      </w:r>
    </w:p>
    <w:p w14:paraId="05B00AFF" w14:textId="77777777" w:rsidR="00D74F6C" w:rsidRPr="00D6340F" w:rsidRDefault="00D74F6C" w:rsidP="00BC1924">
      <w:pPr>
        <w:pStyle w:val="Heading7"/>
        <w:rPr>
          <w:b w:val="0"/>
          <w:u w:val="single"/>
          <w:lang w:val="en-GB"/>
        </w:rPr>
      </w:pPr>
      <w:r w:rsidRPr="00D6340F">
        <w:rPr>
          <w:b w:val="0"/>
          <w:u w:val="single"/>
          <w:lang w:val="en-GB"/>
        </w:rPr>
        <w:t>Basal bolus regimen</w:t>
      </w:r>
    </w:p>
    <w:p w14:paraId="4DA28AEA" w14:textId="77777777" w:rsidR="00F513D7" w:rsidRPr="00D6340F" w:rsidRDefault="00F513D7" w:rsidP="00BC1924">
      <w:pPr>
        <w:rPr>
          <w:rFonts w:cs="Arial"/>
          <w:lang w:val="en-GB"/>
        </w:rPr>
      </w:pPr>
      <w:r w:rsidRPr="00D6340F">
        <w:rPr>
          <w:rFonts w:cs="Arial"/>
          <w:lang w:val="en-GB"/>
        </w:rPr>
        <w:t xml:space="preserve">All type 1 </w:t>
      </w:r>
      <w:r w:rsidR="00CF1E5F" w:rsidRPr="00D6340F">
        <w:rPr>
          <w:rFonts w:cs="Arial"/>
          <w:lang w:val="en-GB"/>
        </w:rPr>
        <w:t>diabetics</w:t>
      </w:r>
      <w:r w:rsidRPr="00D6340F">
        <w:rPr>
          <w:rFonts w:cs="Arial"/>
          <w:lang w:val="en-GB"/>
        </w:rPr>
        <w:t xml:space="preserve"> should preferentially be managed with combined intermediate-acting (basal) and short-acting insulin (bolus), the so-called basal bolus regimen. This consists of pre-meal short-acting insulin and bedtime intermediate-acting insulin not later than 22h00.</w:t>
      </w:r>
    </w:p>
    <w:p w14:paraId="6FB80846" w14:textId="77777777" w:rsidR="00F513D7" w:rsidRPr="00D6340F" w:rsidRDefault="00F513D7" w:rsidP="00F513D7">
      <w:pPr>
        <w:rPr>
          <w:rFonts w:cs="Arial"/>
          <w:sz w:val="16"/>
          <w:szCs w:val="16"/>
          <w:lang w:val="en-GB"/>
        </w:rPr>
      </w:pPr>
    </w:p>
    <w:p w14:paraId="02225A66" w14:textId="77777777" w:rsidR="00F513D7" w:rsidRPr="00D6340F" w:rsidRDefault="00C12925" w:rsidP="00F513D7">
      <w:pPr>
        <w:rPr>
          <w:rFonts w:cs="Arial"/>
          <w:b/>
          <w:color w:val="auto"/>
          <w:lang w:val="en-GB"/>
        </w:rPr>
      </w:pPr>
      <w:r w:rsidRPr="00D6340F">
        <w:rPr>
          <w:rFonts w:cs="Arial"/>
          <w:b/>
          <w:color w:val="auto"/>
          <w:lang w:val="en-GB"/>
        </w:rPr>
        <w:t>Insulin doses</w:t>
      </w:r>
    </w:p>
    <w:p w14:paraId="7AF29CFE" w14:textId="77777777" w:rsidR="00F513D7" w:rsidRPr="00D6340F" w:rsidRDefault="00F513D7" w:rsidP="00F513D7">
      <w:pPr>
        <w:rPr>
          <w:rFonts w:cs="Arial"/>
          <w:u w:val="single"/>
          <w:lang w:val="en-GB"/>
        </w:rPr>
      </w:pPr>
      <w:r w:rsidRPr="00D6340F">
        <w:rPr>
          <w:rFonts w:cs="Arial"/>
          <w:u w:val="single"/>
          <w:lang w:val="en-GB"/>
        </w:rPr>
        <w:t xml:space="preserve">The initial total daily insulin dose: </w:t>
      </w:r>
    </w:p>
    <w:p w14:paraId="487DC758" w14:textId="77777777" w:rsidR="0036185F" w:rsidRPr="00D6340F" w:rsidRDefault="00F513D7" w:rsidP="007E4E67">
      <w:pPr>
        <w:numPr>
          <w:ilvl w:val="0"/>
          <w:numId w:val="19"/>
        </w:numPr>
        <w:rPr>
          <w:rFonts w:cs="Arial"/>
          <w:lang w:val="en-GB"/>
        </w:rPr>
      </w:pPr>
      <w:r w:rsidRPr="00D6340F">
        <w:rPr>
          <w:rFonts w:cs="Arial"/>
          <w:lang w:val="en-GB"/>
        </w:rPr>
        <w:t>0.6 units/kg body weight.</w:t>
      </w:r>
    </w:p>
    <w:p w14:paraId="1C554A52" w14:textId="77777777" w:rsidR="00C12925" w:rsidRPr="00D6340F" w:rsidRDefault="00C12925" w:rsidP="00F513D7">
      <w:pPr>
        <w:rPr>
          <w:rFonts w:cs="Arial"/>
          <w:u w:val="single"/>
          <w:lang w:val="en-GB"/>
        </w:rPr>
      </w:pPr>
    </w:p>
    <w:p w14:paraId="0F10ECFB" w14:textId="77777777" w:rsidR="00F513D7" w:rsidRPr="00D6340F" w:rsidRDefault="00F513D7" w:rsidP="00F513D7">
      <w:pPr>
        <w:rPr>
          <w:rFonts w:cs="Arial"/>
          <w:u w:val="single"/>
          <w:lang w:val="en-GB"/>
        </w:rPr>
      </w:pPr>
      <w:r w:rsidRPr="00D6340F">
        <w:rPr>
          <w:rFonts w:cs="Arial"/>
          <w:u w:val="single"/>
          <w:lang w:val="en-GB"/>
        </w:rPr>
        <w:t>The total dose is divided into:</w:t>
      </w:r>
    </w:p>
    <w:p w14:paraId="17600DB6" w14:textId="77777777" w:rsidR="0036185F" w:rsidRPr="00D6340F" w:rsidRDefault="00F513D7" w:rsidP="007E4E67">
      <w:pPr>
        <w:numPr>
          <w:ilvl w:val="0"/>
          <w:numId w:val="18"/>
        </w:numPr>
        <w:rPr>
          <w:rFonts w:cs="Arial"/>
          <w:lang w:val="en-GB"/>
        </w:rPr>
      </w:pPr>
      <w:r w:rsidRPr="00D6340F">
        <w:rPr>
          <w:rFonts w:cs="Arial"/>
          <w:lang w:val="en-GB"/>
        </w:rPr>
        <w:t>40–50% basal insulin</w:t>
      </w:r>
    </w:p>
    <w:p w14:paraId="5AFABF41" w14:textId="77777777" w:rsidR="0036185F" w:rsidRPr="00D6340F" w:rsidRDefault="00622DE7" w:rsidP="007E4E67">
      <w:pPr>
        <w:numPr>
          <w:ilvl w:val="0"/>
          <w:numId w:val="18"/>
        </w:numPr>
        <w:rPr>
          <w:rFonts w:cs="Arial"/>
          <w:lang w:val="en-GB"/>
        </w:rPr>
      </w:pPr>
      <w:r w:rsidRPr="00D6340F">
        <w:rPr>
          <w:rFonts w:cs="Arial"/>
          <w:lang w:val="en-GB"/>
        </w:rPr>
        <w:t>The</w:t>
      </w:r>
      <w:r w:rsidR="00F513D7" w:rsidRPr="00D6340F">
        <w:rPr>
          <w:rFonts w:cs="Arial"/>
          <w:lang w:val="en-GB"/>
        </w:rPr>
        <w:t xml:space="preserve"> rest </w:t>
      </w:r>
      <w:r w:rsidR="002F11FB" w:rsidRPr="00D6340F">
        <w:rPr>
          <w:rFonts w:cs="Arial"/>
          <w:color w:val="auto"/>
          <w:lang w:val="en-GB"/>
        </w:rPr>
        <w:t>of the total daily dose (TDD) is given</w:t>
      </w:r>
      <w:r w:rsidR="00917115">
        <w:rPr>
          <w:rFonts w:cs="Arial"/>
          <w:color w:val="auto"/>
          <w:lang w:val="en-GB"/>
        </w:rPr>
        <w:t xml:space="preserve"> </w:t>
      </w:r>
      <w:r w:rsidR="00F513D7" w:rsidRPr="00D6340F">
        <w:rPr>
          <w:rFonts w:cs="Arial"/>
          <w:lang w:val="en-GB"/>
        </w:rPr>
        <w:t>as</w:t>
      </w:r>
      <w:r w:rsidR="00917115">
        <w:rPr>
          <w:rFonts w:cs="Arial"/>
          <w:lang w:val="en-GB"/>
        </w:rPr>
        <w:t xml:space="preserve"> </w:t>
      </w:r>
      <w:r w:rsidR="00F513D7" w:rsidRPr="00D6340F">
        <w:rPr>
          <w:rFonts w:cs="Arial"/>
          <w:lang w:val="en-GB"/>
        </w:rPr>
        <w:t xml:space="preserve">bolus insulin split equally before each meal. </w:t>
      </w:r>
    </w:p>
    <w:p w14:paraId="60880D08" w14:textId="77777777" w:rsidR="00F513D7" w:rsidRPr="00D6340F" w:rsidRDefault="00F513D7" w:rsidP="00F513D7">
      <w:pPr>
        <w:rPr>
          <w:rFonts w:cs="Arial"/>
          <w:lang w:val="en-GB"/>
        </w:rPr>
      </w:pPr>
      <w:r w:rsidRPr="00D6340F">
        <w:rPr>
          <w:rFonts w:cs="Arial"/>
          <w:lang w:val="en-GB"/>
        </w:rPr>
        <w:t>Adjust dose on an individual basis.</w:t>
      </w:r>
    </w:p>
    <w:p w14:paraId="5E68E5BD" w14:textId="77777777" w:rsidR="00F513D7" w:rsidRPr="00D6340F" w:rsidRDefault="00F513D7" w:rsidP="00F513D7">
      <w:pPr>
        <w:rPr>
          <w:rFonts w:cs="Arial"/>
          <w:sz w:val="16"/>
          <w:szCs w:val="16"/>
          <w:lang w:val="en-GB"/>
        </w:rPr>
      </w:pPr>
    </w:p>
    <w:p w14:paraId="79426AD5" w14:textId="77777777" w:rsidR="00D74F6C" w:rsidRPr="00D6340F" w:rsidRDefault="002D10DA" w:rsidP="00BC1924">
      <w:pPr>
        <w:rPr>
          <w:rFonts w:cs="Arial"/>
          <w:color w:val="auto"/>
          <w:u w:val="single"/>
          <w:lang w:val="en-GB"/>
        </w:rPr>
      </w:pPr>
      <w:r w:rsidRPr="00D6340F">
        <w:rPr>
          <w:rFonts w:cs="Arial"/>
          <w:color w:val="auto"/>
          <w:u w:val="single"/>
          <w:lang w:val="en-GB"/>
        </w:rPr>
        <w:t xml:space="preserve">Alternative regimen where </w:t>
      </w:r>
      <w:r w:rsidRPr="00D6340F">
        <w:rPr>
          <w:rFonts w:cs="Arial"/>
          <w:u w:val="single"/>
          <w:lang w:val="en-GB"/>
        </w:rPr>
        <w:t>blood glucose cannot be measured frequently by the patient or caregiver:</w:t>
      </w:r>
      <w:r w:rsidR="00E066CB">
        <w:rPr>
          <w:rFonts w:cs="Arial"/>
          <w:u w:val="single"/>
          <w:lang w:val="en-GB"/>
        </w:rPr>
        <w:t xml:space="preserve"> </w:t>
      </w:r>
      <w:r w:rsidR="00D74F6C" w:rsidRPr="00D6340F">
        <w:rPr>
          <w:rFonts w:cs="Arial"/>
          <w:color w:val="auto"/>
          <w:u w:val="single"/>
          <w:lang w:val="en-GB"/>
        </w:rPr>
        <w:t xml:space="preserve">Twice daily </w:t>
      </w:r>
      <w:r w:rsidR="00657E4F">
        <w:rPr>
          <w:rFonts w:cs="Arial"/>
          <w:color w:val="auto"/>
          <w:u w:val="single"/>
          <w:lang w:val="en-GB"/>
        </w:rPr>
        <w:t>i</w:t>
      </w:r>
      <w:r w:rsidR="00D74F6C" w:rsidRPr="00D6340F">
        <w:rPr>
          <w:rFonts w:cs="Arial"/>
          <w:color w:val="auto"/>
          <w:u w:val="single"/>
          <w:lang w:val="en-GB"/>
        </w:rPr>
        <w:t>nsulin</w:t>
      </w:r>
    </w:p>
    <w:p w14:paraId="04097228" w14:textId="77777777" w:rsidR="002D10DA" w:rsidRPr="00D6340F" w:rsidRDefault="00F513D7" w:rsidP="00C876E4">
      <w:pPr>
        <w:rPr>
          <w:rFonts w:cs="Arial"/>
          <w:lang w:val="en-GB"/>
        </w:rPr>
      </w:pPr>
      <w:r w:rsidRPr="00D6340F">
        <w:rPr>
          <w:rFonts w:cs="Arial"/>
          <w:lang w:val="en-GB"/>
        </w:rPr>
        <w:t xml:space="preserve">Twice daily pre-mixed insulin, i.e. a mixture of intermediate- or short- acting insulin provides adequate control, when used with at least daily blood glucose monitoring. </w:t>
      </w:r>
    </w:p>
    <w:p w14:paraId="796D16E9" w14:textId="77777777" w:rsidR="00F513D7" w:rsidRPr="00D6340F" w:rsidRDefault="002D10DA" w:rsidP="00C876E4">
      <w:pPr>
        <w:rPr>
          <w:rFonts w:cs="Arial"/>
          <w:lang w:val="en-GB"/>
        </w:rPr>
      </w:pPr>
      <w:r w:rsidRPr="00D6340F">
        <w:rPr>
          <w:rFonts w:cs="Arial"/>
          <w:b/>
          <w:lang w:val="en-GB"/>
        </w:rPr>
        <w:t>Note:</w:t>
      </w:r>
      <w:r w:rsidR="00E066CB">
        <w:rPr>
          <w:rFonts w:cs="Arial"/>
          <w:b/>
          <w:lang w:val="en-GB"/>
        </w:rPr>
        <w:t xml:space="preserve"> </w:t>
      </w:r>
      <w:r w:rsidRPr="00D6340F">
        <w:rPr>
          <w:rFonts w:cs="Arial"/>
          <w:color w:val="auto"/>
          <w:lang w:val="en-GB"/>
        </w:rPr>
        <w:t>O</w:t>
      </w:r>
      <w:r w:rsidR="00C876E4" w:rsidRPr="00D6340F">
        <w:rPr>
          <w:rFonts w:cs="Arial"/>
          <w:color w:val="auto"/>
          <w:lang w:val="en-GB"/>
        </w:rPr>
        <w:t>ptimal glycaemic control is seldom achieved with this regimen.</w:t>
      </w: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8734A1" w:rsidRPr="00D6340F" w14:paraId="5EF6E407" w14:textId="77777777" w:rsidTr="00DF1F88">
        <w:tc>
          <w:tcPr>
            <w:tcW w:w="1134" w:type="dxa"/>
            <w:shd w:val="clear" w:color="auto" w:fill="auto"/>
          </w:tcPr>
          <w:p w14:paraId="6914D331" w14:textId="77777777" w:rsidR="008734A1" w:rsidRPr="00D6340F" w:rsidRDefault="008734A1" w:rsidP="008734A1">
            <w:pPr>
              <w:jc w:val="right"/>
              <w:rPr>
                <w:b/>
                <w:i/>
                <w:sz w:val="16"/>
                <w:lang w:val="en-GB"/>
              </w:rPr>
            </w:pPr>
            <w:proofErr w:type="spellStart"/>
            <w:proofErr w:type="gramStart"/>
            <w:r w:rsidRPr="00D6340F">
              <w:rPr>
                <w:i/>
                <w:sz w:val="16"/>
                <w:lang w:val="en-GB"/>
              </w:rPr>
              <w:t>LoE:III</w:t>
            </w:r>
            <w:proofErr w:type="spellEnd"/>
            <w:proofErr w:type="gramEnd"/>
          </w:p>
        </w:tc>
      </w:tr>
    </w:tbl>
    <w:p w14:paraId="4096C998" w14:textId="77777777" w:rsidR="00F513D7" w:rsidRPr="00D6340F" w:rsidRDefault="00F513D7" w:rsidP="00F513D7">
      <w:pPr>
        <w:rPr>
          <w:rFonts w:cs="Arial"/>
          <w:sz w:val="16"/>
          <w:szCs w:val="16"/>
          <w:lang w:val="en-GB"/>
        </w:rPr>
      </w:pPr>
    </w:p>
    <w:p w14:paraId="73C09904" w14:textId="77777777" w:rsidR="00F513D7" w:rsidRPr="00D6340F" w:rsidRDefault="00F513D7" w:rsidP="00F513D7">
      <w:pPr>
        <w:pStyle w:val="Heading6"/>
      </w:pPr>
      <w:r w:rsidRPr="00D6340F">
        <w:t>Insulin delivery devices</w:t>
      </w:r>
    </w:p>
    <w:p w14:paraId="3EBB35A0" w14:textId="77777777" w:rsidR="00F513D7" w:rsidRDefault="00F513D7" w:rsidP="00F513D7">
      <w:pPr>
        <w:rPr>
          <w:rFonts w:cs="Arial"/>
          <w:lang w:val="en-GB"/>
        </w:rPr>
      </w:pPr>
      <w:r w:rsidRPr="00D6340F">
        <w:rPr>
          <w:rFonts w:cs="Arial"/>
          <w:lang w:val="en-GB"/>
        </w:rPr>
        <w:t xml:space="preserve">In </w:t>
      </w:r>
      <w:r w:rsidR="00CF1E5F" w:rsidRPr="00D6340F">
        <w:rPr>
          <w:rFonts w:cs="Arial"/>
          <w:lang w:val="en-GB"/>
        </w:rPr>
        <w:t>visually impaired</w:t>
      </w:r>
      <w:r w:rsidRPr="00D6340F">
        <w:rPr>
          <w:rFonts w:cs="Arial"/>
          <w:lang w:val="en-GB"/>
        </w:rPr>
        <w:t xml:space="preserve"> patients prefilled</w:t>
      </w:r>
      <w:r w:rsidR="00E066CB">
        <w:rPr>
          <w:rFonts w:cs="Arial"/>
          <w:lang w:val="en-GB"/>
        </w:rPr>
        <w:t xml:space="preserve"> </w:t>
      </w:r>
      <w:r w:rsidR="00CF1E5F" w:rsidRPr="00D6340F">
        <w:rPr>
          <w:rFonts w:cs="Arial"/>
          <w:lang w:val="en-GB"/>
        </w:rPr>
        <w:t>syringes</w:t>
      </w:r>
      <w:r w:rsidR="00E066CB">
        <w:rPr>
          <w:rFonts w:cs="Arial"/>
          <w:lang w:val="en-GB"/>
        </w:rPr>
        <w:t xml:space="preserve"> </w:t>
      </w:r>
      <w:r w:rsidR="00764B0B" w:rsidRPr="00D6340F">
        <w:rPr>
          <w:rFonts w:cs="Arial"/>
          <w:color w:val="auto"/>
          <w:lang w:val="en-GB"/>
        </w:rPr>
        <w:t>should</w:t>
      </w:r>
      <w:r w:rsidR="003B6D93">
        <w:rPr>
          <w:rFonts w:cs="Arial"/>
          <w:color w:val="auto"/>
          <w:lang w:val="en-GB"/>
        </w:rPr>
        <w:t xml:space="preserve"> </w:t>
      </w:r>
      <w:r w:rsidRPr="00D6340F">
        <w:rPr>
          <w:rFonts w:cs="Arial"/>
          <w:lang w:val="en-GB"/>
        </w:rPr>
        <w:t>be used.</w:t>
      </w:r>
    </w:p>
    <w:p w14:paraId="2F0508AD" w14:textId="77777777" w:rsidR="00FD0C19" w:rsidRPr="00D6340F" w:rsidRDefault="00FD0C19" w:rsidP="00F513D7">
      <w:pPr>
        <w:rPr>
          <w:rFonts w:cs="Arial"/>
          <w:lang w:val="en-GB"/>
        </w:rPr>
      </w:pPr>
    </w:p>
    <w:p w14:paraId="6F2AAE9C" w14:textId="77777777" w:rsidR="00F513D7" w:rsidRPr="00D6340F" w:rsidRDefault="00F513D7" w:rsidP="00F513D7">
      <w:pPr>
        <w:pStyle w:val="Heading6"/>
      </w:pPr>
      <w:r w:rsidRPr="00D6340F">
        <w:lastRenderedPageBreak/>
        <w:t>Home glucose monitoring</w:t>
      </w: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EE7C44" w:rsidRPr="00F32D46" w14:paraId="78593B3E" w14:textId="77777777" w:rsidTr="00F32D46">
        <w:tc>
          <w:tcPr>
            <w:tcW w:w="1134" w:type="dxa"/>
            <w:shd w:val="clear" w:color="auto" w:fill="auto"/>
          </w:tcPr>
          <w:p w14:paraId="537987BD" w14:textId="77777777" w:rsidR="00EE7C44" w:rsidRPr="004575B1" w:rsidRDefault="00EE7C44" w:rsidP="00F32D46">
            <w:pPr>
              <w:jc w:val="right"/>
              <w:rPr>
                <w:b/>
                <w:i/>
                <w:spacing w:val="-4"/>
                <w:sz w:val="16"/>
                <w:lang w:val="en-GB"/>
              </w:rPr>
            </w:pPr>
            <w:proofErr w:type="spellStart"/>
            <w:proofErr w:type="gramStart"/>
            <w:r w:rsidRPr="004575B1">
              <w:rPr>
                <w:i/>
                <w:spacing w:val="-4"/>
                <w:sz w:val="16"/>
                <w:lang w:val="en-GB"/>
              </w:rPr>
              <w:t>LoE:III</w:t>
            </w:r>
            <w:proofErr w:type="spellEnd"/>
            <w:proofErr w:type="gramEnd"/>
          </w:p>
        </w:tc>
      </w:tr>
    </w:tbl>
    <w:p w14:paraId="1242B4B5" w14:textId="77777777" w:rsidR="00EE7C44" w:rsidRPr="004575B1" w:rsidRDefault="00F513D7" w:rsidP="00F513D7">
      <w:pPr>
        <w:pStyle w:val="ep0"/>
        <w:ind w:left="0"/>
        <w:rPr>
          <w:rFonts w:cs="Arial"/>
          <w:strike w:val="0"/>
          <w:spacing w:val="-4"/>
          <w:lang w:val="en-GB"/>
        </w:rPr>
      </w:pPr>
      <w:r w:rsidRPr="004575B1">
        <w:rPr>
          <w:rFonts w:cs="Arial"/>
          <w:strike w:val="0"/>
          <w:spacing w:val="-4"/>
          <w:lang w:val="en-GB"/>
        </w:rPr>
        <w:t xml:space="preserve">Patients on basal/bolus insulin should measure glucose </w:t>
      </w:r>
      <w:r w:rsidR="004438F9" w:rsidRPr="004575B1">
        <w:rPr>
          <w:rFonts w:cs="Arial"/>
          <w:strike w:val="0"/>
          <w:spacing w:val="-4"/>
          <w:lang w:val="en-GB"/>
        </w:rPr>
        <w:t xml:space="preserve">3-4 times </w:t>
      </w:r>
      <w:r w:rsidR="00EE7C44" w:rsidRPr="004575B1">
        <w:rPr>
          <w:rFonts w:cs="Arial"/>
          <w:strike w:val="0"/>
          <w:spacing w:val="-4"/>
          <w:lang w:val="en-GB"/>
        </w:rPr>
        <w:t>daily.</w:t>
      </w:r>
      <w:r w:rsidR="00A95F99" w:rsidRPr="004575B1">
        <w:rPr>
          <w:rFonts w:cs="Arial"/>
          <w:strike w:val="0"/>
          <w:spacing w:val="-4"/>
          <w:lang w:val="en-GB"/>
        </w:rPr>
        <w:t xml:space="preserve"> </w:t>
      </w:r>
      <w:r w:rsidR="00A95F99" w:rsidRPr="004575B1">
        <w:rPr>
          <w:rFonts w:cs="Arial"/>
          <w:strike w:val="0"/>
          <w:lang w:val="en-GB"/>
        </w:rPr>
        <w:t>This may be individualised depending on the clinical need of the patient.</w:t>
      </w:r>
    </w:p>
    <w:p w14:paraId="241B4EE9" w14:textId="77777777" w:rsidR="00A478E8" w:rsidRPr="004575B1" w:rsidRDefault="00A478E8" w:rsidP="00F513D7">
      <w:pPr>
        <w:pStyle w:val="ep0"/>
        <w:ind w:left="0"/>
        <w:rPr>
          <w:rFonts w:cs="Arial"/>
          <w:strike w:val="0"/>
          <w:sz w:val="4"/>
          <w:szCs w:val="4"/>
          <w:lang w:val="en-GB"/>
        </w:rPr>
      </w:pPr>
    </w:p>
    <w:p w14:paraId="41E92EA6" w14:textId="77777777" w:rsidR="00F513D7" w:rsidRDefault="00F513D7" w:rsidP="00F513D7">
      <w:pPr>
        <w:pStyle w:val="Styleep0Black"/>
        <w:ind w:left="0"/>
        <w:rPr>
          <w:rFonts w:cs="Arial"/>
          <w:strike w:val="0"/>
          <w:lang w:val="en-GB"/>
        </w:rPr>
      </w:pPr>
      <w:r w:rsidRPr="004575B1">
        <w:rPr>
          <w:rFonts w:cs="Arial"/>
          <w:strike w:val="0"/>
          <w:lang w:val="en-GB"/>
        </w:rPr>
        <w:t>All patients with type 2 diabetes</w:t>
      </w:r>
      <w:r w:rsidR="002A48B4" w:rsidRPr="004575B1">
        <w:rPr>
          <w:rFonts w:cs="Arial"/>
          <w:strike w:val="0"/>
          <w:lang w:val="en-GB"/>
        </w:rPr>
        <w:t>,</w:t>
      </w:r>
      <w:r w:rsidRPr="004575B1">
        <w:rPr>
          <w:rFonts w:cs="Arial"/>
          <w:strike w:val="0"/>
          <w:lang w:val="en-GB"/>
        </w:rPr>
        <w:t xml:space="preserve"> on </w:t>
      </w:r>
      <w:r w:rsidR="002A48B4" w:rsidRPr="004575B1">
        <w:rPr>
          <w:rFonts w:cs="Arial"/>
          <w:strike w:val="0"/>
          <w:lang w:val="en-GB"/>
        </w:rPr>
        <w:t>insulin,</w:t>
      </w:r>
      <w:r w:rsidRPr="004575B1">
        <w:rPr>
          <w:rFonts w:cs="Arial"/>
          <w:strike w:val="0"/>
          <w:lang w:val="en-GB"/>
        </w:rPr>
        <w:t xml:space="preserve"> should be given test strips for home glucose monitoring appropriate for their care plan.</w:t>
      </w:r>
    </w:p>
    <w:p w14:paraId="29AF67D4" w14:textId="77777777" w:rsidR="00764B0B" w:rsidRPr="00D6340F" w:rsidRDefault="00764B0B" w:rsidP="00764B0B">
      <w:pPr>
        <w:pStyle w:val="Styleep0Black"/>
        <w:ind w:left="0"/>
        <w:rPr>
          <w:rFonts w:cs="Arial"/>
          <w:strike w:val="0"/>
          <w:color w:val="auto"/>
          <w:lang w:val="en-GB"/>
        </w:rPr>
      </w:pPr>
      <w:r w:rsidRPr="00D6340F">
        <w:rPr>
          <w:rFonts w:cs="Arial"/>
          <w:strike w:val="0"/>
          <w:color w:val="auto"/>
          <w:lang w:val="en-GB"/>
        </w:rPr>
        <w:t>It is important to maximise the value of home glucose monitoring by careful review of home glucose records at each visit</w:t>
      </w:r>
      <w:r w:rsidR="00F05D50" w:rsidRPr="00D6340F">
        <w:rPr>
          <w:rFonts w:cs="Arial"/>
          <w:strike w:val="0"/>
          <w:color w:val="auto"/>
          <w:lang w:val="en-GB"/>
        </w:rPr>
        <w:t xml:space="preserve"> and appropriate patient education in terms of </w:t>
      </w:r>
      <w:r w:rsidR="00917115" w:rsidRPr="00D6340F">
        <w:rPr>
          <w:rFonts w:cs="Arial"/>
          <w:strike w:val="0"/>
          <w:color w:val="auto"/>
          <w:lang w:val="en-GB"/>
        </w:rPr>
        <w:t>self-dose</w:t>
      </w:r>
      <w:r w:rsidR="00F05D50" w:rsidRPr="00D6340F">
        <w:rPr>
          <w:rFonts w:cs="Arial"/>
          <w:strike w:val="0"/>
          <w:color w:val="auto"/>
          <w:lang w:val="en-GB"/>
        </w:rPr>
        <w:t xml:space="preserve"> adjustment</w:t>
      </w:r>
      <w:r w:rsidRPr="00D6340F">
        <w:rPr>
          <w:rFonts w:cs="Arial"/>
          <w:strike w:val="0"/>
          <w:color w:val="auto"/>
          <w:lang w:val="en-GB"/>
        </w:rPr>
        <w:t>.</w:t>
      </w: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4578E2" w:rsidRPr="00D6340F" w14:paraId="2A720110" w14:textId="77777777" w:rsidTr="00FC265C">
        <w:tc>
          <w:tcPr>
            <w:tcW w:w="1134" w:type="dxa"/>
            <w:shd w:val="clear" w:color="auto" w:fill="auto"/>
          </w:tcPr>
          <w:p w14:paraId="492EFB78" w14:textId="77777777" w:rsidR="004578E2" w:rsidRPr="00D6340F" w:rsidRDefault="004578E2" w:rsidP="00FC265C">
            <w:pPr>
              <w:jc w:val="right"/>
              <w:rPr>
                <w:b/>
                <w:i/>
                <w:lang w:val="en-GB"/>
              </w:rPr>
            </w:pPr>
            <w:proofErr w:type="spellStart"/>
            <w:proofErr w:type="gramStart"/>
            <w:r w:rsidRPr="00D6340F">
              <w:rPr>
                <w:i/>
                <w:lang w:val="en-GB"/>
              </w:rPr>
              <w:t>LoE:I</w:t>
            </w:r>
            <w:proofErr w:type="spellEnd"/>
            <w:proofErr w:type="gramEnd"/>
            <w:r w:rsidRPr="00D6340F">
              <w:rPr>
                <w:rStyle w:val="EndnoteReference"/>
                <w:i/>
                <w:lang w:val="en-GB"/>
              </w:rPr>
              <w:endnoteReference w:id="21"/>
            </w:r>
          </w:p>
        </w:tc>
      </w:tr>
    </w:tbl>
    <w:p w14:paraId="729F8DD0" w14:textId="77777777" w:rsidR="00764B0B" w:rsidRPr="00D6340F" w:rsidRDefault="00764B0B" w:rsidP="00F513D7">
      <w:pPr>
        <w:rPr>
          <w:rFonts w:cs="Arial"/>
          <w:sz w:val="16"/>
          <w:szCs w:val="16"/>
          <w:lang w:val="en-GB"/>
        </w:rPr>
      </w:pPr>
    </w:p>
    <w:p w14:paraId="6E105DF2" w14:textId="77777777" w:rsidR="00F513D7" w:rsidRPr="00D6340F" w:rsidRDefault="00F513D7" w:rsidP="00F513D7">
      <w:pPr>
        <w:pStyle w:val="Heading6"/>
      </w:pPr>
      <w:r w:rsidRPr="00D6340F">
        <w:t>Glucagon</w:t>
      </w:r>
    </w:p>
    <w:p w14:paraId="04F0F0A6" w14:textId="77777777" w:rsidR="00F513D7" w:rsidRPr="00D6340F" w:rsidRDefault="00CF1E5F" w:rsidP="00F513D7">
      <w:pPr>
        <w:rPr>
          <w:rFonts w:cs="Arial"/>
          <w:lang w:val="en-GB"/>
        </w:rPr>
      </w:pPr>
      <w:r w:rsidRPr="00D6340F">
        <w:rPr>
          <w:rFonts w:cs="Arial"/>
          <w:lang w:val="en-GB"/>
        </w:rPr>
        <w:t>Type</w:t>
      </w:r>
      <w:r w:rsidR="00F513D7" w:rsidRPr="00D6340F">
        <w:rPr>
          <w:rFonts w:cs="Arial"/>
          <w:lang w:val="en-GB"/>
        </w:rPr>
        <w:t xml:space="preserve"> 1 </w:t>
      </w:r>
      <w:r w:rsidRPr="00D6340F">
        <w:rPr>
          <w:rFonts w:cs="Arial"/>
          <w:lang w:val="en-GB"/>
        </w:rPr>
        <w:t xml:space="preserve">diabetics, who are </w:t>
      </w:r>
      <w:r w:rsidR="008B6E4C" w:rsidRPr="00D6340F">
        <w:rPr>
          <w:rFonts w:cs="Arial"/>
          <w:lang w:val="en-GB"/>
        </w:rPr>
        <w:t xml:space="preserve">found </w:t>
      </w:r>
      <w:r w:rsidRPr="00D6340F">
        <w:rPr>
          <w:rFonts w:cs="Arial"/>
          <w:lang w:val="en-GB"/>
        </w:rPr>
        <w:t>to be at high risk of hypoglycaemia</w:t>
      </w:r>
      <w:r w:rsidR="008B6E4C" w:rsidRPr="00D6340F">
        <w:rPr>
          <w:rFonts w:cs="Arial"/>
          <w:lang w:val="en-GB"/>
        </w:rPr>
        <w:t xml:space="preserve"> because of recurrent episodes,</w:t>
      </w:r>
      <w:r w:rsidR="006776A0" w:rsidRPr="00D6340F">
        <w:rPr>
          <w:rFonts w:cs="Arial"/>
          <w:lang w:val="en-GB"/>
        </w:rPr>
        <w:t xml:space="preserve"> </w:t>
      </w:r>
      <w:r w:rsidR="00F513D7" w:rsidRPr="00D6340F">
        <w:rPr>
          <w:rFonts w:cs="Arial"/>
          <w:lang w:val="en-GB"/>
        </w:rPr>
        <w:t xml:space="preserve">should have a glucagon </w:t>
      </w:r>
      <w:r w:rsidRPr="00D6340F">
        <w:rPr>
          <w:rFonts w:cs="Arial"/>
          <w:lang w:val="en-GB"/>
        </w:rPr>
        <w:t xml:space="preserve">hypoglycaemia </w:t>
      </w:r>
      <w:r w:rsidR="00F513D7" w:rsidRPr="00D6340F">
        <w:rPr>
          <w:rFonts w:cs="Arial"/>
          <w:lang w:val="en-GB"/>
        </w:rPr>
        <w:t xml:space="preserve">kit and both the patient and their family should be trained to use this emergency therapy. </w:t>
      </w:r>
    </w:p>
    <w:p w14:paraId="2A4CBACA" w14:textId="77777777" w:rsidR="00DB41B7" w:rsidRPr="00C77771" w:rsidRDefault="00DB41B7" w:rsidP="00F513D7">
      <w:pPr>
        <w:rPr>
          <w:rFonts w:cs="Arial"/>
          <w:sz w:val="4"/>
          <w:szCs w:val="10"/>
          <w:lang w:val="en-GB"/>
        </w:rPr>
      </w:pPr>
    </w:p>
    <w:p w14:paraId="5CA6B0D9" w14:textId="77777777" w:rsidR="00106952" w:rsidRPr="00D6340F" w:rsidRDefault="00DB41B7" w:rsidP="00C605DA">
      <w:pPr>
        <w:rPr>
          <w:rFonts w:cs="Arial"/>
          <w:lang w:val="en-GB"/>
        </w:rPr>
      </w:pPr>
      <w:r w:rsidRPr="00D6340F">
        <w:rPr>
          <w:rFonts w:cs="Arial"/>
          <w:lang w:val="en-GB"/>
        </w:rPr>
        <w:t xml:space="preserve">Repeat prescriptions of glucagon hypoglycaemia kit should only be given if the kit has expired or been utilised. </w:t>
      </w: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106952" w:rsidRPr="00D6340F" w14:paraId="54B3B62C" w14:textId="77777777" w:rsidTr="00FC265C">
        <w:tc>
          <w:tcPr>
            <w:tcW w:w="1134" w:type="dxa"/>
            <w:shd w:val="clear" w:color="auto" w:fill="auto"/>
          </w:tcPr>
          <w:p w14:paraId="01DB4A08" w14:textId="77777777" w:rsidR="00106952" w:rsidRPr="00D6340F" w:rsidRDefault="00106952" w:rsidP="00FC265C">
            <w:pPr>
              <w:jc w:val="right"/>
              <w:rPr>
                <w:b/>
                <w:i/>
                <w:lang w:val="en-GB"/>
              </w:rPr>
            </w:pPr>
            <w:proofErr w:type="spellStart"/>
            <w:proofErr w:type="gramStart"/>
            <w:r w:rsidRPr="00D6340F">
              <w:rPr>
                <w:i/>
                <w:lang w:val="en-GB"/>
              </w:rPr>
              <w:t>LoE:III</w:t>
            </w:r>
            <w:proofErr w:type="spellEnd"/>
            <w:proofErr w:type="gramEnd"/>
          </w:p>
        </w:tc>
      </w:tr>
    </w:tbl>
    <w:p w14:paraId="0D60A8B5" w14:textId="77777777" w:rsidR="00C605DA" w:rsidRPr="00363760" w:rsidRDefault="00C605DA" w:rsidP="00C605DA">
      <w:pPr>
        <w:rPr>
          <w:rFonts w:cs="Arial"/>
          <w:lang w:val="en-GB"/>
        </w:rPr>
      </w:pPr>
    </w:p>
    <w:p w14:paraId="5034CF64" w14:textId="77777777" w:rsidR="00106952" w:rsidRPr="00363760" w:rsidRDefault="00106952" w:rsidP="00C605DA">
      <w:pPr>
        <w:rPr>
          <w:rFonts w:cs="Arial"/>
          <w:lang w:val="en-GB"/>
        </w:rPr>
      </w:pPr>
    </w:p>
    <w:p w14:paraId="15050C8B" w14:textId="77777777" w:rsidR="00C605DA" w:rsidRPr="00D6340F" w:rsidRDefault="00C605DA" w:rsidP="00E066CB">
      <w:pPr>
        <w:pStyle w:val="Heading1"/>
        <w:ind w:left="709" w:hanging="709"/>
        <w:rPr>
          <w:rFonts w:cs="Arial"/>
          <w:sz w:val="22"/>
          <w:szCs w:val="22"/>
          <w:lang w:val="en-GB"/>
        </w:rPr>
      </w:pPr>
      <w:r w:rsidRPr="00D6340F">
        <w:rPr>
          <w:rFonts w:cs="Arial"/>
          <w:sz w:val="22"/>
          <w:szCs w:val="22"/>
          <w:lang w:val="en-GB"/>
        </w:rPr>
        <w:t>8.</w:t>
      </w:r>
      <w:r w:rsidR="00E066CB" w:rsidRPr="00D6340F">
        <w:rPr>
          <w:rFonts w:cs="Arial"/>
          <w:sz w:val="22"/>
          <w:szCs w:val="22"/>
          <w:lang w:val="en-GB"/>
        </w:rPr>
        <w:t>6</w:t>
      </w:r>
      <w:r w:rsidR="00E066CB">
        <w:rPr>
          <w:rFonts w:cs="Arial"/>
          <w:sz w:val="22"/>
          <w:szCs w:val="22"/>
          <w:lang w:val="en-GB"/>
        </w:rPr>
        <w:tab/>
      </w:r>
      <w:r w:rsidRPr="00D6340F">
        <w:rPr>
          <w:rFonts w:cs="Arial"/>
          <w:sz w:val="22"/>
          <w:szCs w:val="22"/>
          <w:lang w:val="en-GB"/>
        </w:rPr>
        <w:t>DIABETIC EMERGENCIES</w:t>
      </w:r>
    </w:p>
    <w:p w14:paraId="7DBEE278" w14:textId="71BF8B1F" w:rsidR="00C605DA" w:rsidRDefault="00C77771" w:rsidP="00C605DA">
      <w:pPr>
        <w:rPr>
          <w:rFonts w:cs="Arial"/>
          <w:szCs w:val="16"/>
          <w:lang w:val="en-GB"/>
        </w:rPr>
      </w:pPr>
      <w:r>
        <w:rPr>
          <w:rFonts w:cs="Arial"/>
          <w:szCs w:val="16"/>
          <w:lang w:val="en-GB"/>
        </w:rPr>
        <w:t xml:space="preserve">Diabetic emergencies </w:t>
      </w:r>
      <w:proofErr w:type="gramStart"/>
      <w:r>
        <w:rPr>
          <w:rFonts w:cs="Arial"/>
          <w:szCs w:val="16"/>
          <w:lang w:val="en-GB"/>
        </w:rPr>
        <w:t>includes</w:t>
      </w:r>
      <w:proofErr w:type="gramEnd"/>
      <w:r>
        <w:rPr>
          <w:rFonts w:cs="Arial"/>
          <w:szCs w:val="16"/>
          <w:lang w:val="en-GB"/>
        </w:rPr>
        <w:t xml:space="preserve"> </w:t>
      </w:r>
      <w:proofErr w:type="spellStart"/>
      <w:r>
        <w:rPr>
          <w:rFonts w:cs="Arial"/>
          <w:szCs w:val="16"/>
          <w:lang w:val="en-GB"/>
        </w:rPr>
        <w:t>hypyoglycaemia</w:t>
      </w:r>
      <w:proofErr w:type="spellEnd"/>
      <w:r>
        <w:rPr>
          <w:rFonts w:cs="Arial"/>
          <w:szCs w:val="16"/>
          <w:lang w:val="en-GB"/>
        </w:rPr>
        <w:t xml:space="preserve">, </w:t>
      </w:r>
      <w:r>
        <w:rPr>
          <w:rFonts w:ascii="Helvetica" w:hAnsi="Helvetica"/>
          <w:color w:val="333333"/>
          <w:shd w:val="clear" w:color="auto" w:fill="FFFFFF"/>
        </w:rPr>
        <w:t>diabetic ketoacidosis (DKA) and hyperglycaemic hyperosmolar syndrome (HHS).</w:t>
      </w:r>
    </w:p>
    <w:p w14:paraId="0C93A881" w14:textId="77777777" w:rsidR="00C77771" w:rsidRPr="00C77771" w:rsidRDefault="00C77771" w:rsidP="00C605DA">
      <w:pPr>
        <w:rPr>
          <w:rFonts w:cs="Arial"/>
          <w:szCs w:val="16"/>
          <w:lang w:val="en-GB"/>
        </w:rPr>
      </w:pPr>
    </w:p>
    <w:p w14:paraId="1F031BB8" w14:textId="77777777" w:rsidR="00C605DA" w:rsidRPr="00D6340F" w:rsidRDefault="00C605DA" w:rsidP="00110944">
      <w:pPr>
        <w:pStyle w:val="Heading2"/>
      </w:pPr>
      <w:r w:rsidRPr="00D6340F">
        <w:t>8.6.1</w:t>
      </w:r>
      <w:r w:rsidR="00E066CB">
        <w:tab/>
      </w:r>
      <w:r w:rsidRPr="00D6340F">
        <w:t xml:space="preserve">Hypoglycaemia </w:t>
      </w:r>
    </w:p>
    <w:p w14:paraId="554B1AB7" w14:textId="77777777" w:rsidR="00C605DA" w:rsidRPr="00D6340F" w:rsidRDefault="00C605DA" w:rsidP="00C02921">
      <w:pPr>
        <w:pStyle w:val="Heading4"/>
      </w:pPr>
      <w:r w:rsidRPr="00D6340F">
        <w:t>e10.</w:t>
      </w:r>
      <w:r w:rsidR="007A52FA">
        <w:t>0</w:t>
      </w:r>
      <w:r w:rsidR="00A658E3">
        <w:t>-1/E10.6</w:t>
      </w:r>
      <w:r w:rsidRPr="00D6340F">
        <w:t>/E11.</w:t>
      </w:r>
      <w:r w:rsidR="007A52FA">
        <w:t>0</w:t>
      </w:r>
      <w:r w:rsidR="00A658E3">
        <w:t>-1/E11.6</w:t>
      </w:r>
      <w:r w:rsidR="007A52FA">
        <w:t>/E12.0</w:t>
      </w:r>
      <w:r w:rsidR="00A658E3">
        <w:t>-1</w:t>
      </w:r>
      <w:r w:rsidR="007A52FA">
        <w:t>/</w:t>
      </w:r>
      <w:r w:rsidR="00A658E3">
        <w:t>E12.0-1/E12.6/</w:t>
      </w:r>
      <w:r w:rsidR="007A52FA">
        <w:t>E13.0</w:t>
      </w:r>
      <w:r w:rsidR="00A658E3">
        <w:t>-1/E13.6</w:t>
      </w:r>
      <w:r w:rsidR="007A52FA">
        <w:t>/E14.0</w:t>
      </w:r>
      <w:r w:rsidR="00A658E3">
        <w:t>-1/E14.6</w:t>
      </w:r>
    </w:p>
    <w:p w14:paraId="3D4CB326" w14:textId="77777777" w:rsidR="00C605DA" w:rsidRPr="00363760" w:rsidRDefault="00C605DA" w:rsidP="00C605DA">
      <w:pPr>
        <w:rPr>
          <w:rFonts w:cs="Arial"/>
          <w:lang w:val="en-GB"/>
        </w:rPr>
      </w:pPr>
    </w:p>
    <w:p w14:paraId="42819C62" w14:textId="77777777" w:rsidR="00C605DA" w:rsidRPr="00D6340F" w:rsidRDefault="00C605DA" w:rsidP="00C605DA">
      <w:pPr>
        <w:pStyle w:val="Heading6"/>
        <w:rPr>
          <w:rFonts w:cs="Arial"/>
        </w:rPr>
      </w:pPr>
      <w:r w:rsidRPr="00D6340F">
        <w:rPr>
          <w:rFonts w:cs="Arial"/>
        </w:rPr>
        <w:t>Diagnosis: Clinical</w:t>
      </w:r>
    </w:p>
    <w:p w14:paraId="015944CE" w14:textId="77777777" w:rsidR="00C605DA" w:rsidRPr="00D6340F" w:rsidRDefault="00C605DA" w:rsidP="00C605DA">
      <w:pPr>
        <w:rPr>
          <w:rFonts w:eastAsia="Arial Unicode MS" w:cs="Arial"/>
          <w:u w:val="single"/>
          <w:lang w:val="en-GB"/>
        </w:rPr>
      </w:pPr>
      <w:r w:rsidRPr="00D6340F">
        <w:rPr>
          <w:rFonts w:eastAsia="Arial Unicode MS" w:cs="Arial"/>
          <w:u w:val="single"/>
          <w:lang w:val="en-GB"/>
        </w:rPr>
        <w:t xml:space="preserve">Symptoms: </w:t>
      </w:r>
    </w:p>
    <w:tbl>
      <w:tblPr>
        <w:tblW w:w="5000" w:type="pct"/>
        <w:tblLook w:val="04A0" w:firstRow="1" w:lastRow="0" w:firstColumn="1" w:lastColumn="0" w:noHBand="0" w:noVBand="1"/>
      </w:tblPr>
      <w:tblGrid>
        <w:gridCol w:w="3060"/>
        <w:gridCol w:w="3064"/>
      </w:tblGrid>
      <w:tr w:rsidR="00C605DA" w:rsidRPr="00D6340F" w14:paraId="0AEAD3D8" w14:textId="77777777" w:rsidTr="00C85B49">
        <w:tc>
          <w:tcPr>
            <w:tcW w:w="2498" w:type="pct"/>
          </w:tcPr>
          <w:p w14:paraId="58B14736" w14:textId="77777777" w:rsidR="0036185F" w:rsidRPr="00D6340F" w:rsidRDefault="00C605DA" w:rsidP="007E4E67">
            <w:pPr>
              <w:numPr>
                <w:ilvl w:val="0"/>
                <w:numId w:val="20"/>
              </w:numPr>
              <w:ind w:left="284" w:hanging="284"/>
              <w:rPr>
                <w:rFonts w:eastAsia="Arial Unicode MS" w:cs="Arial"/>
                <w:lang w:val="en-GB"/>
              </w:rPr>
            </w:pPr>
            <w:r w:rsidRPr="00D6340F">
              <w:rPr>
                <w:rFonts w:eastAsia="Arial Unicode MS" w:cs="Arial"/>
                <w:lang w:val="en-GB"/>
              </w:rPr>
              <w:t>Anxiety</w:t>
            </w:r>
          </w:p>
        </w:tc>
        <w:tc>
          <w:tcPr>
            <w:tcW w:w="2502" w:type="pct"/>
          </w:tcPr>
          <w:p w14:paraId="2405BB30" w14:textId="77777777" w:rsidR="0036185F" w:rsidRPr="00D6340F" w:rsidRDefault="00C605DA" w:rsidP="007E4E67">
            <w:pPr>
              <w:numPr>
                <w:ilvl w:val="0"/>
                <w:numId w:val="20"/>
              </w:numPr>
              <w:ind w:left="234" w:hanging="234"/>
              <w:rPr>
                <w:rFonts w:eastAsia="Arial Unicode MS" w:cs="Arial"/>
                <w:lang w:val="en-GB"/>
              </w:rPr>
            </w:pPr>
            <w:r w:rsidRPr="00D6340F">
              <w:rPr>
                <w:rFonts w:eastAsia="Arial Unicode MS" w:cs="Arial"/>
                <w:lang w:val="en-GB"/>
              </w:rPr>
              <w:t>Sweating</w:t>
            </w:r>
          </w:p>
        </w:tc>
      </w:tr>
      <w:tr w:rsidR="00C605DA" w:rsidRPr="00D6340F" w14:paraId="20E3DEF8" w14:textId="77777777" w:rsidTr="00C85B49">
        <w:tc>
          <w:tcPr>
            <w:tcW w:w="2498" w:type="pct"/>
          </w:tcPr>
          <w:p w14:paraId="6DCDA9CE" w14:textId="77777777" w:rsidR="0036185F" w:rsidRPr="00D6340F" w:rsidRDefault="00C605DA" w:rsidP="007E4E67">
            <w:pPr>
              <w:numPr>
                <w:ilvl w:val="0"/>
                <w:numId w:val="20"/>
              </w:numPr>
              <w:ind w:left="284" w:hanging="284"/>
              <w:rPr>
                <w:rFonts w:eastAsia="Arial Unicode MS" w:cs="Arial"/>
                <w:lang w:val="en-GB"/>
              </w:rPr>
            </w:pPr>
            <w:r w:rsidRPr="00D6340F">
              <w:rPr>
                <w:rFonts w:eastAsia="Arial Unicode MS" w:cs="Arial"/>
                <w:lang w:val="en-GB"/>
              </w:rPr>
              <w:t>Palpitations</w:t>
            </w:r>
          </w:p>
        </w:tc>
        <w:tc>
          <w:tcPr>
            <w:tcW w:w="2502" w:type="pct"/>
          </w:tcPr>
          <w:p w14:paraId="05F847B7" w14:textId="77777777" w:rsidR="0036185F" w:rsidRPr="00D6340F" w:rsidRDefault="00C605DA" w:rsidP="007E4E67">
            <w:pPr>
              <w:numPr>
                <w:ilvl w:val="0"/>
                <w:numId w:val="20"/>
              </w:numPr>
              <w:ind w:left="234" w:hanging="234"/>
              <w:rPr>
                <w:rFonts w:eastAsia="Arial Unicode MS" w:cs="Arial"/>
                <w:lang w:val="en-GB"/>
              </w:rPr>
            </w:pPr>
            <w:r w:rsidRPr="00D6340F">
              <w:rPr>
                <w:rFonts w:eastAsia="Arial Unicode MS" w:cs="Arial"/>
                <w:lang w:val="en-GB"/>
              </w:rPr>
              <w:t>Hunger</w:t>
            </w:r>
          </w:p>
        </w:tc>
      </w:tr>
      <w:tr w:rsidR="00C605DA" w:rsidRPr="00D6340F" w14:paraId="1E6D19F2" w14:textId="77777777" w:rsidTr="00C85B49">
        <w:tc>
          <w:tcPr>
            <w:tcW w:w="2498" w:type="pct"/>
          </w:tcPr>
          <w:p w14:paraId="60ED9F5E" w14:textId="77777777" w:rsidR="0036185F" w:rsidRPr="00D6340F" w:rsidRDefault="00C605DA" w:rsidP="007E4E67">
            <w:pPr>
              <w:numPr>
                <w:ilvl w:val="0"/>
                <w:numId w:val="20"/>
              </w:numPr>
              <w:ind w:left="284" w:hanging="284"/>
              <w:rPr>
                <w:rFonts w:eastAsia="Arial Unicode MS" w:cs="Arial"/>
                <w:lang w:val="en-GB"/>
              </w:rPr>
            </w:pPr>
            <w:r w:rsidRPr="00D6340F">
              <w:rPr>
                <w:rFonts w:eastAsia="Arial Unicode MS" w:cs="Arial"/>
                <w:lang w:val="en-GB"/>
              </w:rPr>
              <w:t>Headaches</w:t>
            </w:r>
          </w:p>
        </w:tc>
        <w:tc>
          <w:tcPr>
            <w:tcW w:w="2502" w:type="pct"/>
          </w:tcPr>
          <w:p w14:paraId="1707B9BC" w14:textId="77777777" w:rsidR="0036185F" w:rsidRPr="00D6340F" w:rsidRDefault="00C605DA" w:rsidP="007E4E67">
            <w:pPr>
              <w:numPr>
                <w:ilvl w:val="0"/>
                <w:numId w:val="20"/>
              </w:numPr>
              <w:ind w:left="234" w:hanging="234"/>
              <w:rPr>
                <w:rFonts w:eastAsia="Arial Unicode MS" w:cs="Arial"/>
                <w:lang w:val="en-GB"/>
              </w:rPr>
            </w:pPr>
            <w:r w:rsidRPr="00D6340F">
              <w:rPr>
                <w:rFonts w:eastAsia="Arial Unicode MS" w:cs="Arial"/>
                <w:lang w:val="en-GB"/>
              </w:rPr>
              <w:t>Behavioural changes</w:t>
            </w:r>
          </w:p>
        </w:tc>
      </w:tr>
    </w:tbl>
    <w:p w14:paraId="5A8918AD" w14:textId="77777777" w:rsidR="00C605DA" w:rsidRPr="00D6340F" w:rsidRDefault="00C605DA" w:rsidP="00C605DA">
      <w:pPr>
        <w:rPr>
          <w:rFonts w:eastAsia="Arial Unicode MS" w:cs="Arial"/>
          <w:sz w:val="10"/>
          <w:szCs w:val="10"/>
          <w:lang w:val="en-GB"/>
        </w:rPr>
      </w:pPr>
    </w:p>
    <w:p w14:paraId="588494CA" w14:textId="77777777" w:rsidR="00C605DA" w:rsidRPr="00D6340F" w:rsidRDefault="00C605DA" w:rsidP="00C605DA">
      <w:pPr>
        <w:rPr>
          <w:rFonts w:eastAsia="Arial Unicode MS" w:cs="Arial"/>
          <w:u w:val="single"/>
          <w:lang w:val="en-GB"/>
        </w:rPr>
      </w:pPr>
      <w:r w:rsidRPr="00D6340F">
        <w:rPr>
          <w:rFonts w:eastAsia="Arial Unicode MS" w:cs="Arial"/>
          <w:u w:val="single"/>
          <w:lang w:val="en-GB"/>
        </w:rPr>
        <w:t xml:space="preserve">Signs: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9"/>
        <w:gridCol w:w="3055"/>
      </w:tblGrid>
      <w:tr w:rsidR="00C274DB" w:rsidRPr="00D6340F" w14:paraId="0BBDA0DB" w14:textId="77777777" w:rsidTr="00763499">
        <w:tc>
          <w:tcPr>
            <w:tcW w:w="3170" w:type="dxa"/>
          </w:tcPr>
          <w:p w14:paraId="714CF175" w14:textId="77777777" w:rsidR="0036185F" w:rsidRPr="00D6340F" w:rsidRDefault="00C274DB" w:rsidP="007E4E67">
            <w:pPr>
              <w:numPr>
                <w:ilvl w:val="0"/>
                <w:numId w:val="20"/>
              </w:numPr>
              <w:ind w:left="284" w:hanging="284"/>
              <w:rPr>
                <w:rFonts w:cs="Arial"/>
                <w:lang w:val="en-GB"/>
              </w:rPr>
            </w:pPr>
            <w:r w:rsidRPr="00D6340F">
              <w:rPr>
                <w:rFonts w:eastAsia="Arial Unicode MS" w:cs="Arial"/>
                <w:lang w:val="en-GB"/>
              </w:rPr>
              <w:t>Sweating</w:t>
            </w:r>
          </w:p>
        </w:tc>
        <w:tc>
          <w:tcPr>
            <w:tcW w:w="3170" w:type="dxa"/>
          </w:tcPr>
          <w:p w14:paraId="2FD7FACF" w14:textId="77777777" w:rsidR="0036185F" w:rsidRPr="00D6340F" w:rsidRDefault="00C274DB" w:rsidP="007E4E67">
            <w:pPr>
              <w:numPr>
                <w:ilvl w:val="0"/>
                <w:numId w:val="20"/>
              </w:numPr>
              <w:ind w:left="234" w:hanging="234"/>
              <w:rPr>
                <w:rFonts w:cs="Arial"/>
                <w:lang w:val="en-GB"/>
              </w:rPr>
            </w:pPr>
            <w:r w:rsidRPr="00D6340F">
              <w:rPr>
                <w:rFonts w:eastAsia="Arial Unicode MS" w:cs="Arial"/>
                <w:lang w:val="en-GB"/>
              </w:rPr>
              <w:t>Tremor</w:t>
            </w:r>
          </w:p>
        </w:tc>
      </w:tr>
      <w:tr w:rsidR="00C274DB" w:rsidRPr="00D6340F" w14:paraId="5E0BD4FF" w14:textId="77777777" w:rsidTr="00763499">
        <w:tc>
          <w:tcPr>
            <w:tcW w:w="3170" w:type="dxa"/>
          </w:tcPr>
          <w:p w14:paraId="04D0BA3E" w14:textId="77777777" w:rsidR="0036185F" w:rsidRPr="00D6340F" w:rsidRDefault="00C274DB" w:rsidP="007E4E67">
            <w:pPr>
              <w:numPr>
                <w:ilvl w:val="0"/>
                <w:numId w:val="20"/>
              </w:numPr>
              <w:ind w:left="284" w:hanging="284"/>
              <w:rPr>
                <w:rFonts w:cs="Arial"/>
                <w:lang w:val="en-GB"/>
              </w:rPr>
            </w:pPr>
            <w:r w:rsidRPr="00D6340F">
              <w:rPr>
                <w:rFonts w:eastAsia="Arial Unicode MS" w:cs="Arial"/>
                <w:lang w:val="en-GB"/>
              </w:rPr>
              <w:t>Tachycardia</w:t>
            </w:r>
          </w:p>
        </w:tc>
        <w:tc>
          <w:tcPr>
            <w:tcW w:w="3170" w:type="dxa"/>
          </w:tcPr>
          <w:p w14:paraId="56859757" w14:textId="77777777" w:rsidR="0036185F" w:rsidRPr="00D6340F" w:rsidRDefault="00C274DB" w:rsidP="007E4E67">
            <w:pPr>
              <w:numPr>
                <w:ilvl w:val="0"/>
                <w:numId w:val="20"/>
              </w:numPr>
              <w:ind w:left="234" w:hanging="234"/>
              <w:rPr>
                <w:rFonts w:cs="Arial"/>
                <w:lang w:val="en-GB"/>
              </w:rPr>
            </w:pPr>
            <w:r w:rsidRPr="00D6340F">
              <w:rPr>
                <w:rFonts w:eastAsia="Arial Unicode MS" w:cs="Arial"/>
                <w:lang w:val="en-GB"/>
              </w:rPr>
              <w:t>Confusion</w:t>
            </w:r>
          </w:p>
        </w:tc>
      </w:tr>
      <w:tr w:rsidR="00C274DB" w:rsidRPr="00D6340F" w14:paraId="09E150DD" w14:textId="77777777" w:rsidTr="00763499">
        <w:tc>
          <w:tcPr>
            <w:tcW w:w="3170" w:type="dxa"/>
          </w:tcPr>
          <w:p w14:paraId="06F7262A" w14:textId="77777777" w:rsidR="0036185F" w:rsidRPr="00D6340F" w:rsidRDefault="00763499" w:rsidP="007E4E67">
            <w:pPr>
              <w:numPr>
                <w:ilvl w:val="0"/>
                <w:numId w:val="20"/>
              </w:numPr>
              <w:ind w:left="284" w:hanging="284"/>
              <w:rPr>
                <w:rFonts w:cs="Arial"/>
                <w:lang w:val="en-GB"/>
              </w:rPr>
            </w:pPr>
            <w:r w:rsidRPr="00D6340F">
              <w:rPr>
                <w:rFonts w:eastAsia="Arial Unicode MS" w:cs="Arial"/>
                <w:lang w:val="en-GB"/>
              </w:rPr>
              <w:t>Bizarre neurological signs</w:t>
            </w:r>
          </w:p>
        </w:tc>
        <w:tc>
          <w:tcPr>
            <w:tcW w:w="3170" w:type="dxa"/>
          </w:tcPr>
          <w:p w14:paraId="527FBF78" w14:textId="77777777" w:rsidR="0036185F" w:rsidRPr="00D6340F" w:rsidRDefault="00763499" w:rsidP="007E4E67">
            <w:pPr>
              <w:numPr>
                <w:ilvl w:val="0"/>
                <w:numId w:val="20"/>
              </w:numPr>
              <w:ind w:left="234" w:hanging="234"/>
              <w:rPr>
                <w:rFonts w:cs="Arial"/>
                <w:lang w:val="en-GB"/>
              </w:rPr>
            </w:pPr>
            <w:r w:rsidRPr="00D6340F">
              <w:rPr>
                <w:rFonts w:eastAsia="Arial Unicode MS" w:cs="Arial"/>
                <w:lang w:val="en-GB"/>
              </w:rPr>
              <w:t>Seizures</w:t>
            </w:r>
          </w:p>
        </w:tc>
      </w:tr>
      <w:tr w:rsidR="00C274DB" w:rsidRPr="00D6340F" w14:paraId="66552FDE" w14:textId="77777777" w:rsidTr="00763499">
        <w:tc>
          <w:tcPr>
            <w:tcW w:w="3170" w:type="dxa"/>
          </w:tcPr>
          <w:p w14:paraId="23E7E1D6" w14:textId="77777777" w:rsidR="0036185F" w:rsidRPr="00D6340F" w:rsidRDefault="00C274DB" w:rsidP="007E4E67">
            <w:pPr>
              <w:numPr>
                <w:ilvl w:val="0"/>
                <w:numId w:val="20"/>
              </w:numPr>
              <w:ind w:left="284" w:hanging="284"/>
              <w:rPr>
                <w:rFonts w:cs="Arial"/>
                <w:lang w:val="en-GB"/>
              </w:rPr>
            </w:pPr>
            <w:r w:rsidRPr="00D6340F">
              <w:rPr>
                <w:rFonts w:eastAsia="Arial Unicode MS" w:cs="Arial"/>
                <w:lang w:val="en-GB"/>
              </w:rPr>
              <w:t>Coma</w:t>
            </w:r>
          </w:p>
        </w:tc>
        <w:tc>
          <w:tcPr>
            <w:tcW w:w="3170" w:type="dxa"/>
          </w:tcPr>
          <w:p w14:paraId="11CFA763" w14:textId="77777777" w:rsidR="0036185F" w:rsidRPr="00D6340F" w:rsidRDefault="0036185F" w:rsidP="0004165D">
            <w:pPr>
              <w:ind w:left="360"/>
              <w:rPr>
                <w:rFonts w:eastAsia="Arial Unicode MS" w:cs="Arial"/>
                <w:lang w:val="en-GB"/>
              </w:rPr>
            </w:pPr>
          </w:p>
        </w:tc>
      </w:tr>
    </w:tbl>
    <w:p w14:paraId="6D1A4C9C" w14:textId="77777777" w:rsidR="00C605DA" w:rsidRPr="00363760" w:rsidRDefault="00C605DA" w:rsidP="00C605DA">
      <w:pPr>
        <w:rPr>
          <w:rFonts w:cs="Arial"/>
          <w:sz w:val="14"/>
          <w:szCs w:val="10"/>
          <w:lang w:val="en-GB"/>
        </w:rPr>
      </w:pPr>
    </w:p>
    <w:p w14:paraId="24F9EB45" w14:textId="77777777" w:rsidR="00C605DA" w:rsidRPr="00D6340F" w:rsidRDefault="00C605DA" w:rsidP="00C605DA">
      <w:pPr>
        <w:pStyle w:val="Heading6"/>
        <w:rPr>
          <w:rFonts w:cs="Arial"/>
        </w:rPr>
      </w:pPr>
      <w:r w:rsidRPr="00D6340F">
        <w:rPr>
          <w:rFonts w:cs="Arial"/>
        </w:rPr>
        <w:t>Biochemical</w:t>
      </w:r>
    </w:p>
    <w:p w14:paraId="22C36D71" w14:textId="77777777" w:rsidR="00C605DA" w:rsidRPr="00D6340F" w:rsidRDefault="00C605DA" w:rsidP="00C605DA">
      <w:pPr>
        <w:rPr>
          <w:rFonts w:cs="Arial"/>
          <w:spacing w:val="-4"/>
          <w:lang w:val="en-GB"/>
        </w:rPr>
      </w:pPr>
      <w:r w:rsidRPr="00D6340F">
        <w:rPr>
          <w:rFonts w:cs="Arial"/>
          <w:spacing w:val="-4"/>
          <w:lang w:val="en-GB"/>
        </w:rPr>
        <w:t>Act on finger prick blood glucose. Confirm with laboratory measurements if uncertain.</w:t>
      </w:r>
    </w:p>
    <w:p w14:paraId="3E4A4472" w14:textId="77777777" w:rsidR="00C605DA" w:rsidRPr="00744E47" w:rsidRDefault="00C605DA" w:rsidP="00C605DA">
      <w:pPr>
        <w:rPr>
          <w:rFonts w:cs="Arial"/>
          <w:lang w:val="en-GB"/>
        </w:rPr>
      </w:pPr>
    </w:p>
    <w:p w14:paraId="42308C53" w14:textId="77777777" w:rsidR="00C605DA" w:rsidRPr="00D6340F" w:rsidRDefault="00C605DA" w:rsidP="00C605DA">
      <w:pPr>
        <w:pStyle w:val="Heading5"/>
        <w:rPr>
          <w:rFonts w:cs="Arial"/>
          <w:lang w:val="en-GB"/>
        </w:rPr>
      </w:pPr>
      <w:r w:rsidRPr="00D6340F">
        <w:rPr>
          <w:rFonts w:cs="Arial"/>
          <w:lang w:val="en-GB"/>
        </w:rPr>
        <w:t>TREATMENT</w:t>
      </w:r>
    </w:p>
    <w:p w14:paraId="5B842DDC" w14:textId="77777777" w:rsidR="00C605DA" w:rsidRPr="00D6340F" w:rsidRDefault="00C605DA" w:rsidP="00C605DA">
      <w:pPr>
        <w:pStyle w:val="Heading6"/>
        <w:rPr>
          <w:rFonts w:cs="Arial"/>
          <w:b w:val="0"/>
        </w:rPr>
      </w:pPr>
      <w:r w:rsidRPr="00D6340F">
        <w:rPr>
          <w:rFonts w:cs="Arial"/>
          <w:b w:val="0"/>
        </w:rPr>
        <w:t>Start immediately.</w:t>
      </w:r>
    </w:p>
    <w:p w14:paraId="78E0255D" w14:textId="40EE118B" w:rsidR="00764B0B" w:rsidRDefault="00764B0B" w:rsidP="00C605DA">
      <w:pPr>
        <w:rPr>
          <w:rFonts w:cs="Arial"/>
          <w:szCs w:val="10"/>
          <w:lang w:val="en-GB"/>
        </w:rPr>
      </w:pPr>
    </w:p>
    <w:p w14:paraId="0823D964" w14:textId="088F78C6" w:rsidR="00363760" w:rsidRDefault="00363760" w:rsidP="00C605DA">
      <w:pPr>
        <w:rPr>
          <w:rFonts w:cs="Arial"/>
          <w:szCs w:val="10"/>
          <w:lang w:val="en-GB"/>
        </w:rPr>
      </w:pPr>
    </w:p>
    <w:p w14:paraId="0318F430" w14:textId="77777777" w:rsidR="00363760" w:rsidRPr="00363760" w:rsidRDefault="00363760" w:rsidP="00C605DA">
      <w:pPr>
        <w:rPr>
          <w:rFonts w:cs="Arial"/>
          <w:szCs w:val="10"/>
          <w:lang w:val="en-GB"/>
        </w:rPr>
      </w:pPr>
    </w:p>
    <w:p w14:paraId="4A0655D3" w14:textId="77777777" w:rsidR="00C605DA" w:rsidRPr="00D6340F" w:rsidRDefault="00C605DA" w:rsidP="00C605DA">
      <w:pPr>
        <w:pStyle w:val="ep4"/>
        <w:rPr>
          <w:lang w:val="en-GB"/>
        </w:rPr>
      </w:pPr>
      <w:r w:rsidRPr="00D6340F">
        <w:rPr>
          <w:lang w:val="en-GB"/>
        </w:rPr>
        <w:lastRenderedPageBreak/>
        <w:t xml:space="preserve">Dextrose 50%, rapid IV injection, 50 </w:t>
      </w:r>
      <w:proofErr w:type="spellStart"/>
      <w:r w:rsidRPr="00D6340F">
        <w:rPr>
          <w:lang w:val="en-GB"/>
        </w:rPr>
        <w:t>mL.</w:t>
      </w:r>
      <w:proofErr w:type="spellEnd"/>
    </w:p>
    <w:p w14:paraId="70174F00" w14:textId="77777777" w:rsidR="00BC1924" w:rsidRPr="00D6340F" w:rsidRDefault="00C605DA" w:rsidP="00C605DA">
      <w:pPr>
        <w:rPr>
          <w:rFonts w:cs="Arial"/>
          <w:spacing w:val="-4"/>
          <w:lang w:val="en-GB"/>
        </w:rPr>
      </w:pPr>
      <w:r w:rsidRPr="00D6340F">
        <w:rPr>
          <w:rFonts w:cs="Arial"/>
          <w:spacing w:val="-4"/>
          <w:lang w:val="en-GB"/>
        </w:rPr>
        <w:t>Assess clinical status and finger prick glucose level over the next 5–10 minutes</w:t>
      </w:r>
      <w:r w:rsidR="00C876E4" w:rsidRPr="00D6340F">
        <w:rPr>
          <w:rFonts w:cs="Arial"/>
          <w:spacing w:val="-4"/>
          <w:lang w:val="en-GB"/>
        </w:rPr>
        <w:t xml:space="preserve">. </w:t>
      </w: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503E7F" w:rsidRPr="00D6340F" w14:paraId="01BBEE44" w14:textId="77777777" w:rsidTr="00DF1F88">
        <w:tc>
          <w:tcPr>
            <w:tcW w:w="1134" w:type="dxa"/>
            <w:shd w:val="clear" w:color="auto" w:fill="auto"/>
          </w:tcPr>
          <w:p w14:paraId="493E9A8D" w14:textId="77777777" w:rsidR="00503E7F" w:rsidRPr="00D6340F" w:rsidRDefault="00503E7F" w:rsidP="00DF1F88">
            <w:pPr>
              <w:jc w:val="right"/>
              <w:rPr>
                <w:b/>
                <w:i/>
                <w:sz w:val="16"/>
                <w:lang w:val="en-GB"/>
              </w:rPr>
            </w:pPr>
            <w:proofErr w:type="spellStart"/>
            <w:proofErr w:type="gramStart"/>
            <w:r w:rsidRPr="00D6340F">
              <w:rPr>
                <w:i/>
                <w:sz w:val="16"/>
                <w:lang w:val="en-GB"/>
              </w:rPr>
              <w:t>LoE:III</w:t>
            </w:r>
            <w:proofErr w:type="spellEnd"/>
            <w:proofErr w:type="gramEnd"/>
            <w:r w:rsidRPr="00D6340F">
              <w:rPr>
                <w:rStyle w:val="EndnoteReference"/>
                <w:i/>
                <w:sz w:val="16"/>
                <w:lang w:val="en-GB"/>
              </w:rPr>
              <w:endnoteReference w:id="22"/>
            </w:r>
          </w:p>
        </w:tc>
      </w:tr>
    </w:tbl>
    <w:p w14:paraId="21B04E6B" w14:textId="77777777" w:rsidR="005F56BC" w:rsidRPr="008D13B8" w:rsidRDefault="005F56BC" w:rsidP="00C605DA">
      <w:pPr>
        <w:rPr>
          <w:rFonts w:cs="Arial"/>
          <w:spacing w:val="-4"/>
          <w:sz w:val="10"/>
          <w:lang w:val="en-GB"/>
        </w:rPr>
      </w:pPr>
    </w:p>
    <w:p w14:paraId="0902772A" w14:textId="77777777" w:rsidR="00C605DA" w:rsidRPr="00D6340F" w:rsidRDefault="00C605DA" w:rsidP="00C605DA">
      <w:pPr>
        <w:rPr>
          <w:rFonts w:cs="Arial"/>
          <w:u w:val="single"/>
          <w:lang w:val="en-GB"/>
        </w:rPr>
      </w:pPr>
      <w:r w:rsidRPr="00D6340F">
        <w:rPr>
          <w:rFonts w:cs="Arial"/>
          <w:u w:val="single"/>
          <w:lang w:val="en-GB"/>
        </w:rPr>
        <w:t>Establish a large bore intravenous line and keep open with:</w:t>
      </w:r>
    </w:p>
    <w:p w14:paraId="3EA236F6" w14:textId="77777777" w:rsidR="00C605DA" w:rsidRPr="00D6340F" w:rsidRDefault="00C605DA" w:rsidP="00C605DA">
      <w:pPr>
        <w:pStyle w:val="ep4"/>
        <w:rPr>
          <w:lang w:val="en-GB"/>
        </w:rPr>
      </w:pPr>
      <w:r w:rsidRPr="00D6340F">
        <w:rPr>
          <w:lang w:val="en-GB"/>
        </w:rPr>
        <w:t>Dextrose 10%, IV.</w:t>
      </w:r>
    </w:p>
    <w:p w14:paraId="702357C0" w14:textId="77777777" w:rsidR="00C605DA" w:rsidRDefault="00C605DA" w:rsidP="00C605DA">
      <w:pPr>
        <w:rPr>
          <w:rFonts w:cs="Arial"/>
          <w:sz w:val="10"/>
          <w:szCs w:val="10"/>
          <w:lang w:val="en-GB"/>
        </w:rPr>
      </w:pPr>
    </w:p>
    <w:p w14:paraId="16EA5F88" w14:textId="77777777" w:rsidR="00C605DA" w:rsidRPr="00D6340F" w:rsidRDefault="00C605DA" w:rsidP="00C605DA">
      <w:pPr>
        <w:rPr>
          <w:rFonts w:cs="Arial"/>
          <w:u w:val="single"/>
          <w:lang w:val="en-GB"/>
        </w:rPr>
      </w:pPr>
      <w:r w:rsidRPr="00D6340F">
        <w:rPr>
          <w:rFonts w:cs="Arial"/>
          <w:u w:val="single"/>
          <w:lang w:val="en-GB"/>
        </w:rPr>
        <w:t>If no clinical response, give a second injection of:</w:t>
      </w:r>
    </w:p>
    <w:p w14:paraId="385FA4C5" w14:textId="77777777" w:rsidR="00C605DA" w:rsidRPr="00D6340F" w:rsidRDefault="00C605DA" w:rsidP="00C605DA">
      <w:pPr>
        <w:pStyle w:val="ep4"/>
        <w:rPr>
          <w:lang w:val="en-GB"/>
        </w:rPr>
      </w:pPr>
      <w:r w:rsidRPr="00D6340F">
        <w:rPr>
          <w:lang w:val="en-GB"/>
        </w:rPr>
        <w:t xml:space="preserve">Dextrose 50%, IV, 50 </w:t>
      </w:r>
      <w:proofErr w:type="spellStart"/>
      <w:r w:rsidRPr="00D6340F">
        <w:rPr>
          <w:lang w:val="en-GB"/>
        </w:rPr>
        <w:t>mL.</w:t>
      </w:r>
      <w:proofErr w:type="spellEnd"/>
    </w:p>
    <w:p w14:paraId="4840F487" w14:textId="77777777" w:rsidR="00C605DA" w:rsidRPr="00D6340F" w:rsidRDefault="00C605DA" w:rsidP="00C605DA">
      <w:pPr>
        <w:rPr>
          <w:rFonts w:cs="Arial"/>
          <w:sz w:val="10"/>
          <w:szCs w:val="10"/>
          <w:lang w:val="en-GB"/>
        </w:rPr>
      </w:pPr>
    </w:p>
    <w:p w14:paraId="7EF1CC82" w14:textId="77777777" w:rsidR="00C605DA" w:rsidRPr="00D6340F" w:rsidRDefault="00C605DA" w:rsidP="00C605DA">
      <w:pPr>
        <w:rPr>
          <w:rFonts w:cs="Arial"/>
          <w:u w:val="single"/>
          <w:lang w:val="en-GB"/>
        </w:rPr>
      </w:pPr>
      <w:r w:rsidRPr="00D6340F">
        <w:rPr>
          <w:rFonts w:cs="Arial"/>
          <w:u w:val="single"/>
          <w:lang w:val="en-GB"/>
        </w:rPr>
        <w:t>To prevent recurrent hypoglycaemia, continue infusion with:</w:t>
      </w:r>
    </w:p>
    <w:p w14:paraId="1D3FA5E4" w14:textId="77777777" w:rsidR="00C605DA" w:rsidRPr="00D6340F" w:rsidRDefault="00C605DA" w:rsidP="00C605DA">
      <w:pPr>
        <w:pStyle w:val="ep4"/>
        <w:rPr>
          <w:lang w:val="en-GB"/>
        </w:rPr>
      </w:pPr>
      <w:r w:rsidRPr="00D6340F">
        <w:rPr>
          <w:lang w:val="en-GB"/>
        </w:rPr>
        <w:t xml:space="preserve">Dextrose 10%, IV infusion, at a rate of ± 1 L 6 hourly. </w:t>
      </w:r>
    </w:p>
    <w:p w14:paraId="2DCBEFAD" w14:textId="77777777" w:rsidR="00C605DA" w:rsidRPr="00D6340F" w:rsidRDefault="00C605DA" w:rsidP="00C605DA">
      <w:pPr>
        <w:pStyle w:val="BodyTextIndent3"/>
        <w:rPr>
          <w:spacing w:val="-4"/>
          <w:lang w:val="en-GB"/>
        </w:rPr>
      </w:pPr>
      <w:r w:rsidRPr="00D6340F">
        <w:rPr>
          <w:spacing w:val="-4"/>
          <w:lang w:val="en-GB"/>
        </w:rPr>
        <w:t>Once blood glucose is normal or elevated, and the patient is awake, check blood glucose hourly for several hours, and check serum potassium for hypokalaemia.</w:t>
      </w:r>
    </w:p>
    <w:p w14:paraId="03B67D25" w14:textId="77777777" w:rsidR="005F039D" w:rsidRPr="00D6340F" w:rsidRDefault="005F039D" w:rsidP="00C605DA">
      <w:pPr>
        <w:pStyle w:val="BodyTextIndent3"/>
        <w:rPr>
          <w:sz w:val="10"/>
          <w:szCs w:val="10"/>
          <w:lang w:val="en-GB"/>
        </w:rPr>
      </w:pPr>
    </w:p>
    <w:p w14:paraId="0AEB97E3" w14:textId="77777777" w:rsidR="00C605DA" w:rsidRPr="00D6340F" w:rsidRDefault="00C605DA" w:rsidP="00C605DA">
      <w:pPr>
        <w:rPr>
          <w:rFonts w:cs="Arial"/>
          <w:lang w:val="en-GB"/>
        </w:rPr>
      </w:pPr>
      <w:r w:rsidRPr="00D6340F">
        <w:rPr>
          <w:rFonts w:cs="Arial"/>
          <w:lang w:val="en-GB"/>
        </w:rPr>
        <w:t xml:space="preserve">If the patient has not regained consciousness after 30 minutes with </w:t>
      </w:r>
      <w:r w:rsidR="005F039D" w:rsidRPr="00D6340F">
        <w:rPr>
          <w:rFonts w:cs="Arial"/>
          <w:lang w:val="en-GB"/>
        </w:rPr>
        <w:t>normal</w:t>
      </w:r>
      <w:r w:rsidRPr="00D6340F">
        <w:rPr>
          <w:rFonts w:cs="Arial"/>
          <w:lang w:val="en-GB"/>
        </w:rPr>
        <w:t xml:space="preserve"> or elevated blood glucose, look for other causes of coma.</w:t>
      </w:r>
    </w:p>
    <w:p w14:paraId="0B2E8FB9" w14:textId="77777777" w:rsidR="00C605DA" w:rsidRPr="00D6340F" w:rsidRDefault="00C605DA" w:rsidP="00C605DA">
      <w:pPr>
        <w:rPr>
          <w:rFonts w:cs="Arial"/>
          <w:sz w:val="10"/>
          <w:szCs w:val="10"/>
          <w:lang w:val="en-GB"/>
        </w:rPr>
      </w:pPr>
    </w:p>
    <w:p w14:paraId="144C5EC9" w14:textId="77777777" w:rsidR="00C605DA" w:rsidRPr="00D6340F" w:rsidRDefault="00C605DA" w:rsidP="00C605DA">
      <w:pPr>
        <w:rPr>
          <w:rFonts w:cs="Arial"/>
          <w:lang w:val="en-GB"/>
        </w:rPr>
      </w:pPr>
      <w:r w:rsidRPr="00D6340F">
        <w:rPr>
          <w:rFonts w:eastAsia="Arial Unicode MS" w:cs="Arial"/>
          <w:lang w:val="en-GB"/>
        </w:rPr>
        <w:t xml:space="preserve">Once the patient is awake, give a snack if possible, and </w:t>
      </w:r>
      <w:r w:rsidRPr="00D6340F">
        <w:rPr>
          <w:rStyle w:val="StyleBold"/>
          <w:rFonts w:eastAsia="Arial Unicode MS" w:cs="Arial"/>
          <w:lang w:val="en-GB"/>
        </w:rPr>
        <w:t xml:space="preserve">admit </w:t>
      </w:r>
      <w:r w:rsidRPr="00D6340F">
        <w:rPr>
          <w:rFonts w:eastAsia="Arial Unicode MS" w:cs="Arial"/>
          <w:lang w:val="en-GB"/>
        </w:rPr>
        <w:t>for observation and education etc., to prevent further hypoglycaemic episodes.</w:t>
      </w:r>
    </w:p>
    <w:p w14:paraId="50DD0FCC" w14:textId="77777777" w:rsidR="00C605DA" w:rsidRPr="00D6340F" w:rsidRDefault="00C605DA" w:rsidP="00C605DA">
      <w:pPr>
        <w:rPr>
          <w:rFonts w:cs="Arial"/>
          <w:sz w:val="10"/>
          <w:szCs w:val="1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6"/>
      </w:tblGrid>
      <w:tr w:rsidR="00C605DA" w:rsidRPr="00D6340F" w14:paraId="5303BD24" w14:textId="77777777">
        <w:tc>
          <w:tcPr>
            <w:tcW w:w="6120" w:type="dxa"/>
            <w:tcBorders>
              <w:top w:val="double" w:sz="4" w:space="0" w:color="auto"/>
              <w:left w:val="double" w:sz="4" w:space="0" w:color="auto"/>
              <w:bottom w:val="double" w:sz="4" w:space="0" w:color="auto"/>
              <w:right w:val="double" w:sz="4" w:space="0" w:color="auto"/>
            </w:tcBorders>
          </w:tcPr>
          <w:p w14:paraId="4BB3E996" w14:textId="77777777" w:rsidR="00C605DA" w:rsidRPr="00D6340F" w:rsidRDefault="00C605DA" w:rsidP="00C605DA">
            <w:pPr>
              <w:pStyle w:val="BlockText"/>
              <w:rPr>
                <w:lang w:val="en-GB"/>
              </w:rPr>
            </w:pPr>
            <w:r w:rsidRPr="00D6340F">
              <w:rPr>
                <w:lang w:val="en-GB"/>
              </w:rPr>
              <w:t xml:space="preserve">If hypoglycaemia was caused by a </w:t>
            </w:r>
            <w:proofErr w:type="spellStart"/>
            <w:r w:rsidRPr="00D6340F">
              <w:rPr>
                <w:lang w:val="en-GB"/>
              </w:rPr>
              <w:t>sulphonylurea</w:t>
            </w:r>
            <w:proofErr w:type="spellEnd"/>
            <w:r w:rsidRPr="00D6340F">
              <w:rPr>
                <w:lang w:val="en-GB"/>
              </w:rPr>
              <w:t>, the patient will require hospitalisation and a prolonged</w:t>
            </w:r>
            <w:r w:rsidR="00E066CB">
              <w:rPr>
                <w:lang w:val="en-GB"/>
              </w:rPr>
              <w:t xml:space="preserve"> </w:t>
            </w:r>
            <w:r w:rsidRPr="00D6340F">
              <w:rPr>
                <w:lang w:val="en-GB"/>
              </w:rPr>
              <w:t>intravenous glucose infusion.</w:t>
            </w:r>
          </w:p>
          <w:p w14:paraId="50150F96" w14:textId="77777777" w:rsidR="00C605DA" w:rsidRPr="00D6340F" w:rsidRDefault="00C605DA" w:rsidP="00C605DA">
            <w:pPr>
              <w:pStyle w:val="BlockText"/>
              <w:rPr>
                <w:lang w:val="en-GB"/>
              </w:rPr>
            </w:pPr>
            <w:r w:rsidRPr="00D6340F">
              <w:rPr>
                <w:lang w:val="en-GB"/>
              </w:rPr>
              <w:t>Observe patient for at least 12 hours after glucose infusion has stopped.</w:t>
            </w:r>
          </w:p>
        </w:tc>
      </w:tr>
    </w:tbl>
    <w:p w14:paraId="517BEB23" w14:textId="77777777" w:rsidR="00C605DA" w:rsidRPr="00D6340F" w:rsidRDefault="00C605DA" w:rsidP="00C605DA">
      <w:pPr>
        <w:rPr>
          <w:rFonts w:cs="Arial"/>
          <w:sz w:val="16"/>
          <w:szCs w:val="16"/>
          <w:lang w:val="en-GB"/>
        </w:rPr>
      </w:pPr>
    </w:p>
    <w:p w14:paraId="19F88E7C" w14:textId="77777777" w:rsidR="00C605DA" w:rsidRPr="00D6340F" w:rsidRDefault="00C605DA" w:rsidP="00C605DA">
      <w:pPr>
        <w:pStyle w:val="Heading6"/>
        <w:rPr>
          <w:rFonts w:cs="Arial"/>
        </w:rPr>
      </w:pPr>
      <w:r w:rsidRPr="00D6340F">
        <w:rPr>
          <w:rFonts w:cs="Arial"/>
        </w:rPr>
        <w:t>Recurrent hypoglycaemia</w:t>
      </w:r>
    </w:p>
    <w:p w14:paraId="6F7EECAE" w14:textId="77777777" w:rsidR="00C605DA" w:rsidRPr="00D6340F" w:rsidRDefault="00C605DA" w:rsidP="00C605DA">
      <w:pPr>
        <w:rPr>
          <w:rFonts w:cs="Arial"/>
          <w:lang w:val="en-GB"/>
        </w:rPr>
      </w:pPr>
      <w:r w:rsidRPr="00D6340F">
        <w:rPr>
          <w:rFonts w:cs="Arial"/>
          <w:lang w:val="en-GB"/>
        </w:rPr>
        <w:t>In cases of</w:t>
      </w:r>
      <w:r w:rsidR="006776A0" w:rsidRPr="00D6340F">
        <w:rPr>
          <w:rFonts w:cs="Arial"/>
          <w:lang w:val="en-GB"/>
        </w:rPr>
        <w:t xml:space="preserve"> </w:t>
      </w:r>
      <w:r w:rsidRPr="00D6340F">
        <w:rPr>
          <w:rFonts w:cs="Arial"/>
          <w:lang w:val="en-GB"/>
        </w:rPr>
        <w:t>recurrent hypoglycaemia consider:</w:t>
      </w:r>
    </w:p>
    <w:p w14:paraId="734AD3E8" w14:textId="77777777" w:rsidR="0036185F" w:rsidRPr="00D6340F" w:rsidRDefault="00C605DA" w:rsidP="007E4E67">
      <w:pPr>
        <w:pStyle w:val="ep0"/>
        <w:numPr>
          <w:ilvl w:val="0"/>
          <w:numId w:val="21"/>
        </w:numPr>
        <w:ind w:left="284" w:hanging="284"/>
        <w:rPr>
          <w:rFonts w:cs="Arial"/>
          <w:strike w:val="0"/>
          <w:spacing w:val="-4"/>
          <w:lang w:val="en-GB"/>
        </w:rPr>
      </w:pPr>
      <w:r w:rsidRPr="00D6340F">
        <w:rPr>
          <w:rFonts w:cs="Arial"/>
          <w:strike w:val="0"/>
          <w:spacing w:val="-4"/>
          <w:lang w:val="en-GB"/>
        </w:rPr>
        <w:t xml:space="preserve">inappropriate management, e.g. too much insulin or too high dose of </w:t>
      </w:r>
      <w:proofErr w:type="spellStart"/>
      <w:r w:rsidRPr="00D6340F">
        <w:rPr>
          <w:rFonts w:cs="Arial"/>
          <w:strike w:val="0"/>
          <w:spacing w:val="-4"/>
          <w:lang w:val="en-GB"/>
        </w:rPr>
        <w:t>sulp</w:t>
      </w:r>
      <w:r w:rsidR="002C47D1" w:rsidRPr="00D6340F">
        <w:rPr>
          <w:rFonts w:cs="Arial"/>
          <w:strike w:val="0"/>
          <w:spacing w:val="-4"/>
          <w:lang w:val="en-GB"/>
        </w:rPr>
        <w:t>h</w:t>
      </w:r>
      <w:r w:rsidRPr="00D6340F">
        <w:rPr>
          <w:rFonts w:cs="Arial"/>
          <w:strike w:val="0"/>
          <w:spacing w:val="-4"/>
          <w:lang w:val="en-GB"/>
        </w:rPr>
        <w:t>onylurea</w:t>
      </w:r>
      <w:proofErr w:type="spellEnd"/>
      <w:r w:rsidRPr="00D6340F">
        <w:rPr>
          <w:rFonts w:cs="Arial"/>
          <w:strike w:val="0"/>
          <w:spacing w:val="-4"/>
          <w:lang w:val="en-GB"/>
        </w:rPr>
        <w:t>,</w:t>
      </w:r>
    </w:p>
    <w:p w14:paraId="18B05F7F" w14:textId="1FDF10E3" w:rsidR="00A604C5" w:rsidRPr="00D6340F" w:rsidRDefault="00A604C5" w:rsidP="007E4E67">
      <w:pPr>
        <w:pStyle w:val="ep0"/>
        <w:numPr>
          <w:ilvl w:val="0"/>
          <w:numId w:val="21"/>
        </w:numPr>
        <w:ind w:left="284" w:hanging="284"/>
        <w:rPr>
          <w:rFonts w:cs="Arial"/>
          <w:strike w:val="0"/>
          <w:spacing w:val="-4"/>
          <w:lang w:val="en-GB"/>
        </w:rPr>
      </w:pPr>
      <w:r w:rsidRPr="00D6340F">
        <w:rPr>
          <w:rFonts w:cs="Arial"/>
          <w:strike w:val="0"/>
          <w:spacing w:val="-4"/>
          <w:lang w:val="en-GB"/>
        </w:rPr>
        <w:t>poor meal adherence</w:t>
      </w:r>
      <w:r w:rsidR="002240B9">
        <w:rPr>
          <w:rFonts w:cs="Arial"/>
          <w:strike w:val="0"/>
          <w:spacing w:val="-4"/>
          <w:lang w:val="en-GB"/>
        </w:rPr>
        <w:t>,</w:t>
      </w:r>
    </w:p>
    <w:p w14:paraId="414C5A7C" w14:textId="77777777" w:rsidR="0036185F" w:rsidRPr="00D6340F" w:rsidRDefault="00C605DA" w:rsidP="007E4E67">
      <w:pPr>
        <w:pStyle w:val="ep0"/>
        <w:numPr>
          <w:ilvl w:val="0"/>
          <w:numId w:val="21"/>
        </w:numPr>
        <w:ind w:left="284" w:hanging="284"/>
        <w:rPr>
          <w:rFonts w:cs="Arial"/>
          <w:strike w:val="0"/>
          <w:lang w:val="en-GB"/>
        </w:rPr>
      </w:pPr>
      <w:r w:rsidRPr="00D6340F">
        <w:rPr>
          <w:rFonts w:cs="Arial"/>
          <w:strike w:val="0"/>
          <w:lang w:val="en-GB"/>
        </w:rPr>
        <w:t>poor adherence,</w:t>
      </w:r>
    </w:p>
    <w:p w14:paraId="29382E99" w14:textId="77777777" w:rsidR="0036185F" w:rsidRPr="00D6340F" w:rsidRDefault="00C605DA" w:rsidP="007E4E67">
      <w:pPr>
        <w:pStyle w:val="ep0"/>
        <w:numPr>
          <w:ilvl w:val="0"/>
          <w:numId w:val="21"/>
        </w:numPr>
        <w:ind w:left="284" w:hanging="284"/>
        <w:rPr>
          <w:rFonts w:cs="Arial"/>
          <w:strike w:val="0"/>
          <w:lang w:val="en-GB"/>
        </w:rPr>
      </w:pPr>
      <w:r w:rsidRPr="00D6340F">
        <w:rPr>
          <w:rFonts w:cs="Arial"/>
          <w:strike w:val="0"/>
          <w:lang w:val="en-GB"/>
        </w:rPr>
        <w:t>alcohol abuse,</w:t>
      </w:r>
    </w:p>
    <w:p w14:paraId="6B607E78" w14:textId="16F8B1D3" w:rsidR="00CE54A8" w:rsidRPr="00D6340F" w:rsidRDefault="00C5411A" w:rsidP="007E4E67">
      <w:pPr>
        <w:pStyle w:val="ep0"/>
        <w:numPr>
          <w:ilvl w:val="0"/>
          <w:numId w:val="21"/>
        </w:numPr>
        <w:ind w:left="284" w:hanging="284"/>
        <w:rPr>
          <w:rFonts w:cs="Arial"/>
          <w:strike w:val="0"/>
          <w:lang w:val="en-GB"/>
        </w:rPr>
      </w:pPr>
      <w:r w:rsidRPr="00D6340F">
        <w:rPr>
          <w:rFonts w:cs="Arial"/>
          <w:strike w:val="0"/>
          <w:lang w:val="en-GB"/>
        </w:rPr>
        <w:t xml:space="preserve">physical </w:t>
      </w:r>
      <w:r w:rsidR="008A6842" w:rsidRPr="00D6340F">
        <w:rPr>
          <w:rFonts w:cs="Arial"/>
          <w:strike w:val="0"/>
          <w:lang w:val="en-GB"/>
        </w:rPr>
        <w:t>exercise</w:t>
      </w:r>
      <w:r w:rsidR="002240B9">
        <w:rPr>
          <w:rFonts w:cs="Arial"/>
          <w:strike w:val="0"/>
          <w:lang w:val="en-GB"/>
        </w:rPr>
        <w:t>,</w:t>
      </w:r>
    </w:p>
    <w:p w14:paraId="6FE0A818" w14:textId="77777777" w:rsidR="0036185F" w:rsidRPr="00D6340F" w:rsidRDefault="00C605DA" w:rsidP="007E4E67">
      <w:pPr>
        <w:pStyle w:val="ep0"/>
        <w:numPr>
          <w:ilvl w:val="0"/>
          <w:numId w:val="21"/>
        </w:numPr>
        <w:ind w:left="284" w:hanging="284"/>
        <w:rPr>
          <w:rFonts w:cs="Arial"/>
          <w:strike w:val="0"/>
          <w:lang w:val="en-GB"/>
        </w:rPr>
      </w:pPr>
      <w:r w:rsidRPr="00D6340F">
        <w:rPr>
          <w:rFonts w:cs="Arial"/>
          <w:strike w:val="0"/>
          <w:lang w:val="en-GB"/>
        </w:rPr>
        <w:t>factitious administration of insulin,</w:t>
      </w:r>
    </w:p>
    <w:p w14:paraId="189D8D25" w14:textId="77777777" w:rsidR="0036185F" w:rsidRPr="00D6340F" w:rsidRDefault="00C605DA" w:rsidP="007E4E67">
      <w:pPr>
        <w:pStyle w:val="ep0"/>
        <w:numPr>
          <w:ilvl w:val="0"/>
          <w:numId w:val="21"/>
        </w:numPr>
        <w:ind w:left="284" w:hanging="284"/>
        <w:rPr>
          <w:rFonts w:cs="Arial"/>
          <w:strike w:val="0"/>
          <w:lang w:val="en-GB"/>
        </w:rPr>
      </w:pPr>
      <w:r w:rsidRPr="00D6340F">
        <w:rPr>
          <w:rFonts w:cs="Arial"/>
          <w:strike w:val="0"/>
          <w:lang w:val="en-GB"/>
        </w:rPr>
        <w:t>the “honeymoon” period of type 1 diabetes,</w:t>
      </w:r>
    </w:p>
    <w:p w14:paraId="6F3C719F" w14:textId="77777777" w:rsidR="0036185F" w:rsidRPr="00D6340F" w:rsidRDefault="00C605DA" w:rsidP="007E4E67">
      <w:pPr>
        <w:pStyle w:val="ep0"/>
        <w:numPr>
          <w:ilvl w:val="0"/>
          <w:numId w:val="21"/>
        </w:numPr>
        <w:ind w:left="284" w:hanging="284"/>
        <w:rPr>
          <w:rFonts w:cs="Arial"/>
          <w:strike w:val="0"/>
          <w:lang w:val="en-GB"/>
        </w:rPr>
      </w:pPr>
      <w:r w:rsidRPr="00D6340F">
        <w:rPr>
          <w:rFonts w:cs="Arial"/>
          <w:strike w:val="0"/>
          <w:lang w:val="en-GB"/>
        </w:rPr>
        <w:t>the advent of renal failure,</w:t>
      </w:r>
    </w:p>
    <w:p w14:paraId="7CDFCEE7" w14:textId="77777777" w:rsidR="0036185F" w:rsidRPr="00D6340F" w:rsidRDefault="00C605DA" w:rsidP="007E4E67">
      <w:pPr>
        <w:pStyle w:val="ep0"/>
        <w:numPr>
          <w:ilvl w:val="0"/>
          <w:numId w:val="21"/>
        </w:numPr>
        <w:ind w:left="284" w:hanging="284"/>
        <w:rPr>
          <w:rFonts w:cs="Arial"/>
          <w:strike w:val="0"/>
          <w:lang w:val="en-GB"/>
        </w:rPr>
      </w:pPr>
      <w:r w:rsidRPr="00D6340F">
        <w:rPr>
          <w:rFonts w:cs="Arial"/>
          <w:strike w:val="0"/>
          <w:lang w:val="en-GB"/>
        </w:rPr>
        <w:t>hypoglycaemic unawareness, or</w:t>
      </w:r>
    </w:p>
    <w:p w14:paraId="311174B9" w14:textId="77777777" w:rsidR="0036185F" w:rsidRPr="00D6340F" w:rsidRDefault="00C605DA" w:rsidP="007E4E67">
      <w:pPr>
        <w:pStyle w:val="Styleep0Black"/>
        <w:numPr>
          <w:ilvl w:val="0"/>
          <w:numId w:val="21"/>
        </w:numPr>
        <w:ind w:left="284" w:hanging="284"/>
        <w:rPr>
          <w:rFonts w:cs="Arial"/>
          <w:strike w:val="0"/>
          <w:lang w:val="en-GB"/>
        </w:rPr>
      </w:pPr>
      <w:r w:rsidRPr="00D6340F">
        <w:rPr>
          <w:rFonts w:cs="Arial"/>
          <w:strike w:val="0"/>
          <w:lang w:val="en-GB"/>
        </w:rPr>
        <w:t>pancreatic diabetes/malabsorption.</w:t>
      </w:r>
    </w:p>
    <w:p w14:paraId="05B799FA" w14:textId="77777777" w:rsidR="00C605DA" w:rsidRPr="00D6340F" w:rsidRDefault="00C605DA" w:rsidP="00C605DA">
      <w:pPr>
        <w:rPr>
          <w:rFonts w:cs="Arial"/>
          <w:sz w:val="10"/>
          <w:szCs w:val="10"/>
          <w:lang w:val="en-GB"/>
        </w:rPr>
      </w:pPr>
    </w:p>
    <w:p w14:paraId="6F9ACB35" w14:textId="77777777" w:rsidR="00C605DA" w:rsidRPr="00D6340F" w:rsidRDefault="00C605DA" w:rsidP="00C605DA">
      <w:pPr>
        <w:rPr>
          <w:rFonts w:cs="Arial"/>
          <w:spacing w:val="-2"/>
          <w:lang w:val="en-GB"/>
        </w:rPr>
      </w:pPr>
      <w:r w:rsidRPr="00D6340F">
        <w:rPr>
          <w:rFonts w:cs="Arial"/>
          <w:spacing w:val="-2"/>
          <w:lang w:val="en-GB"/>
        </w:rPr>
        <w:t xml:space="preserve">Other causes of hypoglycaemia should also be considered e.g. associated Addison’s disease or hypopituitarism. </w:t>
      </w:r>
    </w:p>
    <w:p w14:paraId="2072A3B8" w14:textId="77777777" w:rsidR="00C605DA" w:rsidRPr="00D6340F" w:rsidRDefault="00C605DA" w:rsidP="00C605DA">
      <w:pPr>
        <w:rPr>
          <w:rFonts w:cs="Arial"/>
          <w:lang w:val="en-GB"/>
        </w:rPr>
      </w:pPr>
      <w:r w:rsidRPr="00D6340F">
        <w:rPr>
          <w:rFonts w:cs="Arial"/>
          <w:spacing w:val="-2"/>
          <w:lang w:val="en-GB"/>
        </w:rPr>
        <w:t xml:space="preserve">Recurrent hypoglycaemia may be the cause of hypoglycaemic unawareness, which </w:t>
      </w:r>
      <w:r w:rsidR="00AB2FEC" w:rsidRPr="00D6340F">
        <w:rPr>
          <w:rFonts w:cs="Arial"/>
          <w:color w:val="auto"/>
          <w:spacing w:val="-2"/>
          <w:lang w:val="en-GB"/>
        </w:rPr>
        <w:t>may occur</w:t>
      </w:r>
      <w:r w:rsidR="006776A0" w:rsidRPr="00D6340F">
        <w:rPr>
          <w:rFonts w:cs="Arial"/>
          <w:color w:val="auto"/>
          <w:spacing w:val="-2"/>
          <w:lang w:val="en-GB"/>
        </w:rPr>
        <w:t xml:space="preserve"> </w:t>
      </w:r>
      <w:r w:rsidRPr="00D6340F">
        <w:rPr>
          <w:rFonts w:cs="Arial"/>
          <w:spacing w:val="-2"/>
          <w:lang w:val="en-GB"/>
        </w:rPr>
        <w:t>in</w:t>
      </w:r>
      <w:r w:rsidR="006776A0" w:rsidRPr="00D6340F">
        <w:rPr>
          <w:rFonts w:cs="Arial"/>
          <w:spacing w:val="-2"/>
          <w:lang w:val="en-GB"/>
        </w:rPr>
        <w:t xml:space="preserve"> </w:t>
      </w:r>
      <w:r w:rsidR="00AB2FEC" w:rsidRPr="00D6340F">
        <w:rPr>
          <w:rFonts w:cs="Arial"/>
          <w:color w:val="auto"/>
          <w:spacing w:val="-2"/>
          <w:lang w:val="en-GB"/>
        </w:rPr>
        <w:t>patients with</w:t>
      </w:r>
      <w:r w:rsidR="006776A0" w:rsidRPr="00D6340F">
        <w:rPr>
          <w:rFonts w:cs="Arial"/>
          <w:color w:val="auto"/>
          <w:spacing w:val="-2"/>
          <w:lang w:val="en-GB"/>
        </w:rPr>
        <w:t xml:space="preserve"> </w:t>
      </w:r>
      <w:r w:rsidRPr="00D6340F">
        <w:rPr>
          <w:rFonts w:cs="Arial"/>
          <w:spacing w:val="-2"/>
          <w:lang w:val="en-GB"/>
        </w:rPr>
        <w:t xml:space="preserve">type 1 </w:t>
      </w:r>
      <w:r w:rsidR="00AB2FEC" w:rsidRPr="00D6340F">
        <w:rPr>
          <w:rFonts w:cs="Arial"/>
          <w:color w:val="auto"/>
          <w:spacing w:val="-2"/>
          <w:lang w:val="en-GB"/>
        </w:rPr>
        <w:t>diabetes</w:t>
      </w:r>
      <w:r w:rsidR="00CC3F7B" w:rsidRPr="00D6340F">
        <w:rPr>
          <w:rFonts w:cs="Arial"/>
          <w:color w:val="auto"/>
          <w:spacing w:val="-2"/>
          <w:lang w:val="en-GB"/>
        </w:rPr>
        <w:t>.</w:t>
      </w:r>
      <w:r w:rsidR="006776A0" w:rsidRPr="00D6340F">
        <w:rPr>
          <w:rFonts w:cs="Arial"/>
          <w:color w:val="auto"/>
          <w:spacing w:val="-2"/>
          <w:lang w:val="en-GB"/>
        </w:rPr>
        <w:t xml:space="preserve"> </w:t>
      </w:r>
      <w:r w:rsidRPr="00D6340F">
        <w:rPr>
          <w:rFonts w:cs="Arial"/>
          <w:spacing w:val="-2"/>
          <w:lang w:val="en-GB"/>
        </w:rPr>
        <w:t>The loss of warning symptoms can lead to severe hypoglycaemia. In some cases</w:t>
      </w:r>
      <w:r w:rsidR="00C876E4" w:rsidRPr="00D6340F">
        <w:rPr>
          <w:rFonts w:cs="Arial"/>
          <w:spacing w:val="-2"/>
          <w:lang w:val="en-GB"/>
        </w:rPr>
        <w:t>,</w:t>
      </w:r>
      <w:r w:rsidRPr="00D6340F">
        <w:rPr>
          <w:rFonts w:cs="Arial"/>
          <w:spacing w:val="-2"/>
          <w:lang w:val="en-GB"/>
        </w:rPr>
        <w:t xml:space="preserve"> this situation can be restored to normal with avoidance of any hypoglycaemia for at least 2–4 weeks</w:t>
      </w:r>
      <w:r w:rsidRPr="00D6340F">
        <w:rPr>
          <w:rFonts w:cs="Arial"/>
          <w:lang w:val="en-GB"/>
        </w:rPr>
        <w:t>.</w:t>
      </w:r>
    </w:p>
    <w:p w14:paraId="68FFA03C" w14:textId="6FF1F124" w:rsidR="002E6931" w:rsidRDefault="002E6931" w:rsidP="00C605DA">
      <w:pPr>
        <w:rPr>
          <w:rFonts w:cs="Arial"/>
          <w:lang w:val="en-GB"/>
        </w:rPr>
      </w:pPr>
    </w:p>
    <w:p w14:paraId="2FBCF341" w14:textId="3C0F9389" w:rsidR="00C77771" w:rsidRDefault="00C77771" w:rsidP="00C605DA">
      <w:pPr>
        <w:rPr>
          <w:rFonts w:cs="Arial"/>
          <w:lang w:val="en-GB"/>
        </w:rPr>
      </w:pPr>
    </w:p>
    <w:p w14:paraId="3C9BB4FA" w14:textId="49DB3BC5" w:rsidR="00C77771" w:rsidRDefault="00C77771" w:rsidP="00C605DA">
      <w:pPr>
        <w:rPr>
          <w:rFonts w:cs="Arial"/>
          <w:lang w:val="en-GB"/>
        </w:rPr>
      </w:pPr>
    </w:p>
    <w:p w14:paraId="7A90DEBD" w14:textId="77777777" w:rsidR="00C77771" w:rsidRDefault="00C77771" w:rsidP="00C605DA">
      <w:pPr>
        <w:rPr>
          <w:rFonts w:cs="Arial"/>
          <w:lang w:val="en-GB"/>
        </w:rPr>
      </w:pPr>
    </w:p>
    <w:p w14:paraId="7BCCFC51" w14:textId="77777777" w:rsidR="00C605DA" w:rsidRPr="00D6340F" w:rsidRDefault="00C605DA" w:rsidP="00110944">
      <w:pPr>
        <w:pStyle w:val="Heading2"/>
      </w:pPr>
      <w:r w:rsidRPr="00D6340F">
        <w:lastRenderedPageBreak/>
        <w:t xml:space="preserve">8.6.2 </w:t>
      </w:r>
      <w:r w:rsidR="00747AD8">
        <w:tab/>
      </w:r>
      <w:r w:rsidRPr="00FC7787">
        <w:t xml:space="preserve">Diabetic Ketoacidosis (DKA) And Hyperosmolar </w:t>
      </w:r>
      <w:r w:rsidR="002A48B4" w:rsidRPr="00FC7787">
        <w:t>HYPERGLYCAEMIC STATE (hhs)</w:t>
      </w:r>
    </w:p>
    <w:p w14:paraId="01F8AD3C" w14:textId="77777777" w:rsidR="00C605DA" w:rsidRPr="00D6340F" w:rsidRDefault="00C605DA" w:rsidP="00C02921">
      <w:pPr>
        <w:pStyle w:val="Heading4"/>
      </w:pPr>
      <w:r w:rsidRPr="00D6340F">
        <w:t>e10.0</w:t>
      </w:r>
      <w:r w:rsidR="007A52FA">
        <w:t>-1/E11.0-1/E12.0-1/E13.0-1/E14.0-1</w:t>
      </w:r>
    </w:p>
    <w:p w14:paraId="3C1A8960" w14:textId="77777777" w:rsidR="00C605DA" w:rsidRPr="00D6340F" w:rsidRDefault="00C605DA" w:rsidP="00C605DA">
      <w:pPr>
        <w:rPr>
          <w:rFonts w:cs="Arial"/>
          <w:sz w:val="16"/>
          <w:lang w:val="en-GB"/>
        </w:rPr>
      </w:pPr>
    </w:p>
    <w:p w14:paraId="6114F2A7" w14:textId="77777777" w:rsidR="00C605DA" w:rsidRPr="00D6340F" w:rsidRDefault="00C605DA" w:rsidP="00C605DA">
      <w:pPr>
        <w:pStyle w:val="Heading6"/>
        <w:rPr>
          <w:rFonts w:cs="Arial"/>
        </w:rPr>
      </w:pPr>
      <w:r w:rsidRPr="00D6340F">
        <w:rPr>
          <w:rFonts w:cs="Arial"/>
        </w:rPr>
        <w:t>Diabetic comas – recognition and clinical profiles</w:t>
      </w:r>
    </w:p>
    <w:p w14:paraId="7BADEC25" w14:textId="77777777" w:rsidR="00C605DA" w:rsidRPr="00D6340F" w:rsidRDefault="00C605DA" w:rsidP="00C605DA">
      <w:pPr>
        <w:rPr>
          <w:rFonts w:cs="Arial"/>
          <w:lang w:val="en-GB"/>
        </w:rPr>
      </w:pPr>
      <w:r w:rsidRPr="00D6340F">
        <w:rPr>
          <w:rFonts w:cs="Arial"/>
          <w:lang w:val="en-GB"/>
        </w:rPr>
        <w:t xml:space="preserve">DKA often occurs in younger patients and develops over hours to days. There may be vomiting, abdominal pain and acidotic breathing. </w:t>
      </w:r>
    </w:p>
    <w:p w14:paraId="5A4954D4" w14:textId="77777777" w:rsidR="0036185F" w:rsidRPr="00D6340F" w:rsidRDefault="00C605DA" w:rsidP="007E4E67">
      <w:pPr>
        <w:pStyle w:val="ep0"/>
        <w:numPr>
          <w:ilvl w:val="0"/>
          <w:numId w:val="22"/>
        </w:numPr>
        <w:ind w:left="284" w:hanging="284"/>
        <w:rPr>
          <w:rFonts w:cs="Arial"/>
          <w:strike w:val="0"/>
          <w:lang w:val="en-GB"/>
        </w:rPr>
      </w:pPr>
      <w:r w:rsidRPr="00D6340F">
        <w:rPr>
          <w:rFonts w:cs="Arial"/>
          <w:strike w:val="0"/>
          <w:lang w:val="en-GB"/>
        </w:rPr>
        <w:t>blood glucose usually &lt;40 mmol/L</w:t>
      </w:r>
    </w:p>
    <w:p w14:paraId="4A483FED" w14:textId="77777777" w:rsidR="0036185F" w:rsidRPr="00D6340F" w:rsidRDefault="00C605DA" w:rsidP="007E4E67">
      <w:pPr>
        <w:pStyle w:val="ep0"/>
        <w:numPr>
          <w:ilvl w:val="0"/>
          <w:numId w:val="22"/>
        </w:numPr>
        <w:ind w:left="284" w:hanging="284"/>
        <w:rPr>
          <w:rFonts w:cs="Arial"/>
          <w:strike w:val="0"/>
          <w:lang w:val="en-GB"/>
        </w:rPr>
      </w:pPr>
      <w:r w:rsidRPr="00D6340F">
        <w:rPr>
          <w:rFonts w:cs="Arial"/>
          <w:strike w:val="0"/>
          <w:lang w:val="en-GB"/>
        </w:rPr>
        <w:t>blood ketones are positive</w:t>
      </w:r>
    </w:p>
    <w:p w14:paraId="50C94B0D" w14:textId="77777777" w:rsidR="0036185F" w:rsidRPr="00D6340F" w:rsidRDefault="00C605DA" w:rsidP="007E4E67">
      <w:pPr>
        <w:pStyle w:val="ep0"/>
        <w:numPr>
          <w:ilvl w:val="0"/>
          <w:numId w:val="22"/>
        </w:numPr>
        <w:ind w:left="284" w:hanging="284"/>
        <w:rPr>
          <w:rFonts w:cs="Arial"/>
          <w:strike w:val="0"/>
          <w:lang w:val="en-GB"/>
        </w:rPr>
      </w:pPr>
      <w:r w:rsidRPr="00D6340F">
        <w:rPr>
          <w:rFonts w:cs="Arial"/>
          <w:strike w:val="0"/>
          <w:lang w:val="en-GB"/>
        </w:rPr>
        <w:t xml:space="preserve">serum osmolality &lt;350 </w:t>
      </w:r>
      <w:proofErr w:type="spellStart"/>
      <w:r w:rsidRPr="00D6340F">
        <w:rPr>
          <w:rFonts w:cs="Arial"/>
          <w:strike w:val="0"/>
          <w:lang w:val="en-GB"/>
        </w:rPr>
        <w:t>mOsm</w:t>
      </w:r>
      <w:proofErr w:type="spellEnd"/>
      <w:r w:rsidRPr="00D6340F">
        <w:rPr>
          <w:rFonts w:cs="Arial"/>
          <w:strike w:val="0"/>
          <w:lang w:val="en-GB"/>
        </w:rPr>
        <w:t>/L</w:t>
      </w:r>
    </w:p>
    <w:p w14:paraId="55511766" w14:textId="77777777" w:rsidR="00C605DA" w:rsidRPr="00D6340F" w:rsidRDefault="00C605DA" w:rsidP="00C605DA">
      <w:pPr>
        <w:rPr>
          <w:rFonts w:cs="Arial"/>
          <w:sz w:val="10"/>
          <w:lang w:val="en-GB"/>
        </w:rPr>
      </w:pPr>
    </w:p>
    <w:p w14:paraId="22FB908E" w14:textId="77777777" w:rsidR="00C605DA" w:rsidRPr="00D6340F" w:rsidRDefault="00F04D41" w:rsidP="00C605DA">
      <w:pPr>
        <w:rPr>
          <w:rFonts w:cs="Arial"/>
          <w:lang w:val="en-GB"/>
        </w:rPr>
      </w:pPr>
      <w:r w:rsidRPr="00D6340F">
        <w:rPr>
          <w:rFonts w:cs="Arial"/>
          <w:lang w:val="en-GB"/>
        </w:rPr>
        <w:t>Hyperosmolar h</w:t>
      </w:r>
      <w:r w:rsidR="00C605DA" w:rsidRPr="00D6340F">
        <w:rPr>
          <w:rFonts w:cs="Arial"/>
          <w:lang w:val="en-GB"/>
        </w:rPr>
        <w:t xml:space="preserve">yperglycaemic state </w:t>
      </w:r>
      <w:r w:rsidR="00AB2FEC" w:rsidRPr="00D6340F">
        <w:rPr>
          <w:rFonts w:cs="Arial"/>
          <w:color w:val="auto"/>
          <w:lang w:val="en-GB"/>
        </w:rPr>
        <w:t>(HHS)</w:t>
      </w:r>
      <w:r w:rsidR="00E066CB">
        <w:rPr>
          <w:rFonts w:cs="Arial"/>
          <w:color w:val="auto"/>
          <w:lang w:val="en-GB"/>
        </w:rPr>
        <w:t xml:space="preserve"> </w:t>
      </w:r>
      <w:r w:rsidR="00C605DA" w:rsidRPr="00D6340F">
        <w:rPr>
          <w:rFonts w:cs="Arial"/>
          <w:lang w:val="en-GB"/>
        </w:rPr>
        <w:t xml:space="preserve">is a syndrome characterised by impaired consciousness, sometimes accompanied by seizures, extreme dehydration and severe hyperglycaemia, that is not accompanied by severe ketoacidosis (pH usually &gt;7.2). It usually occurs in elderly type 2 diabetic </w:t>
      </w:r>
      <w:r w:rsidR="003C4F94">
        <w:rPr>
          <w:rFonts w:cs="Arial"/>
          <w:lang w:val="en-GB"/>
        </w:rPr>
        <w:t xml:space="preserve">patients </w:t>
      </w:r>
      <w:r w:rsidR="00C605DA" w:rsidRPr="00D6340F">
        <w:rPr>
          <w:rFonts w:cs="Arial"/>
          <w:lang w:val="en-GB"/>
        </w:rPr>
        <w:t>and develops over days to weeks.</w:t>
      </w:r>
    </w:p>
    <w:p w14:paraId="27E54BAA" w14:textId="77777777" w:rsidR="0036185F" w:rsidRPr="00D6340F" w:rsidRDefault="00C605DA" w:rsidP="007E4E67">
      <w:pPr>
        <w:pStyle w:val="ep0"/>
        <w:numPr>
          <w:ilvl w:val="0"/>
          <w:numId w:val="22"/>
        </w:numPr>
        <w:ind w:left="284" w:hanging="284"/>
        <w:rPr>
          <w:rFonts w:cs="Arial"/>
          <w:strike w:val="0"/>
          <w:lang w:val="en-GB"/>
        </w:rPr>
      </w:pPr>
      <w:r w:rsidRPr="00D6340F">
        <w:rPr>
          <w:rFonts w:cs="Arial"/>
          <w:strike w:val="0"/>
          <w:lang w:val="en-GB"/>
        </w:rPr>
        <w:t>Blood glucose usually &gt;40 mmol/L.</w:t>
      </w:r>
    </w:p>
    <w:p w14:paraId="22947574" w14:textId="77777777" w:rsidR="0036185F" w:rsidRPr="00D6340F" w:rsidRDefault="00C605DA" w:rsidP="007E4E67">
      <w:pPr>
        <w:pStyle w:val="ep0"/>
        <w:numPr>
          <w:ilvl w:val="0"/>
          <w:numId w:val="22"/>
        </w:numPr>
        <w:ind w:left="284" w:hanging="284"/>
        <w:rPr>
          <w:rFonts w:cs="Arial"/>
          <w:strike w:val="0"/>
          <w:lang w:val="en-GB"/>
        </w:rPr>
      </w:pPr>
      <w:r w:rsidRPr="00D6340F">
        <w:rPr>
          <w:rFonts w:cs="Arial"/>
          <w:strike w:val="0"/>
          <w:lang w:val="en-GB"/>
        </w:rPr>
        <w:t>Blood ketones usually negative to moderately elevated.</w:t>
      </w:r>
    </w:p>
    <w:p w14:paraId="346A9B90" w14:textId="77777777" w:rsidR="0036185F" w:rsidRPr="00D6340F" w:rsidRDefault="00C605DA" w:rsidP="007E4E67">
      <w:pPr>
        <w:pStyle w:val="ep0"/>
        <w:numPr>
          <w:ilvl w:val="0"/>
          <w:numId w:val="22"/>
        </w:numPr>
        <w:ind w:left="284" w:hanging="284"/>
        <w:rPr>
          <w:rFonts w:cs="Arial"/>
          <w:strike w:val="0"/>
          <w:lang w:val="en-GB"/>
        </w:rPr>
      </w:pPr>
      <w:r w:rsidRPr="00D6340F">
        <w:rPr>
          <w:rFonts w:cs="Arial"/>
          <w:strike w:val="0"/>
          <w:lang w:val="en-GB"/>
        </w:rPr>
        <w:t xml:space="preserve">Urine ketones </w:t>
      </w:r>
      <w:r w:rsidR="00AB2FEC" w:rsidRPr="00D6340F">
        <w:rPr>
          <w:rFonts w:cs="Arial"/>
          <w:strike w:val="0"/>
          <w:lang w:val="en-GB"/>
        </w:rPr>
        <w:t>may be</w:t>
      </w:r>
      <w:r w:rsidR="006776A0" w:rsidRPr="00D6340F">
        <w:rPr>
          <w:rFonts w:cs="Arial"/>
          <w:strike w:val="0"/>
          <w:lang w:val="en-GB"/>
        </w:rPr>
        <w:t xml:space="preserve"> </w:t>
      </w:r>
      <w:r w:rsidRPr="00D6340F">
        <w:rPr>
          <w:rFonts w:cs="Arial"/>
          <w:strike w:val="0"/>
          <w:lang w:val="en-GB"/>
        </w:rPr>
        <w:t>positive.</w:t>
      </w:r>
    </w:p>
    <w:p w14:paraId="78DEB488" w14:textId="77777777" w:rsidR="0036185F" w:rsidRPr="00D6340F" w:rsidRDefault="00C605DA" w:rsidP="007E4E67">
      <w:pPr>
        <w:pStyle w:val="ep0"/>
        <w:numPr>
          <w:ilvl w:val="0"/>
          <w:numId w:val="22"/>
        </w:numPr>
        <w:ind w:left="284" w:hanging="284"/>
        <w:rPr>
          <w:rFonts w:cs="Arial"/>
          <w:strike w:val="0"/>
          <w:lang w:val="en-GB"/>
        </w:rPr>
      </w:pPr>
      <w:r w:rsidRPr="00D6340F">
        <w:rPr>
          <w:rFonts w:cs="Arial"/>
          <w:strike w:val="0"/>
          <w:lang w:val="en-GB"/>
        </w:rPr>
        <w:t xml:space="preserve">Serum osmolality is &gt;320 </w:t>
      </w:r>
      <w:proofErr w:type="spellStart"/>
      <w:r w:rsidRPr="00D6340F">
        <w:rPr>
          <w:rFonts w:cs="Arial"/>
          <w:strike w:val="0"/>
          <w:lang w:val="en-GB"/>
        </w:rPr>
        <w:t>mOsm</w:t>
      </w:r>
      <w:proofErr w:type="spellEnd"/>
      <w:r w:rsidRPr="00D6340F">
        <w:rPr>
          <w:rFonts w:cs="Arial"/>
          <w:strike w:val="0"/>
          <w:lang w:val="en-GB"/>
        </w:rPr>
        <w:t>/L.</w:t>
      </w:r>
    </w:p>
    <w:p w14:paraId="12C0C1B7" w14:textId="77777777" w:rsidR="00C605DA" w:rsidRPr="00D6340F" w:rsidRDefault="00C605DA" w:rsidP="00C605DA">
      <w:pPr>
        <w:rPr>
          <w:rFonts w:cs="Arial"/>
          <w:sz w:val="10"/>
          <w:szCs w:val="10"/>
          <w:lang w:val="en-GB"/>
        </w:rPr>
      </w:pPr>
    </w:p>
    <w:p w14:paraId="07D44A26" w14:textId="20A2E046" w:rsidR="00C605DA" w:rsidRPr="00D6340F" w:rsidRDefault="00C605DA" w:rsidP="00C605DA">
      <w:pPr>
        <w:rPr>
          <w:rFonts w:cs="Arial"/>
          <w:lang w:val="en-GB"/>
        </w:rPr>
      </w:pPr>
      <w:r w:rsidRPr="00D6340F">
        <w:rPr>
          <w:rFonts w:cs="Arial"/>
          <w:lang w:val="en-GB"/>
        </w:rPr>
        <w:t>Anion gap = Na – (CI + HCO</w:t>
      </w:r>
      <w:r w:rsidRPr="00D6340F">
        <w:rPr>
          <w:rFonts w:cs="Arial"/>
          <w:vertAlign w:val="subscript"/>
          <w:lang w:val="en-GB"/>
        </w:rPr>
        <w:t>3</w:t>
      </w:r>
      <w:r w:rsidRPr="00D6340F">
        <w:rPr>
          <w:rFonts w:cs="Arial"/>
          <w:lang w:val="en-GB"/>
        </w:rPr>
        <w:t>) (Normal = ± 12: DKA &gt;20)</w:t>
      </w:r>
      <w:r w:rsidR="002240B9">
        <w:rPr>
          <w:rFonts w:cs="Arial"/>
          <w:lang w:val="en-GB"/>
        </w:rPr>
        <w:t>.</w:t>
      </w:r>
    </w:p>
    <w:p w14:paraId="762D3DE9" w14:textId="77777777" w:rsidR="00C605DA" w:rsidRPr="00D6340F" w:rsidRDefault="00C605DA" w:rsidP="00C605DA">
      <w:pPr>
        <w:rPr>
          <w:rFonts w:cs="Arial"/>
          <w:lang w:val="en-GB"/>
        </w:rPr>
      </w:pPr>
      <w:r w:rsidRPr="00D6340F">
        <w:rPr>
          <w:rFonts w:cs="Arial"/>
          <w:lang w:val="en-GB"/>
        </w:rPr>
        <w:t>Calculated serum osmolarity = 2 (Na + K) + glucose + urea</w:t>
      </w:r>
      <w:r w:rsidR="00C5411A" w:rsidRPr="00D6340F">
        <w:rPr>
          <w:rFonts w:cs="Arial"/>
          <w:lang w:val="en-GB"/>
        </w:rPr>
        <w:t>.</w:t>
      </w:r>
    </w:p>
    <w:p w14:paraId="40AD16FE" w14:textId="77777777" w:rsidR="00C605DA" w:rsidRPr="00D6340F" w:rsidRDefault="00C605DA" w:rsidP="00C605DA">
      <w:pPr>
        <w:rPr>
          <w:rFonts w:cs="Arial"/>
          <w:lang w:val="en-GB"/>
        </w:rPr>
      </w:pPr>
    </w:p>
    <w:p w14:paraId="4B57F826" w14:textId="77777777" w:rsidR="00C605DA" w:rsidRPr="00D6340F" w:rsidRDefault="00C605DA" w:rsidP="00C605DA">
      <w:pPr>
        <w:pStyle w:val="Heading5"/>
        <w:rPr>
          <w:rFonts w:cs="Arial"/>
          <w:lang w:val="en-GB"/>
        </w:rPr>
      </w:pPr>
      <w:r w:rsidRPr="00D6340F">
        <w:rPr>
          <w:rFonts w:cs="Arial"/>
          <w:lang w:val="en-GB"/>
        </w:rPr>
        <w:t>GENERAL MEASURES</w:t>
      </w:r>
    </w:p>
    <w:p w14:paraId="08D79689" w14:textId="77777777" w:rsidR="00C605DA" w:rsidRPr="00D6340F" w:rsidRDefault="00C605DA" w:rsidP="00C605DA">
      <w:pPr>
        <w:rPr>
          <w:rFonts w:cs="Arial"/>
          <w:lang w:val="en-GB"/>
        </w:rPr>
      </w:pPr>
      <w:r w:rsidRPr="00D6340F">
        <w:rPr>
          <w:rFonts w:cs="Arial"/>
          <w:lang w:val="en-GB"/>
        </w:rPr>
        <w:t>All patients:</w:t>
      </w:r>
    </w:p>
    <w:p w14:paraId="51B6B93F" w14:textId="77777777" w:rsidR="0036185F" w:rsidRPr="00D6340F" w:rsidRDefault="00C605DA" w:rsidP="007E4E67">
      <w:pPr>
        <w:numPr>
          <w:ilvl w:val="0"/>
          <w:numId w:val="23"/>
        </w:numPr>
        <w:ind w:left="284" w:hanging="284"/>
        <w:rPr>
          <w:rFonts w:cs="Arial"/>
          <w:lang w:val="en-GB"/>
        </w:rPr>
      </w:pPr>
      <w:r w:rsidRPr="00D6340F">
        <w:rPr>
          <w:rFonts w:cs="Arial"/>
          <w:lang w:val="en-GB"/>
        </w:rPr>
        <w:t>Set up an intravenous line.</w:t>
      </w:r>
    </w:p>
    <w:p w14:paraId="69ED778E" w14:textId="77777777" w:rsidR="0036185F" w:rsidRPr="00D6340F" w:rsidRDefault="00C605DA" w:rsidP="007E4E67">
      <w:pPr>
        <w:numPr>
          <w:ilvl w:val="0"/>
          <w:numId w:val="23"/>
        </w:numPr>
        <w:ind w:left="284" w:hanging="284"/>
        <w:rPr>
          <w:rFonts w:cs="Arial"/>
          <w:lang w:val="en-GB"/>
        </w:rPr>
      </w:pPr>
      <w:r w:rsidRPr="00D6340F">
        <w:rPr>
          <w:rFonts w:cs="Arial"/>
          <w:lang w:val="en-GB"/>
        </w:rPr>
        <w:t>Protect airway and insert a nasogastric tube, if unconscious.</w:t>
      </w:r>
    </w:p>
    <w:p w14:paraId="56108256" w14:textId="77777777" w:rsidR="0036185F" w:rsidRPr="00D6340F" w:rsidRDefault="00C605DA" w:rsidP="007E4E67">
      <w:pPr>
        <w:numPr>
          <w:ilvl w:val="0"/>
          <w:numId w:val="23"/>
        </w:numPr>
        <w:ind w:left="284" w:hanging="284"/>
        <w:rPr>
          <w:rFonts w:cs="Arial"/>
          <w:lang w:val="en-GB"/>
        </w:rPr>
      </w:pPr>
      <w:r w:rsidRPr="00D6340F">
        <w:rPr>
          <w:rFonts w:cs="Arial"/>
          <w:lang w:val="en-GB"/>
        </w:rPr>
        <w:t xml:space="preserve">Monitor urine output. </w:t>
      </w:r>
    </w:p>
    <w:p w14:paraId="526511D4" w14:textId="60190362" w:rsidR="0036185F" w:rsidRPr="002240B9" w:rsidRDefault="00C605DA" w:rsidP="007E4E67">
      <w:pPr>
        <w:numPr>
          <w:ilvl w:val="0"/>
          <w:numId w:val="23"/>
        </w:numPr>
        <w:ind w:left="284" w:hanging="284"/>
        <w:rPr>
          <w:rFonts w:cs="Arial"/>
          <w:spacing w:val="-2"/>
          <w:lang w:val="en-GB"/>
        </w:rPr>
      </w:pPr>
      <w:r w:rsidRPr="002240B9">
        <w:rPr>
          <w:rFonts w:cs="Arial"/>
          <w:spacing w:val="-2"/>
          <w:lang w:val="en-GB"/>
        </w:rPr>
        <w:t>Monitor plasma glucose, ketones, urine</w:t>
      </w:r>
      <w:r w:rsidR="00363760">
        <w:rPr>
          <w:rFonts w:cs="Arial"/>
          <w:spacing w:val="-2"/>
          <w:lang w:val="en-GB"/>
        </w:rPr>
        <w:t>,</w:t>
      </w:r>
      <w:r w:rsidRPr="002240B9">
        <w:rPr>
          <w:rFonts w:cs="Arial"/>
          <w:spacing w:val="-2"/>
          <w:lang w:val="en-GB"/>
        </w:rPr>
        <w:t xml:space="preserve"> electrolytes and venous blood gas. </w:t>
      </w:r>
    </w:p>
    <w:p w14:paraId="0A69E423" w14:textId="77777777" w:rsidR="0036185F" w:rsidRPr="00D6340F" w:rsidRDefault="00C605DA" w:rsidP="007E4E67">
      <w:pPr>
        <w:numPr>
          <w:ilvl w:val="0"/>
          <w:numId w:val="23"/>
        </w:numPr>
        <w:ind w:left="284" w:hanging="284"/>
        <w:rPr>
          <w:rFonts w:cs="Arial"/>
          <w:lang w:val="en-GB"/>
        </w:rPr>
      </w:pPr>
      <w:r w:rsidRPr="00D6340F">
        <w:rPr>
          <w:rFonts w:cs="Arial"/>
          <w:lang w:val="en-GB"/>
        </w:rPr>
        <w:t xml:space="preserve">Look for precipitating causes, e.g. infection </w:t>
      </w:r>
      <w:r w:rsidR="003C4F94">
        <w:rPr>
          <w:rFonts w:cs="Arial"/>
          <w:lang w:val="en-GB"/>
        </w:rPr>
        <w:t>or</w:t>
      </w:r>
      <w:r w:rsidRPr="00D6340F">
        <w:rPr>
          <w:rFonts w:cs="Arial"/>
          <w:lang w:val="en-GB"/>
        </w:rPr>
        <w:t xml:space="preserve"> MI.</w:t>
      </w:r>
    </w:p>
    <w:p w14:paraId="1B61B855" w14:textId="77777777" w:rsidR="00C605DA" w:rsidRPr="00D6340F" w:rsidRDefault="00C605DA" w:rsidP="00C605DA">
      <w:pPr>
        <w:rPr>
          <w:rFonts w:cs="Arial"/>
          <w:lang w:val="en-GB"/>
        </w:rPr>
      </w:pPr>
    </w:p>
    <w:p w14:paraId="0EE94F67" w14:textId="77777777" w:rsidR="00C605DA" w:rsidRPr="00D6340F" w:rsidRDefault="00C605DA" w:rsidP="00C605DA">
      <w:pPr>
        <w:rPr>
          <w:rFonts w:cs="Arial"/>
          <w:b/>
          <w:sz w:val="20"/>
          <w:szCs w:val="20"/>
          <w:lang w:val="en-GB"/>
        </w:rPr>
      </w:pPr>
      <w:r w:rsidRPr="00D6340F">
        <w:rPr>
          <w:rFonts w:cs="Arial"/>
          <w:b/>
          <w:sz w:val="20"/>
          <w:szCs w:val="20"/>
          <w:lang w:val="en-GB"/>
        </w:rPr>
        <w:t>MEDICINE TREATMENT</w:t>
      </w:r>
    </w:p>
    <w:p w14:paraId="2797D093" w14:textId="77777777" w:rsidR="00C605DA" w:rsidRPr="00D6340F" w:rsidRDefault="00C605DA" w:rsidP="00C605DA">
      <w:pPr>
        <w:pStyle w:val="Heading7"/>
        <w:rPr>
          <w:lang w:val="en-GB"/>
        </w:rPr>
      </w:pPr>
      <w:r w:rsidRPr="00D6340F">
        <w:rPr>
          <w:lang w:val="en-GB"/>
        </w:rPr>
        <w:t>Fluids</w:t>
      </w:r>
    </w:p>
    <w:p w14:paraId="06296D0D" w14:textId="77777777" w:rsidR="00C605DA" w:rsidRPr="00D6340F" w:rsidRDefault="00C605DA" w:rsidP="00C605DA">
      <w:pPr>
        <w:rPr>
          <w:rFonts w:cs="Arial"/>
          <w:lang w:val="en-GB"/>
        </w:rPr>
      </w:pPr>
      <w:r w:rsidRPr="00D6340F">
        <w:rPr>
          <w:rFonts w:cs="Arial"/>
          <w:lang w:val="en-GB"/>
        </w:rPr>
        <w:t>Average deficit 6 L, may be as much as 12 L.</w:t>
      </w:r>
    </w:p>
    <w:p w14:paraId="7E49306F" w14:textId="77777777" w:rsidR="00C605DA" w:rsidRPr="00D6340F" w:rsidRDefault="00C605DA" w:rsidP="00C605DA">
      <w:pPr>
        <w:rPr>
          <w:rFonts w:cs="Arial"/>
          <w:lang w:val="en-GB"/>
        </w:rPr>
      </w:pPr>
      <w:r w:rsidRPr="00D6340F">
        <w:rPr>
          <w:rFonts w:cs="Arial"/>
          <w:lang w:val="en-GB"/>
        </w:rPr>
        <w:t>If renal or cardiac disease is present, monitor with central venous pressure.</w:t>
      </w:r>
    </w:p>
    <w:p w14:paraId="58D412AD" w14:textId="77777777" w:rsidR="00C605DA" w:rsidRPr="00D6340F" w:rsidRDefault="00C605DA" w:rsidP="00C605DA">
      <w:pPr>
        <w:rPr>
          <w:rFonts w:cs="Arial"/>
          <w:lang w:val="en-GB"/>
        </w:rPr>
      </w:pPr>
      <w:r w:rsidRPr="00D6340F">
        <w:rPr>
          <w:rFonts w:cs="Arial"/>
          <w:lang w:val="en-GB"/>
        </w:rPr>
        <w:t>In the absence of renal or cardiac compromise:</w:t>
      </w:r>
    </w:p>
    <w:p w14:paraId="5ADD5688" w14:textId="77777777" w:rsidR="00C605DA" w:rsidRPr="00D6340F" w:rsidRDefault="00C605DA" w:rsidP="00706566">
      <w:pPr>
        <w:pStyle w:val="ep4"/>
        <w:tabs>
          <w:tab w:val="clear" w:pos="360"/>
          <w:tab w:val="num" w:pos="284"/>
        </w:tabs>
        <w:rPr>
          <w:lang w:val="en-GB"/>
        </w:rPr>
      </w:pPr>
      <w:r w:rsidRPr="00D6340F">
        <w:rPr>
          <w:lang w:val="en-GB"/>
        </w:rPr>
        <w:t>Sodium chloride 0.9%, IV, 15–20 mL/kg in the first hour.</w:t>
      </w:r>
    </w:p>
    <w:p w14:paraId="784D7785" w14:textId="1A44AB15" w:rsidR="0036185F" w:rsidRPr="00D6340F" w:rsidRDefault="00337E39" w:rsidP="007E4E67">
      <w:pPr>
        <w:pStyle w:val="Normal2"/>
        <w:numPr>
          <w:ilvl w:val="0"/>
          <w:numId w:val="24"/>
        </w:numPr>
        <w:ind w:left="567" w:hanging="283"/>
        <w:rPr>
          <w:spacing w:val="-4"/>
          <w:lang w:val="en-GB"/>
        </w:rPr>
      </w:pPr>
      <w:r w:rsidRPr="00D6340F">
        <w:rPr>
          <w:spacing w:val="-4"/>
          <w:lang w:val="en-GB"/>
        </w:rPr>
        <w:t>P</w:t>
      </w:r>
      <w:r w:rsidR="00C605DA" w:rsidRPr="00D6340F">
        <w:rPr>
          <w:spacing w:val="-4"/>
          <w:lang w:val="en-GB"/>
        </w:rPr>
        <w:t>atients &lt;20 years of age</w:t>
      </w:r>
      <w:r w:rsidRPr="00D6340F">
        <w:rPr>
          <w:spacing w:val="-4"/>
          <w:lang w:val="en-GB"/>
        </w:rPr>
        <w:t>:</w:t>
      </w:r>
      <w:r w:rsidR="00C605DA" w:rsidRPr="00D6340F">
        <w:rPr>
          <w:spacing w:val="-4"/>
          <w:lang w:val="en-GB"/>
        </w:rPr>
        <w:t xml:space="preserve"> initial volume</w:t>
      </w:r>
      <w:r w:rsidRPr="00D6340F">
        <w:rPr>
          <w:spacing w:val="-4"/>
          <w:lang w:val="en-GB"/>
        </w:rPr>
        <w:t xml:space="preserve"> of</w:t>
      </w:r>
      <w:r w:rsidR="00C605DA" w:rsidRPr="00D6340F">
        <w:rPr>
          <w:spacing w:val="-4"/>
          <w:lang w:val="en-GB"/>
        </w:rPr>
        <w:t xml:space="preserve"> 10–20 mL/kg in the </w:t>
      </w:r>
      <w:r w:rsidRPr="00D6340F">
        <w:rPr>
          <w:spacing w:val="-4"/>
          <w:lang w:val="en-GB"/>
        </w:rPr>
        <w:t>1</w:t>
      </w:r>
      <w:r w:rsidRPr="00D6340F">
        <w:rPr>
          <w:spacing w:val="-4"/>
          <w:vertAlign w:val="superscript"/>
          <w:lang w:val="en-GB"/>
        </w:rPr>
        <w:t>st</w:t>
      </w:r>
      <w:r w:rsidR="003C4F94">
        <w:rPr>
          <w:spacing w:val="-4"/>
          <w:vertAlign w:val="superscript"/>
          <w:lang w:val="en-GB"/>
        </w:rPr>
        <w:t xml:space="preserve"> </w:t>
      </w:r>
      <w:r w:rsidR="00C605DA" w:rsidRPr="00D6340F">
        <w:rPr>
          <w:spacing w:val="-4"/>
          <w:lang w:val="en-GB"/>
        </w:rPr>
        <w:t>hour.</w:t>
      </w:r>
    </w:p>
    <w:p w14:paraId="4EEF1A88" w14:textId="77777777" w:rsidR="0036185F" w:rsidRPr="00D6340F" w:rsidRDefault="00C605DA" w:rsidP="007E4E67">
      <w:pPr>
        <w:pStyle w:val="Normal2"/>
        <w:numPr>
          <w:ilvl w:val="0"/>
          <w:numId w:val="24"/>
        </w:numPr>
        <w:ind w:left="567" w:hanging="283"/>
        <w:rPr>
          <w:lang w:val="en-GB"/>
        </w:rPr>
      </w:pPr>
      <w:r w:rsidRPr="00D6340F">
        <w:rPr>
          <w:lang w:val="en-GB"/>
        </w:rPr>
        <w:t>Subsequent infusion rate varies from 5–15 mL/kg/hour depending on the clinical condition.</w:t>
      </w:r>
    </w:p>
    <w:p w14:paraId="45D9BEEE" w14:textId="77777777" w:rsidR="0036185F" w:rsidRPr="00D6340F" w:rsidRDefault="00C605DA" w:rsidP="007E4E67">
      <w:pPr>
        <w:numPr>
          <w:ilvl w:val="0"/>
          <w:numId w:val="24"/>
        </w:numPr>
        <w:ind w:left="567" w:hanging="283"/>
        <w:rPr>
          <w:rFonts w:cs="Arial"/>
          <w:lang w:val="en-GB"/>
        </w:rPr>
      </w:pPr>
      <w:r w:rsidRPr="00D6340F">
        <w:rPr>
          <w:rFonts w:cs="Arial"/>
          <w:lang w:val="en-GB"/>
        </w:rPr>
        <w:t>Correction of estimated deficits should take place over 24 hours.</w:t>
      </w:r>
    </w:p>
    <w:p w14:paraId="4D7E7D0A" w14:textId="77777777" w:rsidR="0036185F" w:rsidRPr="00D6340F" w:rsidRDefault="00C605DA" w:rsidP="007E4E67">
      <w:pPr>
        <w:pStyle w:val="Normal2"/>
        <w:numPr>
          <w:ilvl w:val="0"/>
          <w:numId w:val="24"/>
        </w:numPr>
        <w:ind w:left="567" w:hanging="283"/>
        <w:rPr>
          <w:lang w:val="en-GB"/>
        </w:rPr>
      </w:pPr>
      <w:r w:rsidRPr="00D6340F">
        <w:rPr>
          <w:lang w:val="en-GB"/>
        </w:rPr>
        <w:t xml:space="preserve">The volume infused in the first 4 hours should not exceed 50 mL/kg. </w:t>
      </w:r>
    </w:p>
    <w:p w14:paraId="088FB48A" w14:textId="77777777" w:rsidR="0036185F" w:rsidRPr="00D6340F" w:rsidRDefault="00C605DA" w:rsidP="007E4E67">
      <w:pPr>
        <w:pStyle w:val="Normal2"/>
        <w:numPr>
          <w:ilvl w:val="0"/>
          <w:numId w:val="24"/>
        </w:numPr>
        <w:ind w:left="567" w:hanging="283"/>
        <w:rPr>
          <w:lang w:val="en-GB"/>
        </w:rPr>
      </w:pPr>
      <w:r w:rsidRPr="00D6340F">
        <w:rPr>
          <w:lang w:val="en-GB"/>
        </w:rPr>
        <w:t>Fluid therapy thereafter is calculated to replace the estimated deficit in 48 hours, ± 5 mL/kg/hour.</w:t>
      </w:r>
    </w:p>
    <w:p w14:paraId="0C0DC5B0" w14:textId="77777777" w:rsidR="0036185F" w:rsidRPr="00D6340F" w:rsidRDefault="00C605DA" w:rsidP="007E4E67">
      <w:pPr>
        <w:pStyle w:val="Normal2"/>
        <w:numPr>
          <w:ilvl w:val="0"/>
          <w:numId w:val="24"/>
        </w:numPr>
        <w:ind w:left="567" w:hanging="283"/>
        <w:rPr>
          <w:lang w:val="en-GB"/>
        </w:rPr>
      </w:pPr>
      <w:r w:rsidRPr="00D6340F">
        <w:rPr>
          <w:lang w:val="en-GB"/>
        </w:rPr>
        <w:t xml:space="preserve">Reduction in serum osmolality should not exceed 3 </w:t>
      </w:r>
      <w:proofErr w:type="spellStart"/>
      <w:r w:rsidRPr="00D6340F">
        <w:rPr>
          <w:lang w:val="en-GB"/>
        </w:rPr>
        <w:t>mOsm</w:t>
      </w:r>
      <w:proofErr w:type="spellEnd"/>
      <w:r w:rsidRPr="00D6340F">
        <w:rPr>
          <w:lang w:val="en-GB"/>
        </w:rPr>
        <w:t>/kg/hour.</w:t>
      </w:r>
    </w:p>
    <w:tbl>
      <w:tblPr>
        <w:tblW w:w="0" w:type="auto"/>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6094"/>
      </w:tblGrid>
      <w:tr w:rsidR="00C605DA" w:rsidRPr="00D6340F" w14:paraId="07B447DB" w14:textId="77777777" w:rsidTr="00363760">
        <w:trPr>
          <w:jc w:val="center"/>
        </w:trPr>
        <w:tc>
          <w:tcPr>
            <w:tcW w:w="6149" w:type="dxa"/>
          </w:tcPr>
          <w:p w14:paraId="0765A338" w14:textId="77777777" w:rsidR="00C605DA" w:rsidRPr="00D6340F" w:rsidRDefault="00C605DA" w:rsidP="00706566">
            <w:pPr>
              <w:pStyle w:val="Normal2"/>
              <w:spacing w:before="120"/>
              <w:jc w:val="center"/>
              <w:rPr>
                <w:lang w:val="en-GB"/>
              </w:rPr>
            </w:pPr>
            <w:r w:rsidRPr="00D6340F">
              <w:rPr>
                <w:lang w:val="en-GB"/>
              </w:rPr>
              <w:lastRenderedPageBreak/>
              <w:t>Correct plasma sodium value for blood glucose.</w:t>
            </w:r>
          </w:p>
          <w:p w14:paraId="61334A3F" w14:textId="77777777" w:rsidR="00C605DA" w:rsidRPr="00D6340F" w:rsidRDefault="00C605DA" w:rsidP="00C605DA">
            <w:pPr>
              <w:pStyle w:val="Normal2"/>
              <w:spacing w:line="360" w:lineRule="auto"/>
              <w:jc w:val="center"/>
              <w:rPr>
                <w:lang w:val="en-GB"/>
              </w:rPr>
            </w:pPr>
            <w:r w:rsidRPr="00D6340F">
              <w:rPr>
                <w:lang w:val="en-GB"/>
              </w:rPr>
              <w:t>[Rough guide: divide glucose by 3 and add to sodium value.]</w:t>
            </w:r>
          </w:p>
        </w:tc>
      </w:tr>
    </w:tbl>
    <w:p w14:paraId="2A353E6E" w14:textId="77777777" w:rsidR="005F039D" w:rsidRPr="00D6340F" w:rsidRDefault="005F039D" w:rsidP="00C605DA">
      <w:pPr>
        <w:rPr>
          <w:rFonts w:cs="Arial"/>
          <w:sz w:val="10"/>
          <w:szCs w:val="10"/>
          <w:lang w:val="en-GB"/>
        </w:rPr>
      </w:pPr>
    </w:p>
    <w:p w14:paraId="57A8B955" w14:textId="77777777" w:rsidR="00C605DA" w:rsidRPr="00D6340F" w:rsidRDefault="00C605DA" w:rsidP="00C605DA">
      <w:pPr>
        <w:rPr>
          <w:rFonts w:cs="Arial"/>
          <w:u w:val="single"/>
          <w:lang w:val="en-GB"/>
        </w:rPr>
      </w:pPr>
      <w:r w:rsidRPr="00D6340F">
        <w:rPr>
          <w:rFonts w:cs="Arial"/>
          <w:u w:val="single"/>
          <w:lang w:val="en-GB"/>
        </w:rPr>
        <w:t>If plasma Na</w:t>
      </w:r>
      <w:r w:rsidRPr="00D6340F">
        <w:rPr>
          <w:rFonts w:cs="Arial"/>
          <w:u w:val="single"/>
          <w:vertAlign w:val="superscript"/>
          <w:lang w:val="en-GB"/>
        </w:rPr>
        <w:t>+</w:t>
      </w:r>
      <w:r w:rsidR="008454E9">
        <w:rPr>
          <w:rFonts w:cs="Arial"/>
          <w:u w:val="single"/>
          <w:vertAlign w:val="superscript"/>
          <w:lang w:val="en-GB"/>
        </w:rPr>
        <w:t xml:space="preserve"> </w:t>
      </w:r>
      <w:r w:rsidRPr="00D6340F">
        <w:rPr>
          <w:rFonts w:cs="Arial"/>
          <w:u w:val="single"/>
          <w:lang w:val="en-GB"/>
        </w:rPr>
        <w:t>&gt;140 mmol/L:</w:t>
      </w:r>
    </w:p>
    <w:p w14:paraId="7EDAD4A2" w14:textId="77777777" w:rsidR="00C605DA" w:rsidRPr="00D6340F" w:rsidRDefault="00C605DA" w:rsidP="00C605DA">
      <w:pPr>
        <w:pStyle w:val="ep4"/>
        <w:rPr>
          <w:lang w:val="en-GB"/>
        </w:rPr>
      </w:pPr>
      <w:r w:rsidRPr="00D6340F">
        <w:rPr>
          <w:lang w:val="en-GB"/>
        </w:rPr>
        <w:t>Sodium chloride 0.45%, IV.</w:t>
      </w:r>
    </w:p>
    <w:p w14:paraId="2C1C3421" w14:textId="77777777" w:rsidR="00C605DA" w:rsidRPr="00D6340F" w:rsidRDefault="00C605DA" w:rsidP="00C605DA">
      <w:pPr>
        <w:rPr>
          <w:rFonts w:cs="Arial"/>
          <w:sz w:val="10"/>
          <w:szCs w:val="10"/>
          <w:lang w:val="en-GB"/>
        </w:rPr>
      </w:pPr>
    </w:p>
    <w:p w14:paraId="51089168" w14:textId="77777777" w:rsidR="00C605DA" w:rsidRPr="00D6340F" w:rsidRDefault="00C605DA" w:rsidP="00C605DA">
      <w:pPr>
        <w:rPr>
          <w:rFonts w:cs="Arial"/>
          <w:u w:val="single"/>
          <w:lang w:val="en-GB"/>
        </w:rPr>
      </w:pPr>
      <w:r w:rsidRPr="00D6340F">
        <w:rPr>
          <w:rFonts w:cs="Arial"/>
          <w:u w:val="single"/>
          <w:lang w:val="en-GB"/>
        </w:rPr>
        <w:t>If plasma Na</w:t>
      </w:r>
      <w:r w:rsidRPr="00D6340F">
        <w:rPr>
          <w:rFonts w:cs="Arial"/>
          <w:u w:val="single"/>
          <w:vertAlign w:val="superscript"/>
          <w:lang w:val="en-GB"/>
        </w:rPr>
        <w:t>+</w:t>
      </w:r>
      <w:r w:rsidR="008454E9">
        <w:rPr>
          <w:rFonts w:cs="Arial"/>
          <w:u w:val="single"/>
          <w:vertAlign w:val="superscript"/>
          <w:lang w:val="en-GB"/>
        </w:rPr>
        <w:t xml:space="preserve"> </w:t>
      </w:r>
      <w:r w:rsidR="00470641" w:rsidRPr="00D6340F">
        <w:rPr>
          <w:rFonts w:cs="Arial"/>
          <w:u w:val="single"/>
          <w:lang w:val="en-GB"/>
        </w:rPr>
        <w:t>≤</w:t>
      </w:r>
      <w:r w:rsidRPr="00D6340F">
        <w:rPr>
          <w:rFonts w:cs="Arial"/>
          <w:u w:val="single"/>
          <w:lang w:val="en-GB"/>
        </w:rPr>
        <w:t>140 mmol/L:</w:t>
      </w:r>
    </w:p>
    <w:p w14:paraId="50BF1E31" w14:textId="77777777" w:rsidR="00C605DA" w:rsidRPr="00D6340F" w:rsidRDefault="00C605DA" w:rsidP="00C605DA">
      <w:pPr>
        <w:pStyle w:val="ep4"/>
        <w:rPr>
          <w:lang w:val="en-GB"/>
        </w:rPr>
      </w:pPr>
      <w:r w:rsidRPr="00D6340F">
        <w:rPr>
          <w:lang w:val="en-GB"/>
        </w:rPr>
        <w:t>Sodium chloride 0.9%, IV.</w:t>
      </w:r>
    </w:p>
    <w:p w14:paraId="4EF62EB8" w14:textId="77777777" w:rsidR="00E066CB" w:rsidRDefault="00E066CB" w:rsidP="00C605DA">
      <w:pPr>
        <w:rPr>
          <w:rFonts w:cs="Arial"/>
          <w:u w:val="single"/>
          <w:lang w:val="en-GB"/>
        </w:rPr>
      </w:pPr>
    </w:p>
    <w:p w14:paraId="556B186B" w14:textId="77777777" w:rsidR="00C605DA" w:rsidRPr="00D6340F" w:rsidRDefault="00C605DA" w:rsidP="00C605DA">
      <w:pPr>
        <w:rPr>
          <w:rFonts w:cs="Arial"/>
          <w:u w:val="single"/>
          <w:lang w:val="en-GB"/>
        </w:rPr>
      </w:pPr>
      <w:r w:rsidRPr="00D6340F">
        <w:rPr>
          <w:rFonts w:cs="Arial"/>
          <w:u w:val="single"/>
          <w:lang w:val="en-GB"/>
        </w:rPr>
        <w:t>If plasma glucose &lt;</w:t>
      </w:r>
      <w:r w:rsidR="008B6E4C" w:rsidRPr="00D6340F">
        <w:rPr>
          <w:rFonts w:cs="Arial"/>
          <w:u w:val="single"/>
          <w:lang w:val="en-GB"/>
        </w:rPr>
        <w:t xml:space="preserve">15 </w:t>
      </w:r>
      <w:r w:rsidRPr="00D6340F">
        <w:rPr>
          <w:rFonts w:cs="Arial"/>
          <w:u w:val="single"/>
          <w:lang w:val="en-GB"/>
        </w:rPr>
        <w:t>mmol/L, but ketones still present:</w:t>
      </w:r>
    </w:p>
    <w:p w14:paraId="089496F8" w14:textId="348DE883" w:rsidR="00C605DA" w:rsidRPr="00D6340F" w:rsidRDefault="00C605DA" w:rsidP="00C605DA">
      <w:pPr>
        <w:pStyle w:val="ep4"/>
        <w:rPr>
          <w:lang w:val="en-GB"/>
        </w:rPr>
      </w:pPr>
      <w:r w:rsidRPr="00D6340F">
        <w:rPr>
          <w:lang w:val="en-GB"/>
        </w:rPr>
        <w:t xml:space="preserve">Dextrose 5% </w:t>
      </w:r>
      <w:r w:rsidRPr="00D6340F">
        <w:rPr>
          <w:b/>
          <w:lang w:val="en-GB"/>
        </w:rPr>
        <w:t>or</w:t>
      </w:r>
      <w:r w:rsidRPr="00D6340F">
        <w:rPr>
          <w:lang w:val="en-GB"/>
        </w:rPr>
        <w:t xml:space="preserve"> dextrose </w:t>
      </w:r>
      <w:r w:rsidR="002D5B17">
        <w:rPr>
          <w:lang w:val="en-GB"/>
        </w:rPr>
        <w:t>10</w:t>
      </w:r>
      <w:r w:rsidRPr="00D6340F">
        <w:rPr>
          <w:lang w:val="en-GB"/>
        </w:rPr>
        <w:t>% in sodium chloride 0.9%, IV.</w:t>
      </w: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837A07" w:rsidRPr="00D6340F" w14:paraId="3AC3B53D" w14:textId="77777777" w:rsidTr="00FC265C">
        <w:tc>
          <w:tcPr>
            <w:tcW w:w="1134" w:type="dxa"/>
            <w:shd w:val="clear" w:color="auto" w:fill="auto"/>
          </w:tcPr>
          <w:p w14:paraId="47705041" w14:textId="77777777" w:rsidR="00837A07" w:rsidRPr="00D6340F" w:rsidRDefault="00837A07" w:rsidP="00FC265C">
            <w:pPr>
              <w:jc w:val="right"/>
              <w:rPr>
                <w:b/>
                <w:i/>
                <w:lang w:val="en-GB"/>
              </w:rPr>
            </w:pPr>
            <w:proofErr w:type="spellStart"/>
            <w:proofErr w:type="gramStart"/>
            <w:r w:rsidRPr="00D6340F">
              <w:rPr>
                <w:i/>
                <w:lang w:val="en-GB"/>
              </w:rPr>
              <w:t>LoE:III</w:t>
            </w:r>
            <w:proofErr w:type="spellEnd"/>
            <w:proofErr w:type="gramEnd"/>
            <w:r w:rsidRPr="00D6340F">
              <w:rPr>
                <w:rStyle w:val="EndnoteReference"/>
                <w:i/>
                <w:lang w:val="en-GB"/>
              </w:rPr>
              <w:endnoteReference w:id="23"/>
            </w:r>
          </w:p>
        </w:tc>
      </w:tr>
    </w:tbl>
    <w:p w14:paraId="010CC705" w14:textId="77777777" w:rsidR="00C605DA" w:rsidRPr="00D6340F" w:rsidRDefault="00C605DA" w:rsidP="00C605DA">
      <w:pPr>
        <w:rPr>
          <w:rFonts w:cs="Arial"/>
          <w:sz w:val="10"/>
          <w:lang w:val="en-GB"/>
        </w:rPr>
      </w:pPr>
    </w:p>
    <w:p w14:paraId="623BC6D5" w14:textId="77777777" w:rsidR="00C605DA" w:rsidRPr="00D6340F" w:rsidRDefault="00C605DA" w:rsidP="00C605DA">
      <w:pPr>
        <w:pStyle w:val="Heading7"/>
        <w:rPr>
          <w:lang w:val="en-GB"/>
        </w:rPr>
      </w:pPr>
      <w:r w:rsidRPr="00D6340F">
        <w:rPr>
          <w:lang w:val="en-GB"/>
        </w:rPr>
        <w:t>Note:</w:t>
      </w:r>
    </w:p>
    <w:p w14:paraId="2A47C62D" w14:textId="77777777" w:rsidR="00F55910" w:rsidRPr="00D6340F" w:rsidRDefault="00C605DA" w:rsidP="007E4E67">
      <w:pPr>
        <w:numPr>
          <w:ilvl w:val="0"/>
          <w:numId w:val="23"/>
        </w:numPr>
        <w:ind w:left="284" w:hanging="284"/>
        <w:rPr>
          <w:rFonts w:cs="Arial"/>
          <w:lang w:val="en-GB"/>
        </w:rPr>
      </w:pPr>
      <w:r w:rsidRPr="00D6340F">
        <w:rPr>
          <w:rFonts w:cs="Arial"/>
          <w:lang w:val="en-GB"/>
        </w:rPr>
        <w:t>Adjust fluid volumes according to clinical criteria.</w:t>
      </w:r>
    </w:p>
    <w:p w14:paraId="1E8A87C3" w14:textId="77777777" w:rsidR="00C605DA" w:rsidRPr="00D6340F" w:rsidRDefault="00C605DA" w:rsidP="007E4E67">
      <w:pPr>
        <w:numPr>
          <w:ilvl w:val="0"/>
          <w:numId w:val="23"/>
        </w:numPr>
        <w:ind w:left="284" w:hanging="284"/>
        <w:rPr>
          <w:rFonts w:cs="Arial"/>
          <w:lang w:val="en-GB"/>
        </w:rPr>
      </w:pPr>
      <w:r w:rsidRPr="00D6340F">
        <w:rPr>
          <w:rFonts w:cs="Arial"/>
          <w:lang w:val="en-GB"/>
        </w:rPr>
        <w:t xml:space="preserve">Cerebral oedema may occur with over-aggressive fluid replacement or rapid sodium change. </w:t>
      </w:r>
    </w:p>
    <w:p w14:paraId="43870E65" w14:textId="77777777" w:rsidR="00C605DA" w:rsidRPr="00D6340F" w:rsidRDefault="00C605DA" w:rsidP="00C605DA">
      <w:pPr>
        <w:rPr>
          <w:rFonts w:cs="Arial"/>
          <w:lang w:val="en-GB"/>
        </w:rPr>
      </w:pPr>
    </w:p>
    <w:p w14:paraId="2F400844" w14:textId="77777777" w:rsidR="00C605DA" w:rsidRPr="00D6340F" w:rsidRDefault="00C605DA" w:rsidP="00C605DA">
      <w:pPr>
        <w:pStyle w:val="Heading7"/>
        <w:rPr>
          <w:lang w:val="en-GB"/>
        </w:rPr>
      </w:pPr>
      <w:r w:rsidRPr="00D6340F">
        <w:rPr>
          <w:lang w:val="en-GB"/>
        </w:rPr>
        <w:t>Potassium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6"/>
      </w:tblGrid>
      <w:tr w:rsidR="00C605DA" w:rsidRPr="00D6340F" w14:paraId="3328EC7A" w14:textId="77777777">
        <w:tc>
          <w:tcPr>
            <w:tcW w:w="6120" w:type="dxa"/>
            <w:tcBorders>
              <w:top w:val="double" w:sz="4" w:space="0" w:color="auto"/>
              <w:left w:val="double" w:sz="4" w:space="0" w:color="auto"/>
              <w:bottom w:val="double" w:sz="4" w:space="0" w:color="auto"/>
              <w:right w:val="double" w:sz="4" w:space="0" w:color="auto"/>
            </w:tcBorders>
          </w:tcPr>
          <w:p w14:paraId="4689EECC" w14:textId="77777777" w:rsidR="00C605DA" w:rsidRPr="00D6340F" w:rsidRDefault="00C605DA" w:rsidP="00C605DA">
            <w:pPr>
              <w:pStyle w:val="BlockText"/>
              <w:rPr>
                <w:lang w:val="en-GB"/>
              </w:rPr>
            </w:pPr>
            <w:r w:rsidRPr="00D6340F">
              <w:rPr>
                <w:lang w:val="en-GB"/>
              </w:rPr>
              <w:t>Potassium will fall on insulin treatment and patients with DKA have potassium depletion even if initial potassium is normal or high.</w:t>
            </w:r>
          </w:p>
          <w:p w14:paraId="349AD6A3" w14:textId="77777777" w:rsidR="00C605DA" w:rsidRPr="00D6340F" w:rsidRDefault="00C605DA" w:rsidP="00C605DA">
            <w:pPr>
              <w:pStyle w:val="BlockText"/>
              <w:rPr>
                <w:lang w:val="en-GB"/>
              </w:rPr>
            </w:pPr>
            <w:r w:rsidRPr="00D6340F">
              <w:rPr>
                <w:lang w:val="en-GB"/>
              </w:rPr>
              <w:t xml:space="preserve">It is therefore essential to monitor and replace potassium. </w:t>
            </w:r>
          </w:p>
        </w:tc>
      </w:tr>
    </w:tbl>
    <w:p w14:paraId="4404E62D" w14:textId="77777777" w:rsidR="00C605DA" w:rsidRPr="00D6340F" w:rsidRDefault="00C605DA" w:rsidP="00C605DA">
      <w:pPr>
        <w:rPr>
          <w:rFonts w:cs="Arial"/>
          <w:sz w:val="16"/>
          <w:szCs w:val="16"/>
          <w:lang w:val="en-GB"/>
        </w:rPr>
      </w:pPr>
    </w:p>
    <w:p w14:paraId="0AFF2EBB" w14:textId="77777777" w:rsidR="00C605DA" w:rsidRPr="00D6340F" w:rsidRDefault="00C605DA" w:rsidP="00C605DA">
      <w:pPr>
        <w:rPr>
          <w:rFonts w:cs="Arial"/>
          <w:lang w:val="en-GB"/>
        </w:rPr>
      </w:pPr>
      <w:r w:rsidRPr="00D6340F">
        <w:rPr>
          <w:rFonts w:cs="Arial"/>
          <w:lang w:val="en-GB"/>
        </w:rPr>
        <w:t>Total body deficit 300–1 000 mmol.</w:t>
      </w:r>
    </w:p>
    <w:p w14:paraId="7AB0825D" w14:textId="77777777" w:rsidR="00C605DA" w:rsidRPr="00D6340F" w:rsidRDefault="00EF7740" w:rsidP="00C605DA">
      <w:pPr>
        <w:rPr>
          <w:rFonts w:cs="Arial"/>
          <w:b/>
          <w:lang w:val="en-GB"/>
        </w:rPr>
      </w:pPr>
      <w:r w:rsidRPr="00D6340F">
        <w:rPr>
          <w:rFonts w:cs="Arial"/>
          <w:b/>
          <w:lang w:val="en-GB"/>
        </w:rPr>
        <w:t>(1 ampoule = 20 mmol = 10 mL)</w:t>
      </w:r>
    </w:p>
    <w:p w14:paraId="60862018" w14:textId="77777777" w:rsidR="00C605DA" w:rsidRPr="00D6340F" w:rsidRDefault="00C605DA" w:rsidP="00C605DA">
      <w:pPr>
        <w:rPr>
          <w:rFonts w:cs="Arial"/>
          <w:sz w:val="16"/>
          <w:szCs w:val="16"/>
          <w:lang w:val="en-GB"/>
        </w:rPr>
      </w:pPr>
    </w:p>
    <w:p w14:paraId="148A31BB" w14:textId="77777777" w:rsidR="00C605DA" w:rsidRPr="00D6340F" w:rsidRDefault="00C605DA" w:rsidP="00C605DA">
      <w:pPr>
        <w:pStyle w:val="ep4"/>
        <w:rPr>
          <w:lang w:val="en-GB"/>
        </w:rPr>
      </w:pPr>
      <w:r w:rsidRPr="00D6340F">
        <w:rPr>
          <w:lang w:val="en-GB"/>
        </w:rPr>
        <w:t>Potassium chloride, IV, added to 1 L of fluid.</w:t>
      </w:r>
    </w:p>
    <w:p w14:paraId="14A293D3" w14:textId="542DD142" w:rsidR="0036185F" w:rsidRPr="00D6340F" w:rsidRDefault="00C605DA" w:rsidP="007E4E67">
      <w:pPr>
        <w:pStyle w:val="ep00"/>
        <w:numPr>
          <w:ilvl w:val="0"/>
          <w:numId w:val="25"/>
        </w:numPr>
        <w:tabs>
          <w:tab w:val="clear" w:pos="1004"/>
        </w:tabs>
        <w:ind w:left="567" w:hanging="283"/>
        <w:rPr>
          <w:rFonts w:cs="Arial"/>
          <w:strike w:val="0"/>
          <w:lang w:val="en-GB"/>
        </w:rPr>
      </w:pPr>
      <w:r w:rsidRPr="00D6340F">
        <w:rPr>
          <w:rFonts w:cs="Arial"/>
          <w:strike w:val="0"/>
          <w:lang w:val="en-GB"/>
        </w:rPr>
        <w:t xml:space="preserve">potassium &lt;3.5 mmol/L: </w:t>
      </w:r>
      <w:r w:rsidRPr="00D6340F">
        <w:rPr>
          <w:rFonts w:cs="Arial"/>
          <w:strike w:val="0"/>
          <w:lang w:val="en-GB"/>
        </w:rPr>
        <w:tab/>
      </w:r>
      <w:r w:rsidRPr="00D6340F">
        <w:rPr>
          <w:rFonts w:cs="Arial"/>
          <w:strike w:val="0"/>
          <w:lang w:val="en-GB"/>
        </w:rPr>
        <w:tab/>
        <w:t>add 40 mmol (2 ampoules)</w:t>
      </w:r>
      <w:r w:rsidR="002240B9">
        <w:rPr>
          <w:rFonts w:cs="Arial"/>
          <w:strike w:val="0"/>
          <w:lang w:val="en-GB"/>
        </w:rPr>
        <w:t>.</w:t>
      </w:r>
    </w:p>
    <w:p w14:paraId="3C0DC4AB" w14:textId="4F8774EE" w:rsidR="0036185F" w:rsidRPr="00D6340F" w:rsidRDefault="00C605DA" w:rsidP="007E4E67">
      <w:pPr>
        <w:pStyle w:val="ep00"/>
        <w:numPr>
          <w:ilvl w:val="0"/>
          <w:numId w:val="25"/>
        </w:numPr>
        <w:tabs>
          <w:tab w:val="clear" w:pos="1004"/>
        </w:tabs>
        <w:ind w:left="567" w:hanging="283"/>
        <w:rPr>
          <w:rFonts w:cs="Arial"/>
          <w:strike w:val="0"/>
          <w:lang w:val="en-GB"/>
        </w:rPr>
      </w:pPr>
      <w:r w:rsidRPr="00D6340F">
        <w:rPr>
          <w:rFonts w:cs="Arial"/>
          <w:strike w:val="0"/>
          <w:lang w:val="en-GB"/>
        </w:rPr>
        <w:t>potassium 3.5–5.5 mmol/L:</w:t>
      </w:r>
      <w:r w:rsidRPr="00D6340F">
        <w:rPr>
          <w:rFonts w:cs="Arial"/>
          <w:strike w:val="0"/>
          <w:lang w:val="en-GB"/>
        </w:rPr>
        <w:tab/>
      </w:r>
      <w:r w:rsidR="008454E9">
        <w:rPr>
          <w:rFonts w:cs="Arial"/>
          <w:strike w:val="0"/>
          <w:lang w:val="en-GB"/>
        </w:rPr>
        <w:tab/>
      </w:r>
      <w:r w:rsidRPr="00D6340F">
        <w:rPr>
          <w:rFonts w:cs="Arial"/>
          <w:strike w:val="0"/>
          <w:lang w:val="en-GB"/>
        </w:rPr>
        <w:t>add 20 mmol (1 ampoule)</w:t>
      </w:r>
      <w:r w:rsidR="002240B9">
        <w:rPr>
          <w:rFonts w:cs="Arial"/>
          <w:strike w:val="0"/>
          <w:lang w:val="en-GB"/>
        </w:rPr>
        <w:t>.</w:t>
      </w:r>
    </w:p>
    <w:p w14:paraId="773EA4BE" w14:textId="33AFC6FD" w:rsidR="0036185F" w:rsidRPr="00D6340F" w:rsidRDefault="00C605DA" w:rsidP="007E4E67">
      <w:pPr>
        <w:pStyle w:val="ep00"/>
        <w:numPr>
          <w:ilvl w:val="0"/>
          <w:numId w:val="25"/>
        </w:numPr>
        <w:tabs>
          <w:tab w:val="clear" w:pos="1004"/>
        </w:tabs>
        <w:ind w:left="567" w:hanging="283"/>
        <w:rPr>
          <w:rFonts w:cs="Arial"/>
          <w:strike w:val="0"/>
          <w:lang w:val="en-GB"/>
        </w:rPr>
      </w:pPr>
      <w:r w:rsidRPr="00D6340F">
        <w:rPr>
          <w:rFonts w:cs="Arial"/>
          <w:strike w:val="0"/>
          <w:lang w:val="en-GB" w:eastAsia="en-ZA"/>
        </w:rPr>
        <w:t>potassium</w:t>
      </w:r>
      <w:r w:rsidR="008454E9">
        <w:rPr>
          <w:rFonts w:cs="Arial"/>
          <w:strike w:val="0"/>
          <w:lang w:val="en-GB" w:eastAsia="en-ZA"/>
        </w:rPr>
        <w:t xml:space="preserve"> </w:t>
      </w:r>
      <w:r w:rsidRPr="00D6340F">
        <w:rPr>
          <w:rFonts w:cs="Arial"/>
          <w:strike w:val="0"/>
          <w:lang w:val="en-GB"/>
        </w:rPr>
        <w:t>&gt;5.5 mmol/L:</w:t>
      </w:r>
      <w:r w:rsidRPr="00D6340F">
        <w:rPr>
          <w:rFonts w:cs="Arial"/>
          <w:strike w:val="0"/>
          <w:lang w:val="en-GB"/>
        </w:rPr>
        <w:tab/>
      </w:r>
      <w:r w:rsidRPr="00D6340F">
        <w:rPr>
          <w:rFonts w:cs="Arial"/>
          <w:strike w:val="0"/>
          <w:lang w:val="en-GB"/>
        </w:rPr>
        <w:tab/>
        <w:t>do not add any potassium</w:t>
      </w:r>
      <w:r w:rsidR="002240B9">
        <w:rPr>
          <w:rFonts w:cs="Arial"/>
          <w:strike w:val="0"/>
          <w:lang w:val="en-GB"/>
        </w:rPr>
        <w:t>.</w:t>
      </w:r>
    </w:p>
    <w:p w14:paraId="3942F7F2" w14:textId="77777777" w:rsidR="00C605DA" w:rsidRPr="00D6340F" w:rsidRDefault="00C605DA" w:rsidP="008454E9">
      <w:pPr>
        <w:ind w:left="284"/>
        <w:rPr>
          <w:rFonts w:cs="Arial"/>
          <w:lang w:val="en-GB"/>
        </w:rPr>
      </w:pPr>
      <w:r w:rsidRPr="00D6340F">
        <w:rPr>
          <w:rFonts w:cs="Arial"/>
          <w:lang w:val="en-GB"/>
        </w:rPr>
        <w:t xml:space="preserve">Maximum potassium dose: 40 mmol/hour. </w:t>
      </w:r>
    </w:p>
    <w:p w14:paraId="592EE08B" w14:textId="77777777" w:rsidR="00C605DA" w:rsidRPr="00D6340F" w:rsidRDefault="00C605DA" w:rsidP="008454E9">
      <w:pPr>
        <w:ind w:left="284"/>
        <w:rPr>
          <w:rFonts w:cs="Arial"/>
          <w:lang w:val="en-GB"/>
        </w:rPr>
      </w:pPr>
      <w:r w:rsidRPr="00D6340F">
        <w:rPr>
          <w:rFonts w:cs="Arial"/>
          <w:lang w:val="en-GB"/>
        </w:rPr>
        <w:t>Monitor potassium hourly initially, then 2 hourly when stabilised.</w:t>
      </w: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106952" w:rsidRPr="00D6340F" w14:paraId="3B3D3E0A" w14:textId="77777777" w:rsidTr="00FC265C">
        <w:tc>
          <w:tcPr>
            <w:tcW w:w="1134" w:type="dxa"/>
            <w:shd w:val="clear" w:color="auto" w:fill="auto"/>
          </w:tcPr>
          <w:p w14:paraId="76692855" w14:textId="77777777" w:rsidR="00106952" w:rsidRPr="00D6340F" w:rsidRDefault="00106952" w:rsidP="00FC265C">
            <w:pPr>
              <w:jc w:val="right"/>
              <w:rPr>
                <w:b/>
                <w:i/>
                <w:lang w:val="en-GB"/>
              </w:rPr>
            </w:pPr>
            <w:proofErr w:type="spellStart"/>
            <w:proofErr w:type="gramStart"/>
            <w:r w:rsidRPr="00D6340F">
              <w:rPr>
                <w:i/>
                <w:lang w:val="en-GB"/>
              </w:rPr>
              <w:t>LoE:III</w:t>
            </w:r>
            <w:proofErr w:type="spellEnd"/>
            <w:proofErr w:type="gramEnd"/>
          </w:p>
        </w:tc>
      </w:tr>
    </w:tbl>
    <w:p w14:paraId="3781D488" w14:textId="77777777" w:rsidR="00C605DA" w:rsidRPr="00D6340F" w:rsidRDefault="00C605DA" w:rsidP="00C605DA">
      <w:pPr>
        <w:rPr>
          <w:rFonts w:cs="Arial"/>
          <w:sz w:val="16"/>
          <w:szCs w:val="16"/>
          <w:lang w:val="en-GB"/>
        </w:rPr>
      </w:pPr>
    </w:p>
    <w:p w14:paraId="0AC34984" w14:textId="77777777" w:rsidR="00C605DA" w:rsidRPr="00D6340F" w:rsidRDefault="00C605DA" w:rsidP="00C605DA">
      <w:pPr>
        <w:rPr>
          <w:rFonts w:cs="Arial"/>
          <w:u w:val="single"/>
          <w:lang w:val="en-GB"/>
        </w:rPr>
      </w:pPr>
      <w:r w:rsidRPr="00D6340F">
        <w:rPr>
          <w:rFonts w:cs="Arial"/>
          <w:u w:val="single"/>
          <w:lang w:val="en-GB"/>
        </w:rPr>
        <w:t>If serum potassium results are not readily available:</w:t>
      </w:r>
    </w:p>
    <w:p w14:paraId="00E7F3D8" w14:textId="77777777" w:rsidR="00C605DA" w:rsidRPr="00D6340F" w:rsidRDefault="00C605DA" w:rsidP="00C605DA">
      <w:pPr>
        <w:pStyle w:val="ep4"/>
        <w:rPr>
          <w:lang w:val="en-GB"/>
        </w:rPr>
      </w:pPr>
      <w:r w:rsidRPr="00D6340F">
        <w:rPr>
          <w:lang w:val="en-GB"/>
        </w:rPr>
        <w:t xml:space="preserve">Potassium chloride, IV, 20 mmol (1 ampoule) added to 1 L of fluid as soon as </w:t>
      </w:r>
      <w:r w:rsidRPr="00D6340F">
        <w:rPr>
          <w:b/>
          <w:lang w:val="en-GB"/>
        </w:rPr>
        <w:t>the patient has established adequate urinary output.</w:t>
      </w:r>
    </w:p>
    <w:p w14:paraId="5D82635C" w14:textId="77777777" w:rsidR="00C605DA" w:rsidRPr="00D6340F" w:rsidRDefault="00C605DA" w:rsidP="00C605DA">
      <w:pPr>
        <w:rPr>
          <w:rFonts w:cs="Arial"/>
          <w:lang w:val="en-GB"/>
        </w:rPr>
      </w:pPr>
    </w:p>
    <w:p w14:paraId="6E2A9B9C" w14:textId="77777777" w:rsidR="00C605DA" w:rsidRPr="00D6340F" w:rsidRDefault="00C605DA" w:rsidP="00C605DA">
      <w:pPr>
        <w:pStyle w:val="Heading7"/>
        <w:rPr>
          <w:lang w:val="en-GB"/>
        </w:rPr>
      </w:pPr>
      <w:r w:rsidRPr="00D6340F">
        <w:rPr>
          <w:lang w:val="en-GB"/>
        </w:rPr>
        <w:t>Bicarbonate</w:t>
      </w:r>
    </w:p>
    <w:p w14:paraId="73A09725" w14:textId="77777777" w:rsidR="00C605DA" w:rsidRPr="00D6340F" w:rsidRDefault="00C605DA" w:rsidP="00C605DA">
      <w:pPr>
        <w:rPr>
          <w:rFonts w:cs="Arial"/>
          <w:lang w:val="en-GB"/>
        </w:rPr>
      </w:pPr>
      <w:r w:rsidRPr="00D6340F">
        <w:rPr>
          <w:rFonts w:cs="Arial"/>
          <w:lang w:val="en-GB"/>
        </w:rPr>
        <w:t xml:space="preserve">There is no proven role for the use of intravenous sodium </w:t>
      </w:r>
      <w:proofErr w:type="gramStart"/>
      <w:r w:rsidRPr="00D6340F">
        <w:rPr>
          <w:rFonts w:cs="Arial"/>
          <w:lang w:val="en-GB"/>
        </w:rPr>
        <w:t>bicarbonate</w:t>
      </w:r>
      <w:proofErr w:type="gramEnd"/>
      <w:r w:rsidRPr="00D6340F">
        <w:rPr>
          <w:rFonts w:cs="Arial"/>
          <w:lang w:val="en-GB"/>
        </w:rPr>
        <w:t xml:space="preserve"> and it could potentially cause harm.</w:t>
      </w:r>
    </w:p>
    <w:p w14:paraId="72D360CC" w14:textId="77777777" w:rsidR="00C605DA" w:rsidRPr="00D6340F" w:rsidRDefault="00C605DA" w:rsidP="00C605DA">
      <w:pPr>
        <w:rPr>
          <w:rFonts w:cs="Arial"/>
          <w:sz w:val="16"/>
          <w:szCs w:val="16"/>
          <w:lang w:val="en-GB"/>
        </w:rPr>
      </w:pPr>
    </w:p>
    <w:p w14:paraId="323563C7" w14:textId="77777777" w:rsidR="00C605DA" w:rsidRPr="00D6340F" w:rsidRDefault="00C605DA" w:rsidP="00C605DA">
      <w:pPr>
        <w:pStyle w:val="Heading6"/>
        <w:rPr>
          <w:rFonts w:cs="Arial"/>
        </w:rPr>
      </w:pPr>
      <w:r w:rsidRPr="00D6340F">
        <w:rPr>
          <w:rFonts w:cs="Arial"/>
          <w:bCs/>
        </w:rPr>
        <w:t>I</w:t>
      </w:r>
      <w:r w:rsidRPr="00D6340F">
        <w:rPr>
          <w:rFonts w:cs="Arial"/>
        </w:rPr>
        <w:t>nsulin therapy</w:t>
      </w:r>
    </w:p>
    <w:p w14:paraId="454191E6" w14:textId="77777777" w:rsidR="00C605DA" w:rsidRPr="00D6340F" w:rsidRDefault="00C605DA" w:rsidP="00C605DA">
      <w:pPr>
        <w:rPr>
          <w:rFonts w:cs="Arial"/>
          <w:lang w:val="en-GB"/>
        </w:rPr>
      </w:pPr>
      <w:r w:rsidRPr="00D6340F">
        <w:rPr>
          <w:rFonts w:cs="Arial"/>
          <w:lang w:val="en-GB"/>
        </w:rPr>
        <w:t xml:space="preserve">Patients should be preferentially managed with </w:t>
      </w:r>
      <w:r w:rsidR="00ED31C6" w:rsidRPr="00D6340F">
        <w:rPr>
          <w:rFonts w:cs="Arial"/>
          <w:lang w:val="en-GB"/>
        </w:rPr>
        <w:t>continuous intravenous infusions or hourly intramuscular injections</w:t>
      </w:r>
      <w:r w:rsidRPr="00D6340F">
        <w:rPr>
          <w:rFonts w:cs="Arial"/>
          <w:lang w:val="en-GB"/>
        </w:rPr>
        <w:t xml:space="preserve"> (see below) in a high care ward, with appropriate monitoring. </w:t>
      </w:r>
    </w:p>
    <w:p w14:paraId="7F86FEC4" w14:textId="77777777" w:rsidR="00C605DA" w:rsidRPr="00D6340F" w:rsidRDefault="00C605DA" w:rsidP="00C605DA">
      <w:pPr>
        <w:pStyle w:val="Heading7"/>
        <w:rPr>
          <w:lang w:val="en-GB"/>
        </w:rPr>
      </w:pPr>
      <w:r w:rsidRPr="00D6340F">
        <w:rPr>
          <w:lang w:val="en-GB"/>
        </w:rPr>
        <w:lastRenderedPageBreak/>
        <w:t>Note:</w:t>
      </w:r>
    </w:p>
    <w:p w14:paraId="78E899B7" w14:textId="77777777" w:rsidR="00C605DA" w:rsidRPr="00D6340F" w:rsidRDefault="00C605DA" w:rsidP="007E4E67">
      <w:pPr>
        <w:pStyle w:val="ep0"/>
        <w:numPr>
          <w:ilvl w:val="0"/>
          <w:numId w:val="28"/>
        </w:numPr>
        <w:ind w:left="284" w:hanging="284"/>
        <w:rPr>
          <w:rFonts w:cs="Arial"/>
          <w:strike w:val="0"/>
          <w:lang w:val="en-GB"/>
        </w:rPr>
      </w:pPr>
      <w:proofErr w:type="spellStart"/>
      <w:r w:rsidRPr="00D6340F">
        <w:rPr>
          <w:rFonts w:cs="Arial"/>
          <w:strike w:val="0"/>
          <w:lang w:val="en-GB"/>
        </w:rPr>
        <w:t>Ketonaemia</w:t>
      </w:r>
      <w:proofErr w:type="spellEnd"/>
      <w:r w:rsidRPr="00D6340F">
        <w:rPr>
          <w:rFonts w:cs="Arial"/>
          <w:strike w:val="0"/>
          <w:lang w:val="en-GB"/>
        </w:rPr>
        <w:t xml:space="preserve"> takes longer to clear than hyperglycaemia and combined insulin and glucose (and K+) are needed to ensure clearance of </w:t>
      </w:r>
      <w:proofErr w:type="spellStart"/>
      <w:r w:rsidRPr="00D6340F">
        <w:rPr>
          <w:rFonts w:cs="Arial"/>
          <w:strike w:val="0"/>
          <w:lang w:val="en-GB"/>
        </w:rPr>
        <w:t>ketonaemia</w:t>
      </w:r>
      <w:proofErr w:type="spellEnd"/>
      <w:r w:rsidRPr="00D6340F">
        <w:rPr>
          <w:rFonts w:cs="Arial"/>
          <w:strike w:val="0"/>
          <w:lang w:val="en-GB"/>
        </w:rPr>
        <w:t xml:space="preserve">. </w:t>
      </w:r>
    </w:p>
    <w:p w14:paraId="0E5DECB5" w14:textId="77777777" w:rsidR="00C605DA" w:rsidRPr="00D6340F" w:rsidRDefault="00C605DA" w:rsidP="007E4E67">
      <w:pPr>
        <w:pStyle w:val="ep0"/>
        <w:numPr>
          <w:ilvl w:val="0"/>
          <w:numId w:val="28"/>
        </w:numPr>
        <w:ind w:left="284" w:hanging="284"/>
        <w:rPr>
          <w:rFonts w:cs="Arial"/>
          <w:strike w:val="0"/>
          <w:lang w:val="en-GB"/>
        </w:rPr>
      </w:pPr>
      <w:r w:rsidRPr="00D6340F">
        <w:rPr>
          <w:rFonts w:cs="Arial"/>
          <w:strike w:val="0"/>
          <w:lang w:val="en-GB"/>
        </w:rPr>
        <w:t xml:space="preserve">Avoid focusing on glucose control alone! </w:t>
      </w:r>
    </w:p>
    <w:p w14:paraId="444E8C88" w14:textId="77777777" w:rsidR="00C605DA" w:rsidRPr="00D6340F" w:rsidRDefault="00C605DA" w:rsidP="007E4E67">
      <w:pPr>
        <w:pStyle w:val="ep0"/>
        <w:numPr>
          <w:ilvl w:val="0"/>
          <w:numId w:val="28"/>
        </w:numPr>
        <w:ind w:left="284" w:hanging="284"/>
        <w:rPr>
          <w:rFonts w:cs="Arial"/>
          <w:strike w:val="0"/>
          <w:lang w:val="en-GB"/>
        </w:rPr>
      </w:pPr>
      <w:r w:rsidRPr="00D6340F">
        <w:rPr>
          <w:rFonts w:cs="Arial"/>
          <w:strike w:val="0"/>
          <w:lang w:val="en-GB"/>
        </w:rPr>
        <w:t xml:space="preserve">Continue insulin until </w:t>
      </w:r>
      <w:r w:rsidR="002D15B5" w:rsidRPr="00D6340F">
        <w:rPr>
          <w:rFonts w:cs="Arial"/>
          <w:strike w:val="0"/>
          <w:lang w:val="en-GB"/>
        </w:rPr>
        <w:t xml:space="preserve">acidosis </w:t>
      </w:r>
      <w:r w:rsidRPr="00D6340F">
        <w:rPr>
          <w:rFonts w:cs="Arial"/>
          <w:strike w:val="0"/>
          <w:lang w:val="en-GB"/>
        </w:rPr>
        <w:t>and</w:t>
      </w:r>
      <w:r w:rsidR="00E066CB">
        <w:rPr>
          <w:rFonts w:cs="Arial"/>
          <w:strike w:val="0"/>
          <w:lang w:val="en-GB"/>
        </w:rPr>
        <w:t xml:space="preserve"> </w:t>
      </w:r>
      <w:r w:rsidR="002D15B5" w:rsidRPr="00D6340F">
        <w:rPr>
          <w:rFonts w:cs="Arial"/>
          <w:strike w:val="0"/>
          <w:lang w:val="en-GB"/>
        </w:rPr>
        <w:t>ketosis</w:t>
      </w:r>
      <w:r w:rsidRPr="00D6340F">
        <w:rPr>
          <w:rFonts w:cs="Arial"/>
          <w:strike w:val="0"/>
          <w:lang w:val="en-GB"/>
        </w:rPr>
        <w:t xml:space="preserve"> have resolved.</w:t>
      </w:r>
    </w:p>
    <w:p w14:paraId="147220C4" w14:textId="77777777" w:rsidR="00C605DA" w:rsidRPr="00D6340F" w:rsidRDefault="00C605DA" w:rsidP="00C605DA">
      <w:pPr>
        <w:rPr>
          <w:rFonts w:cs="Arial"/>
          <w:sz w:val="16"/>
          <w:szCs w:val="16"/>
          <w:lang w:val="en-GB"/>
        </w:rPr>
      </w:pPr>
    </w:p>
    <w:p w14:paraId="795FAD22" w14:textId="77777777" w:rsidR="00C605DA" w:rsidRPr="00D6340F" w:rsidRDefault="00ED31C6" w:rsidP="00C605DA">
      <w:pPr>
        <w:rPr>
          <w:rFonts w:cs="Arial"/>
          <w:lang w:val="en-GB"/>
        </w:rPr>
      </w:pPr>
      <w:r w:rsidRPr="00D6340F">
        <w:rPr>
          <w:rFonts w:cs="Arial"/>
          <w:u w:val="single"/>
          <w:lang w:val="en-GB"/>
        </w:rPr>
        <w:t xml:space="preserve">Continuous </w:t>
      </w:r>
      <w:r w:rsidR="00C605DA" w:rsidRPr="00D6340F">
        <w:rPr>
          <w:rFonts w:cs="Arial"/>
          <w:u w:val="single"/>
          <w:lang w:val="en-GB"/>
        </w:rPr>
        <w:t>intravenous infusion</w:t>
      </w:r>
      <w:r w:rsidRPr="00D6340F">
        <w:rPr>
          <w:rFonts w:cs="Arial"/>
          <w:u w:val="single"/>
          <w:lang w:val="en-GB"/>
        </w:rPr>
        <w:t>:</w:t>
      </w:r>
    </w:p>
    <w:p w14:paraId="6681D873" w14:textId="77777777" w:rsidR="00C605DA" w:rsidRPr="00D6340F" w:rsidRDefault="00C605DA" w:rsidP="00C605DA">
      <w:pPr>
        <w:pStyle w:val="ep4"/>
        <w:rPr>
          <w:spacing w:val="-2"/>
          <w:lang w:val="en-GB"/>
        </w:rPr>
      </w:pPr>
      <w:r w:rsidRPr="00D6340F">
        <w:rPr>
          <w:spacing w:val="-2"/>
          <w:lang w:val="en-GB"/>
        </w:rPr>
        <w:t xml:space="preserve">Insulin, </w:t>
      </w:r>
      <w:r w:rsidR="00EF7740" w:rsidRPr="00D6340F">
        <w:rPr>
          <w:b/>
          <w:spacing w:val="-2"/>
          <w:lang w:val="en-GB"/>
        </w:rPr>
        <w:t>short-acting,</w:t>
      </w:r>
      <w:r w:rsidRPr="00D6340F">
        <w:rPr>
          <w:spacing w:val="-2"/>
          <w:lang w:val="en-GB"/>
        </w:rPr>
        <w:t xml:space="preserve"> IV infusion, 50 units in 200 mL sodium chloride 0.9%.</w:t>
      </w:r>
    </w:p>
    <w:p w14:paraId="1E59B196" w14:textId="77777777" w:rsidR="0036185F" w:rsidRPr="00D6340F" w:rsidRDefault="00C605DA" w:rsidP="007E4E67">
      <w:pPr>
        <w:pStyle w:val="Normal2"/>
        <w:numPr>
          <w:ilvl w:val="0"/>
          <w:numId w:val="26"/>
        </w:numPr>
        <w:ind w:left="567" w:hanging="283"/>
        <w:rPr>
          <w:lang w:val="en-GB"/>
        </w:rPr>
      </w:pPr>
      <w:r w:rsidRPr="00D6340F">
        <w:rPr>
          <w:lang w:val="en-GB"/>
        </w:rPr>
        <w:t>4 mL solution = 1 unit insulin.</w:t>
      </w:r>
    </w:p>
    <w:p w14:paraId="71FE79FE" w14:textId="77777777" w:rsidR="0036185F" w:rsidRPr="00D6340F" w:rsidRDefault="00C605DA" w:rsidP="007E4E67">
      <w:pPr>
        <w:pStyle w:val="Normal2"/>
        <w:numPr>
          <w:ilvl w:val="0"/>
          <w:numId w:val="26"/>
        </w:numPr>
        <w:ind w:left="567" w:hanging="283"/>
        <w:rPr>
          <w:lang w:val="en-GB"/>
        </w:rPr>
      </w:pPr>
      <w:r w:rsidRPr="00D6340F">
        <w:rPr>
          <w:lang w:val="en-GB"/>
        </w:rPr>
        <w:t>Initial infusion: 0.1 unit/kg/hour.</w:t>
      </w:r>
    </w:p>
    <w:p w14:paraId="4A9AEF72" w14:textId="77777777" w:rsidR="0036185F" w:rsidRPr="00D6340F" w:rsidRDefault="00C605DA" w:rsidP="007E4E67">
      <w:pPr>
        <w:pStyle w:val="Normal2"/>
        <w:numPr>
          <w:ilvl w:val="0"/>
          <w:numId w:val="26"/>
        </w:numPr>
        <w:ind w:left="567" w:hanging="283"/>
        <w:rPr>
          <w:lang w:val="en-GB"/>
        </w:rPr>
      </w:pPr>
      <w:r w:rsidRPr="00D6340F">
        <w:rPr>
          <w:lang w:val="en-GB"/>
        </w:rPr>
        <w:t>Usually 5–7 units/hour: 20–28 mL/hour.</w:t>
      </w:r>
    </w:p>
    <w:p w14:paraId="34E0D117" w14:textId="3816C8B1" w:rsidR="0036185F" w:rsidRPr="00D6340F" w:rsidRDefault="00C605DA" w:rsidP="007E4E67">
      <w:pPr>
        <w:pStyle w:val="Normal2"/>
        <w:numPr>
          <w:ilvl w:val="0"/>
          <w:numId w:val="26"/>
        </w:numPr>
        <w:ind w:left="567" w:hanging="283"/>
        <w:rPr>
          <w:lang w:val="en-GB"/>
        </w:rPr>
      </w:pPr>
      <w:r w:rsidRPr="00D6340F">
        <w:rPr>
          <w:lang w:val="en-GB"/>
        </w:rPr>
        <w:t xml:space="preserve">If plasma glucose does not fall by 3 mmol/L in the </w:t>
      </w:r>
      <w:r w:rsidR="00533E44" w:rsidRPr="00D6340F">
        <w:rPr>
          <w:lang w:val="en-GB"/>
        </w:rPr>
        <w:t>1</w:t>
      </w:r>
      <w:r w:rsidR="00533E44" w:rsidRPr="00D6340F">
        <w:rPr>
          <w:vertAlign w:val="superscript"/>
          <w:lang w:val="en-GB"/>
        </w:rPr>
        <w:t>st</w:t>
      </w:r>
      <w:r w:rsidR="002240B9">
        <w:rPr>
          <w:vertAlign w:val="superscript"/>
          <w:lang w:val="en-GB"/>
        </w:rPr>
        <w:t xml:space="preserve"> </w:t>
      </w:r>
      <w:r w:rsidRPr="00D6340F">
        <w:rPr>
          <w:lang w:val="en-GB"/>
        </w:rPr>
        <w:t>hour, double the insulin infusion (hourly) until a steady reduction of plasma glucose is achieved, i.e. at least 3–4 mmol/L per hour.</w:t>
      </w:r>
    </w:p>
    <w:p w14:paraId="2FC22FAE" w14:textId="77777777" w:rsidR="0036185F" w:rsidRPr="00D6340F" w:rsidRDefault="00C605DA" w:rsidP="007E4E67">
      <w:pPr>
        <w:pStyle w:val="Normal2"/>
        <w:numPr>
          <w:ilvl w:val="0"/>
          <w:numId w:val="26"/>
        </w:numPr>
        <w:ind w:left="567" w:hanging="283"/>
        <w:rPr>
          <w:lang w:val="en-GB"/>
        </w:rPr>
      </w:pPr>
      <w:r w:rsidRPr="00D6340F">
        <w:rPr>
          <w:lang w:val="en-GB"/>
        </w:rPr>
        <w:t xml:space="preserve">If plasma glucose &lt;14 mmol/L, reduce insulin infusion rate to </w:t>
      </w:r>
      <w:r w:rsidR="00AB2FEC" w:rsidRPr="00D6340F">
        <w:rPr>
          <w:color w:val="auto"/>
          <w:lang w:val="en-GB"/>
        </w:rPr>
        <w:t>1</w:t>
      </w:r>
      <w:r w:rsidR="008454E9">
        <w:rPr>
          <w:color w:val="auto"/>
          <w:lang w:val="en-GB"/>
        </w:rPr>
        <w:t>–</w:t>
      </w:r>
      <w:r w:rsidR="00AB2FEC" w:rsidRPr="00D6340F">
        <w:rPr>
          <w:color w:val="auto"/>
          <w:lang w:val="en-GB"/>
        </w:rPr>
        <w:t>2</w:t>
      </w:r>
      <w:r w:rsidR="008454E9">
        <w:rPr>
          <w:color w:val="auto"/>
          <w:lang w:val="en-GB"/>
        </w:rPr>
        <w:t xml:space="preserve"> </w:t>
      </w:r>
      <w:r w:rsidRPr="00D6340F">
        <w:rPr>
          <w:lang w:val="en-GB"/>
        </w:rPr>
        <w:t>units/hour and adjust subsequently according to hourly bedside capillary glucose level measured with glucose test strips.</w:t>
      </w:r>
    </w:p>
    <w:p w14:paraId="47ABF543" w14:textId="77777777" w:rsidR="00C605DA" w:rsidRPr="00D6340F" w:rsidRDefault="00C605DA" w:rsidP="005F039D">
      <w:pPr>
        <w:pStyle w:val="Bullet1"/>
        <w:rPr>
          <w:lang w:val="en-GB"/>
        </w:rPr>
      </w:pPr>
    </w:p>
    <w:p w14:paraId="2AECD705" w14:textId="77777777" w:rsidR="00C605DA" w:rsidRPr="00D6340F" w:rsidRDefault="00ED31C6" w:rsidP="00C605DA">
      <w:pPr>
        <w:rPr>
          <w:rFonts w:cs="Arial"/>
          <w:lang w:val="en-GB"/>
        </w:rPr>
      </w:pPr>
      <w:r w:rsidRPr="00D6340F">
        <w:rPr>
          <w:rFonts w:cs="Arial"/>
          <w:u w:val="single"/>
          <w:lang w:val="en-GB"/>
        </w:rPr>
        <w:t>H</w:t>
      </w:r>
      <w:r w:rsidR="00C605DA" w:rsidRPr="00D6340F">
        <w:rPr>
          <w:rFonts w:cs="Arial"/>
          <w:u w:val="single"/>
          <w:lang w:val="en-GB"/>
        </w:rPr>
        <w:t>ourly intramuscular bolus injections</w:t>
      </w:r>
      <w:r w:rsidRPr="00D6340F">
        <w:rPr>
          <w:rFonts w:cs="Arial"/>
          <w:u w:val="single"/>
          <w:lang w:val="en-GB"/>
        </w:rPr>
        <w:t>:</w:t>
      </w:r>
    </w:p>
    <w:p w14:paraId="5B019FD3" w14:textId="77777777" w:rsidR="00C605DA" w:rsidRPr="00D6340F" w:rsidRDefault="00C605DA" w:rsidP="00C605DA">
      <w:pPr>
        <w:rPr>
          <w:rFonts w:cs="Arial"/>
          <w:lang w:val="en-GB"/>
        </w:rPr>
      </w:pPr>
      <w:r w:rsidRPr="00D6340F">
        <w:rPr>
          <w:rFonts w:cs="Arial"/>
          <w:lang w:val="en-GB"/>
        </w:rPr>
        <w:t>Where intravenous infusion cannot be safely administered:</w:t>
      </w:r>
    </w:p>
    <w:p w14:paraId="685D46A7" w14:textId="1B351C17" w:rsidR="00C605DA" w:rsidRPr="00D6340F" w:rsidRDefault="00EF7740" w:rsidP="00E942C5">
      <w:pPr>
        <w:pStyle w:val="ep4"/>
        <w:tabs>
          <w:tab w:val="clear" w:pos="360"/>
          <w:tab w:val="num" w:pos="284"/>
        </w:tabs>
        <w:rPr>
          <w:b/>
          <w:lang w:val="en-GB"/>
        </w:rPr>
      </w:pPr>
      <w:r w:rsidRPr="009D5B12">
        <w:rPr>
          <w:lang w:val="en-GB"/>
        </w:rPr>
        <w:t>Insulin,</w:t>
      </w:r>
      <w:r w:rsidRPr="00D6340F">
        <w:rPr>
          <w:b/>
          <w:lang w:val="en-GB"/>
        </w:rPr>
        <w:t xml:space="preserve"> </w:t>
      </w:r>
      <w:r w:rsidR="002240B9" w:rsidRPr="00D6340F">
        <w:rPr>
          <w:b/>
          <w:lang w:val="en-GB"/>
        </w:rPr>
        <w:t>short</w:t>
      </w:r>
      <w:r w:rsidR="002240B9">
        <w:rPr>
          <w:b/>
          <w:lang w:val="en-GB"/>
        </w:rPr>
        <w:t>-</w:t>
      </w:r>
      <w:r w:rsidRPr="00D6340F">
        <w:rPr>
          <w:b/>
          <w:lang w:val="en-GB"/>
        </w:rPr>
        <w:t>acting</w:t>
      </w:r>
    </w:p>
    <w:p w14:paraId="5D6C6F2D" w14:textId="77777777" w:rsidR="0036185F" w:rsidRPr="00D6340F" w:rsidRDefault="00C605DA" w:rsidP="007E4E67">
      <w:pPr>
        <w:pStyle w:val="Normal2"/>
        <w:numPr>
          <w:ilvl w:val="0"/>
          <w:numId w:val="26"/>
        </w:numPr>
        <w:ind w:left="567" w:hanging="283"/>
        <w:rPr>
          <w:lang w:val="en-GB"/>
        </w:rPr>
      </w:pPr>
      <w:r w:rsidRPr="00D6340F">
        <w:rPr>
          <w:lang w:val="en-GB"/>
        </w:rPr>
        <w:t>Dilute 100 units with sodium chloride 0.9% to 10 mL i.e. 10 units/</w:t>
      </w:r>
      <w:proofErr w:type="spellStart"/>
      <w:r w:rsidRPr="00D6340F">
        <w:rPr>
          <w:lang w:val="en-GB"/>
        </w:rPr>
        <w:t>mL.</w:t>
      </w:r>
      <w:proofErr w:type="spellEnd"/>
    </w:p>
    <w:p w14:paraId="23F1EA84" w14:textId="77777777" w:rsidR="0036185F" w:rsidRPr="00D6340F" w:rsidRDefault="00C605DA" w:rsidP="007E4E67">
      <w:pPr>
        <w:pStyle w:val="Normal2"/>
        <w:numPr>
          <w:ilvl w:val="0"/>
          <w:numId w:val="26"/>
        </w:numPr>
        <w:ind w:left="567" w:hanging="283"/>
        <w:rPr>
          <w:lang w:val="en-GB"/>
        </w:rPr>
      </w:pPr>
      <w:r w:rsidRPr="00D6340F">
        <w:rPr>
          <w:lang w:val="en-GB"/>
        </w:rPr>
        <w:t>Loading dose: 0.5 units/kg body weight.</w:t>
      </w:r>
    </w:p>
    <w:p w14:paraId="12BE8347" w14:textId="77777777" w:rsidR="0036185F" w:rsidRPr="00D6340F" w:rsidRDefault="00C605DA" w:rsidP="007E4E67">
      <w:pPr>
        <w:pStyle w:val="Normal2"/>
        <w:numPr>
          <w:ilvl w:val="0"/>
          <w:numId w:val="26"/>
        </w:numPr>
        <w:ind w:left="567" w:hanging="283"/>
        <w:rPr>
          <w:lang w:val="en-GB"/>
        </w:rPr>
      </w:pPr>
      <w:r w:rsidRPr="00D6340F">
        <w:rPr>
          <w:lang w:val="en-GB"/>
        </w:rPr>
        <w:t>Administer half the dose as an intravenous bolus injection and the other half IM. Do not administer with an insulin syringe and needle.</w:t>
      </w:r>
    </w:p>
    <w:p w14:paraId="31BEEC8C" w14:textId="77777777" w:rsidR="0036185F" w:rsidRPr="00D6340F" w:rsidRDefault="00C605DA" w:rsidP="007E4E67">
      <w:pPr>
        <w:pStyle w:val="Normal2"/>
        <w:numPr>
          <w:ilvl w:val="0"/>
          <w:numId w:val="26"/>
        </w:numPr>
        <w:ind w:left="567" w:hanging="283"/>
        <w:rPr>
          <w:spacing w:val="-2"/>
          <w:lang w:val="en-GB"/>
        </w:rPr>
      </w:pPr>
      <w:r w:rsidRPr="00D6340F">
        <w:rPr>
          <w:spacing w:val="-2"/>
          <w:lang w:val="en-GB"/>
        </w:rPr>
        <w:t>Subsequent hourly doses: ± 5–10 units IM every hour (i.e. 0.1 units/kg/h</w:t>
      </w:r>
      <w:r w:rsidR="00DF1586" w:rsidRPr="00D6340F">
        <w:rPr>
          <w:spacing w:val="-2"/>
          <w:lang w:val="en-GB"/>
        </w:rPr>
        <w:t>ou</w:t>
      </w:r>
      <w:r w:rsidRPr="00D6340F">
        <w:rPr>
          <w:spacing w:val="-2"/>
          <w:lang w:val="en-GB"/>
        </w:rPr>
        <w:t>r) and titrated against the bedside capillary glucose level.</w:t>
      </w:r>
    </w:p>
    <w:p w14:paraId="048581B7" w14:textId="77777777" w:rsidR="00C605DA" w:rsidRPr="00D6340F" w:rsidRDefault="00C605DA" w:rsidP="00C605DA">
      <w:pPr>
        <w:rPr>
          <w:rFonts w:cs="Arial"/>
          <w:sz w:val="16"/>
          <w:szCs w:val="16"/>
          <w:lang w:val="en-GB"/>
        </w:rPr>
      </w:pPr>
    </w:p>
    <w:p w14:paraId="10CE0E91" w14:textId="77777777" w:rsidR="00C605DA" w:rsidRPr="00D6340F" w:rsidRDefault="00C605DA" w:rsidP="00C605DA">
      <w:pPr>
        <w:pStyle w:val="Heading6"/>
        <w:rPr>
          <w:rFonts w:cs="Arial"/>
        </w:rPr>
      </w:pPr>
      <w:r w:rsidRPr="00D6340F">
        <w:rPr>
          <w:rFonts w:cs="Arial"/>
        </w:rPr>
        <w:t>Progress management</w:t>
      </w:r>
    </w:p>
    <w:p w14:paraId="4C119649" w14:textId="77777777" w:rsidR="00C605DA" w:rsidRPr="00D6340F" w:rsidRDefault="00C605DA" w:rsidP="00C605DA">
      <w:pPr>
        <w:rPr>
          <w:rFonts w:cs="Arial"/>
          <w:lang w:val="en-GB"/>
        </w:rPr>
      </w:pPr>
      <w:r w:rsidRPr="00D6340F">
        <w:rPr>
          <w:rFonts w:cs="Arial"/>
          <w:lang w:val="en-GB"/>
        </w:rPr>
        <w:t xml:space="preserve">Continue </w:t>
      </w:r>
      <w:r w:rsidR="00407A37" w:rsidRPr="00D6340F">
        <w:rPr>
          <w:rFonts w:cs="Arial"/>
          <w:lang w:val="en-GB"/>
        </w:rPr>
        <w:t>insulin therapy</w:t>
      </w:r>
      <w:r w:rsidRPr="00D6340F">
        <w:rPr>
          <w:rFonts w:cs="Arial"/>
          <w:lang w:val="en-GB"/>
        </w:rPr>
        <w:t xml:space="preserve"> until the acidosis has resolved and:</w:t>
      </w:r>
    </w:p>
    <w:p w14:paraId="59BF3E8B" w14:textId="77777777" w:rsidR="0036185F" w:rsidRPr="00D6340F" w:rsidRDefault="00C605DA" w:rsidP="007E4E67">
      <w:pPr>
        <w:pStyle w:val="ep0"/>
        <w:numPr>
          <w:ilvl w:val="0"/>
          <w:numId w:val="27"/>
        </w:numPr>
        <w:rPr>
          <w:rFonts w:cs="Arial"/>
          <w:strike w:val="0"/>
          <w:lang w:val="en-GB"/>
        </w:rPr>
      </w:pPr>
      <w:r w:rsidRPr="00D6340F">
        <w:rPr>
          <w:rFonts w:cs="Arial"/>
          <w:strike w:val="0"/>
          <w:lang w:val="en-GB"/>
        </w:rPr>
        <w:t xml:space="preserve">the patient </w:t>
      </w:r>
      <w:proofErr w:type="gramStart"/>
      <w:r w:rsidRPr="00D6340F">
        <w:rPr>
          <w:rFonts w:cs="Arial"/>
          <w:strike w:val="0"/>
          <w:lang w:val="en-GB"/>
        </w:rPr>
        <w:t>is able to</w:t>
      </w:r>
      <w:proofErr w:type="gramEnd"/>
      <w:r w:rsidRPr="00D6340F">
        <w:rPr>
          <w:rFonts w:cs="Arial"/>
          <w:strike w:val="0"/>
          <w:lang w:val="en-GB"/>
        </w:rPr>
        <w:t xml:space="preserve"> eat, and</w:t>
      </w:r>
    </w:p>
    <w:p w14:paraId="18CF340A" w14:textId="5F8351FB" w:rsidR="0036185F" w:rsidRPr="00D6340F" w:rsidRDefault="00C605DA" w:rsidP="007E4E67">
      <w:pPr>
        <w:pStyle w:val="ep0"/>
        <w:numPr>
          <w:ilvl w:val="0"/>
          <w:numId w:val="27"/>
        </w:numPr>
        <w:rPr>
          <w:rFonts w:cs="Arial"/>
          <w:strike w:val="0"/>
          <w:lang w:val="en-GB"/>
        </w:rPr>
      </w:pPr>
      <w:r w:rsidRPr="00D6340F">
        <w:rPr>
          <w:rFonts w:cs="Arial"/>
          <w:strike w:val="0"/>
          <w:lang w:val="en-GB"/>
        </w:rPr>
        <w:t>subcutaneous insulin therapy is instituted either at previous doses or, for newly diagnosed diabetes at 0.5–1 unit/kg total daily dose divided into at least 2 doses with mixed short</w:t>
      </w:r>
      <w:r w:rsidR="002240B9">
        <w:rPr>
          <w:rFonts w:cs="Arial"/>
          <w:strike w:val="0"/>
          <w:lang w:val="en-GB"/>
        </w:rPr>
        <w:t>-</w:t>
      </w:r>
      <w:r w:rsidRPr="00D6340F">
        <w:rPr>
          <w:rFonts w:cs="Arial"/>
          <w:strike w:val="0"/>
          <w:lang w:val="en-GB"/>
        </w:rPr>
        <w:t xml:space="preserve"> and </w:t>
      </w:r>
      <w:r w:rsidR="002240B9" w:rsidRPr="00D6340F">
        <w:rPr>
          <w:rFonts w:cs="Arial"/>
          <w:strike w:val="0"/>
          <w:lang w:val="en-GB"/>
        </w:rPr>
        <w:t>long</w:t>
      </w:r>
      <w:r w:rsidR="002240B9">
        <w:rPr>
          <w:rFonts w:cs="Arial"/>
          <w:strike w:val="0"/>
          <w:lang w:val="en-GB"/>
        </w:rPr>
        <w:t>-</w:t>
      </w:r>
      <w:r w:rsidRPr="00D6340F">
        <w:rPr>
          <w:rFonts w:cs="Arial"/>
          <w:strike w:val="0"/>
          <w:lang w:val="en-GB"/>
        </w:rPr>
        <w:t xml:space="preserve">acting insulin (biphasic insulin </w:t>
      </w:r>
      <w:r w:rsidRPr="00D6340F">
        <w:rPr>
          <w:rFonts w:cs="Arial"/>
          <w:strike w:val="0"/>
          <w:vertAlign w:val="superscript"/>
          <w:lang w:val="en-GB"/>
        </w:rPr>
        <w:t>2</w:t>
      </w:r>
      <w:r w:rsidRPr="00D6340F">
        <w:rPr>
          <w:rFonts w:cs="Arial"/>
          <w:strike w:val="0"/>
          <w:lang w:val="en-GB"/>
        </w:rPr>
        <w:t>/</w:t>
      </w:r>
      <w:r w:rsidRPr="00D6340F">
        <w:rPr>
          <w:rFonts w:cs="Arial"/>
          <w:strike w:val="0"/>
          <w:vertAlign w:val="subscript"/>
          <w:lang w:val="en-GB"/>
        </w:rPr>
        <w:t>3</w:t>
      </w:r>
      <w:r w:rsidRPr="00D6340F">
        <w:rPr>
          <w:rFonts w:cs="Arial"/>
          <w:strike w:val="0"/>
          <w:lang w:val="en-GB"/>
        </w:rPr>
        <w:t xml:space="preserve"> in the morning and </w:t>
      </w:r>
      <w:r w:rsidRPr="00D6340F">
        <w:rPr>
          <w:rFonts w:cs="Arial"/>
          <w:strike w:val="0"/>
          <w:vertAlign w:val="superscript"/>
          <w:lang w:val="en-GB"/>
        </w:rPr>
        <w:t>1</w:t>
      </w:r>
      <w:r w:rsidRPr="00D6340F">
        <w:rPr>
          <w:rFonts w:cs="Arial"/>
          <w:strike w:val="0"/>
          <w:lang w:val="en-GB"/>
        </w:rPr>
        <w:t>/</w:t>
      </w:r>
      <w:r w:rsidRPr="00D6340F">
        <w:rPr>
          <w:rFonts w:cs="Arial"/>
          <w:strike w:val="0"/>
          <w:vertAlign w:val="subscript"/>
          <w:lang w:val="en-GB"/>
        </w:rPr>
        <w:t>3</w:t>
      </w:r>
      <w:r w:rsidRPr="00D6340F">
        <w:rPr>
          <w:rFonts w:cs="Arial"/>
          <w:strike w:val="0"/>
          <w:lang w:val="en-GB"/>
        </w:rPr>
        <w:t xml:space="preserve"> at night). </w:t>
      </w:r>
    </w:p>
    <w:p w14:paraId="600C196E" w14:textId="77777777" w:rsidR="00C605DA" w:rsidRPr="00D6340F" w:rsidRDefault="00C605DA" w:rsidP="005F039D">
      <w:pPr>
        <w:pStyle w:val="Bullet1"/>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6"/>
      </w:tblGrid>
      <w:tr w:rsidR="00C605DA" w:rsidRPr="00D6340F" w14:paraId="50CD3078" w14:textId="77777777">
        <w:tc>
          <w:tcPr>
            <w:tcW w:w="6120" w:type="dxa"/>
            <w:tcBorders>
              <w:top w:val="double" w:sz="4" w:space="0" w:color="auto"/>
              <w:left w:val="double" w:sz="4" w:space="0" w:color="auto"/>
              <w:bottom w:val="double" w:sz="4" w:space="0" w:color="auto"/>
              <w:right w:val="double" w:sz="4" w:space="0" w:color="auto"/>
            </w:tcBorders>
          </w:tcPr>
          <w:p w14:paraId="4B387AD6" w14:textId="77777777" w:rsidR="00C605DA" w:rsidRPr="00D6340F" w:rsidRDefault="00C605DA" w:rsidP="00C605DA">
            <w:pPr>
              <w:pStyle w:val="BlockText"/>
              <w:spacing w:before="120" w:after="120"/>
              <w:rPr>
                <w:lang w:val="en-GB"/>
              </w:rPr>
            </w:pPr>
            <w:r w:rsidRPr="00D6340F">
              <w:rPr>
                <w:lang w:val="en-GB"/>
              </w:rPr>
              <w:t>Infusion must overlap with subcutaneous regimen for 1–2 hour to avoid reversion to keto-acidosis.</w:t>
            </w:r>
          </w:p>
        </w:tc>
      </w:tr>
    </w:tbl>
    <w:p w14:paraId="6AC9456E" w14:textId="77777777" w:rsidR="00C605DA" w:rsidRPr="00D6340F" w:rsidRDefault="00C605DA" w:rsidP="00C605DA">
      <w:pPr>
        <w:rPr>
          <w:rFonts w:cs="Arial"/>
          <w:lang w:val="en-GB"/>
        </w:rPr>
      </w:pPr>
    </w:p>
    <w:p w14:paraId="467984FF" w14:textId="77777777" w:rsidR="00C605DA" w:rsidRPr="00D6340F" w:rsidRDefault="00C605DA" w:rsidP="00C605DA">
      <w:pPr>
        <w:pStyle w:val="CommentText"/>
        <w:rPr>
          <w:rFonts w:cs="Arial"/>
          <w:b w:val="0"/>
          <w:bCs/>
          <w:color w:val="548DD4"/>
          <w:sz w:val="18"/>
          <w:lang w:val="en-GB" w:eastAsia="en-ZA"/>
        </w:rPr>
      </w:pPr>
      <w:r w:rsidRPr="00D6340F">
        <w:rPr>
          <w:rStyle w:val="StyleBold"/>
          <w:rFonts w:cs="Arial"/>
          <w:b/>
          <w:sz w:val="18"/>
          <w:szCs w:val="18"/>
          <w:lang w:val="en-GB"/>
        </w:rPr>
        <w:t>Heparin</w:t>
      </w:r>
      <w:r w:rsidRPr="00D6340F">
        <w:rPr>
          <w:rFonts w:cs="Arial"/>
          <w:b w:val="0"/>
          <w:bCs/>
          <w:color w:val="548DD4"/>
          <w:sz w:val="18"/>
          <w:lang w:val="en-GB" w:eastAsia="en-ZA"/>
        </w:rPr>
        <w:t>.</w:t>
      </w:r>
    </w:p>
    <w:p w14:paraId="3EF0042D" w14:textId="77777777" w:rsidR="00C605DA" w:rsidRPr="00D6340F" w:rsidRDefault="00C605DA" w:rsidP="00C605DA">
      <w:pPr>
        <w:rPr>
          <w:rStyle w:val="StyleBold"/>
          <w:rFonts w:cs="Arial"/>
          <w:lang w:val="en-GB"/>
        </w:rPr>
      </w:pPr>
      <w:r w:rsidRPr="00D6340F">
        <w:rPr>
          <w:rStyle w:val="StyleBold"/>
          <w:rFonts w:cs="Arial"/>
          <w:b w:val="0"/>
          <w:lang w:val="en-GB"/>
        </w:rPr>
        <w:t>For all patients</w:t>
      </w:r>
      <w:r w:rsidRPr="00D6340F">
        <w:rPr>
          <w:rStyle w:val="StyleBold"/>
          <w:rFonts w:cs="Arial"/>
          <w:lang w:val="en-GB"/>
        </w:rPr>
        <w:t>:</w:t>
      </w:r>
    </w:p>
    <w:p w14:paraId="18DD0E83" w14:textId="77777777" w:rsidR="00E942C5" w:rsidRPr="00A407E6" w:rsidRDefault="00E942C5" w:rsidP="00A407E6">
      <w:pPr>
        <w:widowControl w:val="0"/>
        <w:numPr>
          <w:ilvl w:val="0"/>
          <w:numId w:val="59"/>
        </w:numPr>
        <w:autoSpaceDE w:val="0"/>
        <w:autoSpaceDN w:val="0"/>
        <w:adjustRightInd w:val="0"/>
        <w:ind w:left="284" w:hanging="284"/>
        <w:contextualSpacing/>
        <w:rPr>
          <w:rFonts w:cs="Arial"/>
          <w:lang w:val="en-GB"/>
        </w:rPr>
      </w:pPr>
      <w:r w:rsidRPr="00A407E6">
        <w:rPr>
          <w:rFonts w:cs="Arial"/>
          <w:lang w:val="en-GB"/>
        </w:rPr>
        <w:t>Low molecular weight heparin, e.g.:</w:t>
      </w:r>
    </w:p>
    <w:tbl>
      <w:tblPr>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E942C5" w:rsidRPr="00E942C5" w14:paraId="6FB9612B" w14:textId="77777777" w:rsidTr="00460F74">
        <w:tc>
          <w:tcPr>
            <w:tcW w:w="1134" w:type="dxa"/>
            <w:shd w:val="clear" w:color="auto" w:fill="auto"/>
          </w:tcPr>
          <w:p w14:paraId="73827B19" w14:textId="77777777" w:rsidR="00E942C5" w:rsidRPr="00E942C5" w:rsidRDefault="00E942C5" w:rsidP="00460F74">
            <w:pPr>
              <w:jc w:val="right"/>
              <w:rPr>
                <w:i/>
                <w:sz w:val="16"/>
                <w:lang w:val="en-GB"/>
              </w:rPr>
            </w:pPr>
            <w:proofErr w:type="spellStart"/>
            <w:proofErr w:type="gramStart"/>
            <w:r w:rsidRPr="00E942C5">
              <w:rPr>
                <w:i/>
                <w:sz w:val="16"/>
                <w:lang w:val="en-GB"/>
              </w:rPr>
              <w:t>LoE:I</w:t>
            </w:r>
            <w:proofErr w:type="spellEnd"/>
            <w:proofErr w:type="gramEnd"/>
            <w:r w:rsidRPr="00E942C5">
              <w:rPr>
                <w:rStyle w:val="EndnoteReference"/>
                <w:i/>
                <w:sz w:val="16"/>
                <w:lang w:val="en-GB"/>
              </w:rPr>
              <w:endnoteReference w:id="24"/>
            </w:r>
          </w:p>
        </w:tc>
      </w:tr>
    </w:tbl>
    <w:p w14:paraId="35D1AED3" w14:textId="77777777" w:rsidR="00E942C5" w:rsidRPr="00D6340F" w:rsidRDefault="00E942C5" w:rsidP="00E942C5">
      <w:pPr>
        <w:pStyle w:val="ep0"/>
        <w:ind w:left="360"/>
        <w:rPr>
          <w:rFonts w:cs="Arial"/>
          <w:strike w:val="0"/>
          <w:sz w:val="2"/>
          <w:lang w:val="en-GB"/>
        </w:rPr>
      </w:pPr>
    </w:p>
    <w:p w14:paraId="482CA666" w14:textId="77777777" w:rsidR="00E942C5" w:rsidRPr="006C10F3" w:rsidRDefault="00E942C5" w:rsidP="00A407E6">
      <w:pPr>
        <w:numPr>
          <w:ilvl w:val="0"/>
          <w:numId w:val="17"/>
        </w:numPr>
        <w:ind w:left="284" w:hanging="284"/>
        <w:rPr>
          <w:rFonts w:cs="Arial"/>
          <w:lang w:val="en-GB"/>
        </w:rPr>
      </w:pPr>
      <w:r w:rsidRPr="006C10F3">
        <w:rPr>
          <w:rFonts w:cs="Arial"/>
          <w:lang w:val="en-GB"/>
        </w:rPr>
        <w:t>Enoxaparin, SC, 40 mg daily.</w:t>
      </w:r>
    </w:p>
    <w:p w14:paraId="73F87769" w14:textId="77777777" w:rsidR="00E942C5" w:rsidRPr="00D6340F" w:rsidRDefault="00E942C5" w:rsidP="00E942C5">
      <w:pPr>
        <w:pStyle w:val="ep4"/>
        <w:numPr>
          <w:ilvl w:val="0"/>
          <w:numId w:val="0"/>
        </w:numPr>
        <w:tabs>
          <w:tab w:val="left" w:pos="0"/>
        </w:tabs>
        <w:rPr>
          <w:b/>
          <w:lang w:val="en-GB"/>
        </w:rPr>
      </w:pPr>
      <w:r w:rsidRPr="00D6340F">
        <w:rPr>
          <w:b/>
          <w:lang w:val="en-GB"/>
        </w:rPr>
        <w:lastRenderedPageBreak/>
        <w:t>OR</w:t>
      </w:r>
    </w:p>
    <w:p w14:paraId="1E09E79D" w14:textId="77777777" w:rsidR="0036185F" w:rsidRPr="00D6340F" w:rsidRDefault="00C605DA" w:rsidP="007E4E67">
      <w:pPr>
        <w:numPr>
          <w:ilvl w:val="0"/>
          <w:numId w:val="17"/>
        </w:numPr>
        <w:ind w:left="284" w:hanging="284"/>
        <w:rPr>
          <w:rFonts w:cs="Arial"/>
          <w:lang w:val="en-GB"/>
        </w:rPr>
      </w:pPr>
      <w:r w:rsidRPr="00D6340F">
        <w:rPr>
          <w:rStyle w:val="StyleBold"/>
          <w:rFonts w:cs="Arial"/>
          <w:b w:val="0"/>
          <w:lang w:val="en-GB"/>
        </w:rPr>
        <w:t>Unfractionated heparin, SC, 5 000 units 12 hourly.</w:t>
      </w:r>
    </w:p>
    <w:p w14:paraId="7D073E3C" w14:textId="77777777" w:rsidR="009D52BA" w:rsidRDefault="009D52BA" w:rsidP="009D52BA">
      <w:pPr>
        <w:ind w:left="360"/>
        <w:rPr>
          <w:rFonts w:cs="Arial"/>
          <w:lang w:val="en-GB"/>
        </w:rPr>
      </w:pPr>
    </w:p>
    <w:p w14:paraId="19EB7996" w14:textId="77777777" w:rsidR="008A068C" w:rsidRPr="00D6340F" w:rsidRDefault="008A068C" w:rsidP="009D52BA">
      <w:pPr>
        <w:ind w:left="360"/>
        <w:rPr>
          <w:rFonts w:cs="Arial"/>
          <w:lang w:val="en-GB"/>
        </w:rPr>
      </w:pPr>
    </w:p>
    <w:p w14:paraId="79A437A5" w14:textId="77777777" w:rsidR="00C605DA" w:rsidRPr="00D6340F" w:rsidRDefault="00C605DA" w:rsidP="00E066CB">
      <w:pPr>
        <w:pStyle w:val="Heading1"/>
        <w:ind w:left="709" w:hanging="709"/>
        <w:rPr>
          <w:rFonts w:cs="Arial"/>
          <w:lang w:val="en-GB"/>
        </w:rPr>
      </w:pPr>
      <w:r w:rsidRPr="00D6340F">
        <w:rPr>
          <w:rFonts w:cs="Arial"/>
          <w:lang w:val="en-GB"/>
        </w:rPr>
        <w:t>8.</w:t>
      </w:r>
      <w:r w:rsidR="00E066CB" w:rsidRPr="00D6340F">
        <w:rPr>
          <w:rFonts w:cs="Arial"/>
          <w:lang w:val="en-GB"/>
        </w:rPr>
        <w:t>7</w:t>
      </w:r>
      <w:r w:rsidR="00E066CB">
        <w:rPr>
          <w:rFonts w:cs="Arial"/>
          <w:lang w:val="en-GB"/>
        </w:rPr>
        <w:tab/>
      </w:r>
      <w:r w:rsidRPr="00D6340F">
        <w:rPr>
          <w:rFonts w:cs="Arial"/>
          <w:sz w:val="22"/>
          <w:szCs w:val="22"/>
          <w:lang w:val="en-GB"/>
        </w:rPr>
        <w:t>COMPLICATIONS</w:t>
      </w:r>
      <w:r w:rsidRPr="00D6340F">
        <w:rPr>
          <w:rFonts w:cs="Arial"/>
          <w:lang w:val="en-GB"/>
        </w:rPr>
        <w:t xml:space="preserve"> of diabetes</w:t>
      </w:r>
    </w:p>
    <w:p w14:paraId="2BF7B213" w14:textId="77777777" w:rsidR="00C605DA" w:rsidRPr="00D6340F" w:rsidRDefault="00C605DA" w:rsidP="00C605DA">
      <w:pPr>
        <w:rPr>
          <w:rFonts w:cs="Arial"/>
          <w:lang w:val="en-GB"/>
        </w:rPr>
      </w:pPr>
    </w:p>
    <w:p w14:paraId="58774390" w14:textId="77777777" w:rsidR="00C605DA" w:rsidRPr="00D6340F" w:rsidRDefault="002423A0" w:rsidP="00323B76">
      <w:pPr>
        <w:pStyle w:val="Heading6"/>
        <w:keepNext w:val="0"/>
        <w:widowControl w:val="0"/>
        <w:rPr>
          <w:rFonts w:cs="Arial"/>
        </w:rPr>
      </w:pPr>
      <w:r w:rsidRPr="00D6340F">
        <w:rPr>
          <w:rFonts w:cs="Arial"/>
        </w:rPr>
        <w:t>Macrovascular complications</w:t>
      </w:r>
    </w:p>
    <w:p w14:paraId="7267E225" w14:textId="1B4C4BC2" w:rsidR="00C605DA" w:rsidRDefault="00C605DA" w:rsidP="00323B76">
      <w:pPr>
        <w:widowControl w:val="0"/>
        <w:rPr>
          <w:rFonts w:cs="Arial"/>
          <w:lang w:val="en-GB"/>
        </w:rPr>
      </w:pPr>
      <w:r w:rsidRPr="00D6340F">
        <w:rPr>
          <w:rFonts w:cs="Arial"/>
          <w:lang w:val="en-GB"/>
        </w:rPr>
        <w:t>Diabetic patients with a history of myocardial infarction, vascular bypass, stroke or transient ischemic attack, peripheral vascular disease, claudication, or angina</w:t>
      </w:r>
      <w:r w:rsidR="002423A0" w:rsidRPr="00D6340F">
        <w:rPr>
          <w:rFonts w:cs="Arial"/>
          <w:lang w:val="en-GB"/>
        </w:rPr>
        <w:t xml:space="preserve"> need secondary prevention with aspirin and a statin – see </w:t>
      </w:r>
      <w:r w:rsidR="002840C6">
        <w:rPr>
          <w:rFonts w:cs="Arial"/>
          <w:lang w:val="en-GB"/>
        </w:rPr>
        <w:t>Section</w:t>
      </w:r>
      <w:r w:rsidR="002423A0" w:rsidRPr="00D6340F">
        <w:rPr>
          <w:rFonts w:cs="Arial"/>
          <w:lang w:val="en-GB"/>
        </w:rPr>
        <w:t xml:space="preserve"> </w:t>
      </w:r>
      <w:r w:rsidR="009D52BA" w:rsidRPr="00D6340F">
        <w:rPr>
          <w:rFonts w:cs="Arial"/>
          <w:lang w:val="en-GB"/>
        </w:rPr>
        <w:t>3.</w:t>
      </w:r>
      <w:r w:rsidR="00732DB2" w:rsidRPr="00D6340F">
        <w:rPr>
          <w:rFonts w:cs="Arial"/>
          <w:lang w:val="en-GB"/>
        </w:rPr>
        <w:t>1:</w:t>
      </w:r>
      <w:r w:rsidR="00917115">
        <w:rPr>
          <w:rFonts w:cs="Arial"/>
          <w:lang w:val="en-GB"/>
        </w:rPr>
        <w:t xml:space="preserve"> </w:t>
      </w:r>
      <w:r w:rsidR="009D52BA" w:rsidRPr="00D6340F">
        <w:rPr>
          <w:rFonts w:cs="Arial"/>
          <w:lang w:val="en-GB"/>
        </w:rPr>
        <w:t>Ischaemic heart disease and atherosclerosis, prevention</w:t>
      </w:r>
      <w:r w:rsidR="008454E9">
        <w:rPr>
          <w:rFonts w:cs="Arial"/>
          <w:lang w:val="en-GB"/>
        </w:rPr>
        <w:t>.</w:t>
      </w:r>
    </w:p>
    <w:p w14:paraId="165BA8CB" w14:textId="77777777" w:rsidR="008454E9" w:rsidRPr="00D6340F" w:rsidRDefault="008454E9" w:rsidP="00323B76">
      <w:pPr>
        <w:widowControl w:val="0"/>
        <w:rPr>
          <w:rFonts w:cs="Arial"/>
          <w:lang w:val="en-GB"/>
        </w:rPr>
      </w:pPr>
    </w:p>
    <w:p w14:paraId="55673741" w14:textId="77777777" w:rsidR="00C605DA" w:rsidRPr="00D6340F" w:rsidRDefault="00C605DA" w:rsidP="00C605DA">
      <w:pPr>
        <w:pStyle w:val="Heading6"/>
        <w:rPr>
          <w:rFonts w:cs="Arial"/>
        </w:rPr>
      </w:pPr>
      <w:r w:rsidRPr="00D6340F">
        <w:rPr>
          <w:rFonts w:cs="Arial"/>
        </w:rPr>
        <w:t>Hypertension</w:t>
      </w:r>
    </w:p>
    <w:p w14:paraId="73BFABB3" w14:textId="67544E9B" w:rsidR="00C605DA" w:rsidRPr="00D6340F" w:rsidRDefault="00C605DA" w:rsidP="00C605DA">
      <w:pPr>
        <w:rPr>
          <w:rFonts w:cs="Arial"/>
          <w:lang w:val="en-GB"/>
        </w:rPr>
      </w:pPr>
      <w:r w:rsidRPr="00D6340F">
        <w:rPr>
          <w:rFonts w:cs="Arial"/>
          <w:lang w:val="en-GB"/>
        </w:rPr>
        <w:t xml:space="preserve">See </w:t>
      </w:r>
      <w:r w:rsidR="002840C6">
        <w:rPr>
          <w:rFonts w:cs="Arial"/>
          <w:lang w:val="en-GB"/>
        </w:rPr>
        <w:t>Section</w:t>
      </w:r>
      <w:r w:rsidRPr="00D6340F">
        <w:rPr>
          <w:rFonts w:cs="Arial"/>
          <w:lang w:val="en-GB"/>
        </w:rPr>
        <w:t xml:space="preserve"> 3.6: Hypertension.</w:t>
      </w:r>
    </w:p>
    <w:p w14:paraId="1B2AF23B" w14:textId="77777777" w:rsidR="001A4D9C" w:rsidRPr="00D6340F" w:rsidRDefault="001A4D9C" w:rsidP="00C605DA">
      <w:pPr>
        <w:pStyle w:val="Heading6"/>
        <w:rPr>
          <w:rFonts w:cs="Arial"/>
        </w:rPr>
      </w:pPr>
    </w:p>
    <w:p w14:paraId="599B932E" w14:textId="77777777" w:rsidR="00C605DA" w:rsidRPr="00D6340F" w:rsidRDefault="00C605DA" w:rsidP="00C605DA">
      <w:pPr>
        <w:pStyle w:val="Heading6"/>
        <w:rPr>
          <w:rFonts w:cs="Arial"/>
        </w:rPr>
      </w:pPr>
      <w:r w:rsidRPr="00D6340F">
        <w:rPr>
          <w:rFonts w:cs="Arial"/>
        </w:rPr>
        <w:t>Dyslipidaemia</w:t>
      </w:r>
    </w:p>
    <w:p w14:paraId="406A2C12" w14:textId="68BB229D" w:rsidR="00C605DA" w:rsidRPr="00D6340F" w:rsidRDefault="00C605DA" w:rsidP="00C605DA">
      <w:pPr>
        <w:rPr>
          <w:rFonts w:cs="Arial"/>
          <w:lang w:val="en-GB"/>
        </w:rPr>
      </w:pPr>
      <w:r w:rsidRPr="00D6340F">
        <w:rPr>
          <w:rFonts w:cs="Arial"/>
          <w:lang w:val="en-GB"/>
        </w:rPr>
        <w:t xml:space="preserve">See </w:t>
      </w:r>
      <w:r w:rsidR="002840C6">
        <w:rPr>
          <w:rFonts w:cs="Arial"/>
          <w:lang w:val="en-GB"/>
        </w:rPr>
        <w:t>Section</w:t>
      </w:r>
      <w:r w:rsidRPr="00D6340F">
        <w:rPr>
          <w:rFonts w:cs="Arial"/>
          <w:lang w:val="en-GB"/>
        </w:rPr>
        <w:t xml:space="preserve"> 8.8: Dyslipidaemia.</w:t>
      </w:r>
    </w:p>
    <w:p w14:paraId="442978A5" w14:textId="77777777" w:rsidR="00AB2FEC" w:rsidRPr="00D6340F" w:rsidRDefault="00AB2FEC" w:rsidP="00C605DA">
      <w:pPr>
        <w:rPr>
          <w:rFonts w:cs="Arial"/>
          <w:lang w:val="en-GB"/>
        </w:rPr>
      </w:pPr>
    </w:p>
    <w:p w14:paraId="06061E13" w14:textId="77777777" w:rsidR="00C605DA" w:rsidRPr="00D6340F" w:rsidRDefault="00C605DA" w:rsidP="00110944">
      <w:pPr>
        <w:pStyle w:val="Heading2"/>
      </w:pPr>
      <w:r w:rsidRPr="00D6340F">
        <w:t>8.7.1</w:t>
      </w:r>
      <w:r w:rsidR="00E066CB">
        <w:tab/>
      </w:r>
      <w:r w:rsidRPr="00D6340F">
        <w:t xml:space="preserve">Diabetic </w:t>
      </w:r>
      <w:r w:rsidR="00870795" w:rsidRPr="00D6340F">
        <w:t>Neuropath</w:t>
      </w:r>
      <w:r w:rsidR="00870795">
        <w:t>IES</w:t>
      </w:r>
    </w:p>
    <w:p w14:paraId="33BC60FF" w14:textId="77777777" w:rsidR="00C605DA" w:rsidRPr="00D6340F" w:rsidRDefault="00C605DA" w:rsidP="00C605DA">
      <w:pPr>
        <w:rPr>
          <w:rFonts w:cs="Arial"/>
          <w:sz w:val="16"/>
          <w:szCs w:val="16"/>
          <w:lang w:val="en-GB"/>
        </w:rPr>
      </w:pPr>
      <w:r w:rsidRPr="00D6340F">
        <w:rPr>
          <w:rFonts w:cs="Arial"/>
          <w:sz w:val="16"/>
          <w:szCs w:val="16"/>
          <w:lang w:val="en-GB"/>
        </w:rPr>
        <w:t>E10.4</w:t>
      </w:r>
      <w:r w:rsidR="00CC1CF6" w:rsidRPr="00CC1CF6">
        <w:rPr>
          <w:rFonts w:cs="Arial"/>
          <w:sz w:val="16"/>
          <w:szCs w:val="16"/>
          <w:vertAlign w:val="superscript"/>
          <w:lang w:val="en-GB"/>
        </w:rPr>
        <w:t>†</w:t>
      </w:r>
      <w:r w:rsidRPr="00D6340F">
        <w:rPr>
          <w:rFonts w:cs="Arial"/>
          <w:sz w:val="16"/>
          <w:szCs w:val="16"/>
          <w:lang w:val="en-GB"/>
        </w:rPr>
        <w:t>/</w:t>
      </w:r>
      <w:r w:rsidR="007A52FA" w:rsidRPr="00D6340F" w:rsidDel="007A52FA">
        <w:rPr>
          <w:rFonts w:cs="Arial"/>
          <w:sz w:val="16"/>
          <w:szCs w:val="16"/>
          <w:lang w:val="en-GB"/>
        </w:rPr>
        <w:t xml:space="preserve"> </w:t>
      </w:r>
      <w:r w:rsidRPr="00D6340F">
        <w:rPr>
          <w:rFonts w:cs="Arial"/>
          <w:sz w:val="16"/>
          <w:szCs w:val="16"/>
          <w:lang w:val="en-GB"/>
        </w:rPr>
        <w:t>E11.4</w:t>
      </w:r>
      <w:r w:rsidR="00CC1CF6" w:rsidRPr="00FD3F23">
        <w:rPr>
          <w:rFonts w:cs="Arial"/>
          <w:sz w:val="16"/>
          <w:szCs w:val="16"/>
          <w:vertAlign w:val="superscript"/>
          <w:lang w:val="en-GB"/>
        </w:rPr>
        <w:t>†</w:t>
      </w:r>
      <w:r w:rsidR="007A52FA">
        <w:rPr>
          <w:rFonts w:cs="Arial"/>
          <w:sz w:val="16"/>
          <w:szCs w:val="16"/>
          <w:lang w:val="en-GB"/>
        </w:rPr>
        <w:t xml:space="preserve"> + (G63.2*/G99.0*/G59.0*)</w:t>
      </w:r>
    </w:p>
    <w:p w14:paraId="5CE1E2EA" w14:textId="77777777" w:rsidR="00C605DA" w:rsidRPr="00D6340F" w:rsidRDefault="00C605DA" w:rsidP="00C605DA">
      <w:pPr>
        <w:rPr>
          <w:rFonts w:cs="Arial"/>
          <w:lang w:val="en-GB"/>
        </w:rPr>
      </w:pPr>
    </w:p>
    <w:p w14:paraId="60CB0166" w14:textId="77777777" w:rsidR="00C605DA" w:rsidRPr="00D6340F" w:rsidRDefault="00C605DA" w:rsidP="00C605DA">
      <w:pPr>
        <w:rPr>
          <w:rFonts w:cs="Arial"/>
          <w:b/>
          <w:sz w:val="20"/>
          <w:szCs w:val="20"/>
          <w:lang w:val="en-GB"/>
        </w:rPr>
      </w:pPr>
      <w:r w:rsidRPr="00D6340F">
        <w:rPr>
          <w:rFonts w:cs="Arial"/>
          <w:b/>
          <w:sz w:val="20"/>
          <w:szCs w:val="20"/>
          <w:lang w:val="en-GB"/>
        </w:rPr>
        <w:t>DESCRIPTION</w:t>
      </w:r>
    </w:p>
    <w:p w14:paraId="67019073" w14:textId="77777777" w:rsidR="00C605DA" w:rsidRPr="008454E9" w:rsidRDefault="00C605DA" w:rsidP="00C605DA">
      <w:pPr>
        <w:rPr>
          <w:rFonts w:cs="Arial"/>
          <w:spacing w:val="-2"/>
          <w:lang w:val="en-GB"/>
        </w:rPr>
      </w:pPr>
      <w:r w:rsidRPr="008454E9">
        <w:rPr>
          <w:rFonts w:cs="Arial"/>
          <w:spacing w:val="-2"/>
          <w:lang w:val="en-GB"/>
        </w:rPr>
        <w:t>Neuropathies are a common complication of diabetes. They play an important role in the morbidity and mortality suffered by people with diabetes.</w:t>
      </w:r>
    </w:p>
    <w:p w14:paraId="420F8948" w14:textId="77777777" w:rsidR="00323B76" w:rsidRPr="00D6340F" w:rsidRDefault="00323B76" w:rsidP="00C605DA">
      <w:pPr>
        <w:rPr>
          <w:rFonts w:cs="Arial"/>
          <w:sz w:val="10"/>
          <w:szCs w:val="10"/>
          <w:lang w:val="en-GB"/>
        </w:rPr>
      </w:pPr>
    </w:p>
    <w:p w14:paraId="69127282" w14:textId="77777777" w:rsidR="00C605DA" w:rsidRPr="00D6340F" w:rsidRDefault="00C605DA" w:rsidP="00C605DA">
      <w:pPr>
        <w:rPr>
          <w:rFonts w:cs="Arial"/>
          <w:lang w:val="en-GB"/>
        </w:rPr>
      </w:pPr>
      <w:r w:rsidRPr="00D6340F">
        <w:rPr>
          <w:rFonts w:cs="Arial"/>
          <w:lang w:val="en-GB"/>
        </w:rPr>
        <w:t>There are three major categories:</w:t>
      </w:r>
    </w:p>
    <w:p w14:paraId="03BFDFE3" w14:textId="77777777" w:rsidR="0036185F" w:rsidRPr="00D6340F" w:rsidRDefault="00C605DA" w:rsidP="007E4E67">
      <w:pPr>
        <w:pStyle w:val="ep0"/>
        <w:numPr>
          <w:ilvl w:val="0"/>
          <w:numId w:val="28"/>
        </w:numPr>
        <w:ind w:left="284" w:hanging="284"/>
        <w:rPr>
          <w:rFonts w:cs="Arial"/>
          <w:strike w:val="0"/>
          <w:lang w:val="en-GB"/>
        </w:rPr>
      </w:pPr>
      <w:r w:rsidRPr="00D6340F">
        <w:rPr>
          <w:rFonts w:cs="Arial"/>
          <w:strike w:val="0"/>
          <w:lang w:val="en-GB"/>
        </w:rPr>
        <w:t>peripheral neuropathy,</w:t>
      </w:r>
    </w:p>
    <w:p w14:paraId="72FCC833" w14:textId="77777777" w:rsidR="0036185F" w:rsidRPr="00D6340F" w:rsidRDefault="00C605DA" w:rsidP="007E4E67">
      <w:pPr>
        <w:pStyle w:val="ep0"/>
        <w:numPr>
          <w:ilvl w:val="0"/>
          <w:numId w:val="28"/>
        </w:numPr>
        <w:ind w:left="284" w:hanging="284"/>
        <w:rPr>
          <w:rFonts w:cs="Arial"/>
          <w:strike w:val="0"/>
          <w:lang w:val="en-GB"/>
        </w:rPr>
      </w:pPr>
      <w:r w:rsidRPr="00D6340F">
        <w:rPr>
          <w:rFonts w:cs="Arial"/>
          <w:strike w:val="0"/>
          <w:lang w:val="en-GB"/>
        </w:rPr>
        <w:t>autonomic neuropathy, and</w:t>
      </w:r>
    </w:p>
    <w:p w14:paraId="66994A54" w14:textId="77777777" w:rsidR="0036185F" w:rsidRPr="00D6340F" w:rsidRDefault="00C605DA" w:rsidP="007E4E67">
      <w:pPr>
        <w:pStyle w:val="ep0"/>
        <w:numPr>
          <w:ilvl w:val="0"/>
          <w:numId w:val="28"/>
        </w:numPr>
        <w:ind w:left="284" w:hanging="284"/>
        <w:rPr>
          <w:rFonts w:cs="Arial"/>
          <w:strike w:val="0"/>
          <w:lang w:val="en-GB"/>
        </w:rPr>
      </w:pPr>
      <w:r w:rsidRPr="00D6340F">
        <w:rPr>
          <w:rFonts w:cs="Arial"/>
          <w:strike w:val="0"/>
          <w:lang w:val="en-GB"/>
        </w:rPr>
        <w:t>acute onset neuropathies.</w:t>
      </w:r>
    </w:p>
    <w:p w14:paraId="21C577D2" w14:textId="77777777" w:rsidR="00C605DA" w:rsidRPr="00D6340F" w:rsidRDefault="00C605DA" w:rsidP="00C605DA">
      <w:pPr>
        <w:rPr>
          <w:rFonts w:cs="Arial"/>
          <w:lang w:val="en-GB"/>
        </w:rPr>
      </w:pPr>
    </w:p>
    <w:p w14:paraId="2F927E12" w14:textId="77777777" w:rsidR="00C605DA" w:rsidRPr="00D6340F" w:rsidRDefault="00C605DA" w:rsidP="00C605DA">
      <w:pPr>
        <w:rPr>
          <w:rFonts w:cs="Arial"/>
          <w:b/>
          <w:sz w:val="20"/>
          <w:szCs w:val="20"/>
          <w:lang w:val="en-GB"/>
        </w:rPr>
      </w:pPr>
      <w:r w:rsidRPr="00D6340F">
        <w:rPr>
          <w:rFonts w:cs="Arial"/>
          <w:b/>
          <w:sz w:val="20"/>
          <w:szCs w:val="20"/>
          <w:lang w:val="en-GB"/>
        </w:rPr>
        <w:t>MEDICINE TREATMENT</w:t>
      </w:r>
    </w:p>
    <w:p w14:paraId="21FB36A8" w14:textId="77777777" w:rsidR="00C605DA" w:rsidRPr="00D6340F" w:rsidRDefault="00C605DA" w:rsidP="00C605DA">
      <w:pPr>
        <w:rPr>
          <w:rFonts w:cs="Arial"/>
          <w:lang w:val="en-GB"/>
        </w:rPr>
      </w:pPr>
      <w:r w:rsidRPr="00D6340F">
        <w:rPr>
          <w:rFonts w:cs="Arial"/>
          <w:lang w:val="en-GB"/>
        </w:rPr>
        <w:t>Ensure appropriate glycaemic control.</w:t>
      </w:r>
    </w:p>
    <w:p w14:paraId="3D6C94C3" w14:textId="77777777" w:rsidR="00C605DA" w:rsidRPr="00D6340F" w:rsidRDefault="00C605DA" w:rsidP="00C605DA">
      <w:pPr>
        <w:rPr>
          <w:rFonts w:cs="Arial"/>
          <w:lang w:val="en-GB"/>
        </w:rPr>
      </w:pPr>
      <w:r w:rsidRPr="00D6340F">
        <w:rPr>
          <w:rFonts w:cs="Arial"/>
          <w:lang w:val="en-GB"/>
        </w:rPr>
        <w:t>Exclude or treat other contributory factors e.g.:</w:t>
      </w:r>
    </w:p>
    <w:p w14:paraId="0993CC7E" w14:textId="77777777" w:rsidR="0036185F" w:rsidRPr="00D6340F" w:rsidRDefault="00C605DA" w:rsidP="007E4E67">
      <w:pPr>
        <w:pStyle w:val="ep0"/>
        <w:numPr>
          <w:ilvl w:val="0"/>
          <w:numId w:val="28"/>
        </w:numPr>
        <w:ind w:left="284" w:hanging="284"/>
        <w:rPr>
          <w:rFonts w:cs="Arial"/>
          <w:strike w:val="0"/>
          <w:lang w:val="en-GB"/>
        </w:rPr>
      </w:pPr>
      <w:r w:rsidRPr="00D6340F">
        <w:rPr>
          <w:rFonts w:cs="Arial"/>
          <w:strike w:val="0"/>
          <w:lang w:val="en-GB"/>
        </w:rPr>
        <w:t>alcohol excess,</w:t>
      </w:r>
    </w:p>
    <w:p w14:paraId="0618B47A" w14:textId="77777777" w:rsidR="0036185F" w:rsidRPr="00D6340F" w:rsidRDefault="00C605DA" w:rsidP="007E4E67">
      <w:pPr>
        <w:pStyle w:val="ep0"/>
        <w:numPr>
          <w:ilvl w:val="0"/>
          <w:numId w:val="28"/>
        </w:numPr>
        <w:ind w:left="284" w:hanging="284"/>
        <w:rPr>
          <w:rFonts w:cs="Arial"/>
          <w:strike w:val="0"/>
          <w:lang w:val="en-GB"/>
        </w:rPr>
      </w:pPr>
      <w:r w:rsidRPr="00D6340F">
        <w:rPr>
          <w:rFonts w:cs="Arial"/>
          <w:strike w:val="0"/>
          <w:lang w:val="en-GB"/>
        </w:rPr>
        <w:t>vitamin B</w:t>
      </w:r>
      <w:r w:rsidRPr="00D6340F">
        <w:rPr>
          <w:rFonts w:cs="Arial"/>
          <w:strike w:val="0"/>
          <w:vertAlign w:val="subscript"/>
          <w:lang w:val="en-GB"/>
        </w:rPr>
        <w:t>12</w:t>
      </w:r>
      <w:r w:rsidRPr="00D6340F">
        <w:rPr>
          <w:rFonts w:cs="Arial"/>
          <w:strike w:val="0"/>
          <w:lang w:val="en-GB"/>
        </w:rPr>
        <w:t xml:space="preserve"> deficiency, if suspected,</w:t>
      </w:r>
    </w:p>
    <w:p w14:paraId="7CD0505C" w14:textId="77777777" w:rsidR="0036185F" w:rsidRPr="00D6340F" w:rsidRDefault="00C605DA" w:rsidP="007E4E67">
      <w:pPr>
        <w:pStyle w:val="ep0"/>
        <w:numPr>
          <w:ilvl w:val="0"/>
          <w:numId w:val="28"/>
        </w:numPr>
        <w:ind w:left="284" w:hanging="284"/>
        <w:rPr>
          <w:rFonts w:cs="Arial"/>
          <w:strike w:val="0"/>
          <w:lang w:val="en-GB"/>
        </w:rPr>
      </w:pPr>
      <w:r w:rsidRPr="00D6340F">
        <w:rPr>
          <w:rFonts w:cs="Arial"/>
          <w:strike w:val="0"/>
          <w:lang w:val="en-GB"/>
        </w:rPr>
        <w:t>uraemia,</w:t>
      </w:r>
      <w:r w:rsidR="00E066CB">
        <w:rPr>
          <w:rFonts w:cs="Arial"/>
          <w:strike w:val="0"/>
          <w:lang w:val="en-GB"/>
        </w:rPr>
        <w:t xml:space="preserve"> </w:t>
      </w:r>
      <w:r w:rsidRPr="00D6340F">
        <w:rPr>
          <w:rFonts w:cs="Arial"/>
          <w:strike w:val="0"/>
          <w:lang w:val="en-GB"/>
        </w:rPr>
        <w:t>and</w:t>
      </w:r>
    </w:p>
    <w:p w14:paraId="5EA7C16C" w14:textId="77777777" w:rsidR="0036185F" w:rsidRPr="00D6340F" w:rsidRDefault="00C605DA" w:rsidP="007E4E67">
      <w:pPr>
        <w:pStyle w:val="ep0"/>
        <w:numPr>
          <w:ilvl w:val="0"/>
          <w:numId w:val="28"/>
        </w:numPr>
        <w:ind w:left="284" w:hanging="284"/>
        <w:rPr>
          <w:rFonts w:cs="Arial"/>
          <w:strike w:val="0"/>
          <w:lang w:val="en-GB"/>
        </w:rPr>
      </w:pPr>
      <w:r w:rsidRPr="00D6340F">
        <w:rPr>
          <w:rFonts w:cs="Arial"/>
          <w:strike w:val="0"/>
          <w:lang w:val="en-GB"/>
        </w:rPr>
        <w:t>HIV infection.</w:t>
      </w:r>
    </w:p>
    <w:p w14:paraId="64B42A91" w14:textId="77777777" w:rsidR="00C605DA" w:rsidRPr="00D6340F" w:rsidRDefault="00C605DA" w:rsidP="00C605DA">
      <w:pPr>
        <w:rPr>
          <w:rFonts w:cs="Arial"/>
          <w:lang w:val="en-GB"/>
        </w:rPr>
      </w:pPr>
    </w:p>
    <w:p w14:paraId="6ED1F0D0" w14:textId="77777777" w:rsidR="00C605DA" w:rsidRPr="00D6340F" w:rsidRDefault="00C605DA" w:rsidP="00C605DA">
      <w:pPr>
        <w:pStyle w:val="Heading7"/>
        <w:rPr>
          <w:lang w:val="en-GB"/>
        </w:rPr>
      </w:pPr>
      <w:r w:rsidRPr="00D6340F">
        <w:rPr>
          <w:lang w:val="en-GB"/>
        </w:rPr>
        <w:t xml:space="preserve">Pain </w:t>
      </w:r>
    </w:p>
    <w:p w14:paraId="07104A3C" w14:textId="2144F72D" w:rsidR="00BC25C6" w:rsidRDefault="00BC25C6" w:rsidP="00BC25C6">
      <w:pPr>
        <w:rPr>
          <w:lang w:val="en-GB" w:eastAsia="en-ZA"/>
        </w:rPr>
      </w:pPr>
      <w:r w:rsidRPr="00D6340F">
        <w:rPr>
          <w:lang w:val="en-GB" w:eastAsia="en-ZA"/>
        </w:rPr>
        <w:t xml:space="preserve">See </w:t>
      </w:r>
      <w:r w:rsidR="002840C6">
        <w:rPr>
          <w:lang w:val="en-GB" w:eastAsia="en-ZA"/>
        </w:rPr>
        <w:t>Section</w:t>
      </w:r>
      <w:r w:rsidRPr="00D6340F">
        <w:rPr>
          <w:lang w:val="en-GB" w:eastAsia="en-ZA"/>
        </w:rPr>
        <w:t xml:space="preserve"> </w:t>
      </w:r>
      <w:r w:rsidR="00F66C0F" w:rsidRPr="00D6340F">
        <w:rPr>
          <w:lang w:val="en-GB" w:eastAsia="en-ZA"/>
        </w:rPr>
        <w:t>26.</w:t>
      </w:r>
      <w:r w:rsidR="00870795">
        <w:rPr>
          <w:lang w:val="en-GB" w:eastAsia="en-ZA"/>
        </w:rPr>
        <w:t>1.4: Management of neuropathic pain.</w:t>
      </w:r>
    </w:p>
    <w:p w14:paraId="16FC9E37" w14:textId="77777777" w:rsidR="006C10F3" w:rsidRDefault="006C10F3" w:rsidP="00C605DA">
      <w:pPr>
        <w:pStyle w:val="Heading7"/>
        <w:rPr>
          <w:lang w:val="en-GB"/>
        </w:rPr>
      </w:pPr>
    </w:p>
    <w:p w14:paraId="744E6338" w14:textId="77777777" w:rsidR="00C605DA" w:rsidRPr="00D6340F" w:rsidRDefault="00C605DA" w:rsidP="00C605DA">
      <w:pPr>
        <w:pStyle w:val="Heading7"/>
        <w:rPr>
          <w:lang w:val="en-GB"/>
        </w:rPr>
      </w:pPr>
      <w:r w:rsidRPr="00D6340F">
        <w:rPr>
          <w:lang w:val="en-GB"/>
        </w:rPr>
        <w:t>Gastroparesis</w:t>
      </w:r>
    </w:p>
    <w:p w14:paraId="7E4140DE" w14:textId="77777777" w:rsidR="00C605DA" w:rsidRPr="00D6340F" w:rsidRDefault="00C605DA" w:rsidP="00C605DA">
      <w:pPr>
        <w:pStyle w:val="ep4"/>
        <w:rPr>
          <w:lang w:val="en-GB"/>
        </w:rPr>
      </w:pPr>
      <w:r w:rsidRPr="00D6340F">
        <w:rPr>
          <w:lang w:val="en-GB"/>
        </w:rPr>
        <w:t>Metoclopramide, oral, 10 mg 8 hourly</w:t>
      </w:r>
      <w:r w:rsidR="00F05D50" w:rsidRPr="00D6340F">
        <w:rPr>
          <w:lang w:val="en-GB"/>
        </w:rPr>
        <w:t>,</w:t>
      </w:r>
      <w:r w:rsidR="00F66C0F" w:rsidRPr="00D6340F">
        <w:rPr>
          <w:lang w:val="en-GB"/>
        </w:rPr>
        <w:t xml:space="preserve"> </w:t>
      </w:r>
      <w:r w:rsidR="00F05D50" w:rsidRPr="00D6340F">
        <w:rPr>
          <w:lang w:val="en-GB"/>
        </w:rPr>
        <w:t xml:space="preserve">30 minutes </w:t>
      </w:r>
      <w:r w:rsidRPr="00D6340F">
        <w:rPr>
          <w:lang w:val="en-GB"/>
        </w:rPr>
        <w:t>before meals.</w:t>
      </w:r>
    </w:p>
    <w:p w14:paraId="286289A6" w14:textId="6A2584D5" w:rsidR="00C605DA" w:rsidRDefault="00C605DA" w:rsidP="00C605DA">
      <w:pPr>
        <w:pStyle w:val="Normal2"/>
        <w:rPr>
          <w:lang w:val="en-GB"/>
        </w:rPr>
      </w:pPr>
      <w:r w:rsidRPr="00D6340F">
        <w:rPr>
          <w:lang w:val="en-GB"/>
        </w:rPr>
        <w:t xml:space="preserve">If </w:t>
      </w:r>
      <w:r w:rsidR="00A407E6" w:rsidRPr="00D6340F">
        <w:rPr>
          <w:lang w:val="en-GB"/>
        </w:rPr>
        <w:t>ineffective,</w:t>
      </w:r>
      <w:r w:rsidRPr="00D6340F">
        <w:rPr>
          <w:lang w:val="en-GB"/>
        </w:rPr>
        <w:t xml:space="preserve"> consult a specialist.</w:t>
      </w:r>
    </w:p>
    <w:p w14:paraId="40C737F7" w14:textId="77777777" w:rsidR="00A407E6" w:rsidRPr="00D6340F" w:rsidRDefault="00A407E6" w:rsidP="00C605DA">
      <w:pPr>
        <w:pStyle w:val="Normal2"/>
        <w:rPr>
          <w:lang w:val="en-GB"/>
        </w:rPr>
      </w:pPr>
    </w:p>
    <w:p w14:paraId="674768AA" w14:textId="77777777" w:rsidR="00C605DA" w:rsidRPr="00D6340F" w:rsidRDefault="00C605DA" w:rsidP="00110944">
      <w:pPr>
        <w:pStyle w:val="Heading2"/>
      </w:pPr>
      <w:r w:rsidRPr="00D6340F">
        <w:lastRenderedPageBreak/>
        <w:t>8.7.</w:t>
      </w:r>
      <w:r w:rsidR="00E066CB" w:rsidRPr="00D6340F">
        <w:t>2</w:t>
      </w:r>
      <w:r w:rsidR="00E066CB">
        <w:tab/>
      </w:r>
      <w:r w:rsidRPr="00D6340F">
        <w:t>Diabetic Kidney Disease</w:t>
      </w:r>
    </w:p>
    <w:p w14:paraId="398726E9" w14:textId="77777777" w:rsidR="00C605DA" w:rsidRPr="00D6340F" w:rsidRDefault="007A52FA" w:rsidP="00C02921">
      <w:pPr>
        <w:pStyle w:val="Heading4"/>
      </w:pPr>
      <w:r>
        <w:t>E10.0/E11.2/E12.2/E13.2/E14.2 + (N18.1-5/N18.9)</w:t>
      </w:r>
    </w:p>
    <w:p w14:paraId="10EC9ABB" w14:textId="77777777" w:rsidR="00C605DA" w:rsidRPr="00037411" w:rsidRDefault="00C605DA" w:rsidP="00C605DA">
      <w:pPr>
        <w:rPr>
          <w:rFonts w:cs="Arial"/>
          <w:sz w:val="6"/>
          <w:lang w:val="en-GB"/>
        </w:rPr>
      </w:pPr>
    </w:p>
    <w:p w14:paraId="5FF8A27E" w14:textId="278620B0" w:rsidR="00C605DA" w:rsidRPr="00D6340F" w:rsidRDefault="00C605DA" w:rsidP="00C605DA">
      <w:pPr>
        <w:rPr>
          <w:rFonts w:cs="Arial"/>
          <w:lang w:val="en-GB"/>
        </w:rPr>
      </w:pPr>
      <w:r w:rsidRPr="00D6340F">
        <w:rPr>
          <w:rFonts w:cs="Arial"/>
          <w:lang w:val="en-GB"/>
        </w:rPr>
        <w:t xml:space="preserve">See </w:t>
      </w:r>
      <w:r w:rsidR="002840C6">
        <w:rPr>
          <w:rFonts w:cs="Arial"/>
          <w:lang w:val="en-GB"/>
        </w:rPr>
        <w:t>Section</w:t>
      </w:r>
      <w:r w:rsidRPr="00D6340F">
        <w:rPr>
          <w:rFonts w:cs="Arial"/>
          <w:lang w:val="en-GB"/>
        </w:rPr>
        <w:t xml:space="preserve"> 7.1.1: Chronic Kidney Disease.</w:t>
      </w:r>
    </w:p>
    <w:p w14:paraId="607E9C34" w14:textId="77777777" w:rsidR="006A7E1A" w:rsidRPr="00D6340F" w:rsidRDefault="006A7E1A" w:rsidP="00C605DA">
      <w:pPr>
        <w:rPr>
          <w:rFonts w:cs="Arial"/>
          <w:lang w:val="en-GB"/>
        </w:rPr>
      </w:pPr>
    </w:p>
    <w:p w14:paraId="743B6E53" w14:textId="77777777" w:rsidR="00C605DA" w:rsidRPr="00D6340F" w:rsidRDefault="00C605DA" w:rsidP="00110944">
      <w:pPr>
        <w:pStyle w:val="Heading2"/>
      </w:pPr>
      <w:r w:rsidRPr="00D6340F">
        <w:t>8.7.</w:t>
      </w:r>
      <w:r w:rsidR="00E066CB" w:rsidRPr="00D6340F">
        <w:t>3</w:t>
      </w:r>
      <w:r w:rsidR="00E066CB">
        <w:tab/>
      </w:r>
      <w:r w:rsidRPr="00D6340F">
        <w:t>Diabetic Foot Ulcers</w:t>
      </w:r>
    </w:p>
    <w:p w14:paraId="27045486" w14:textId="77777777" w:rsidR="00C605DA" w:rsidRPr="00D6340F" w:rsidRDefault="00C605DA" w:rsidP="00C02921">
      <w:pPr>
        <w:pStyle w:val="Heading4"/>
      </w:pPr>
      <w:r w:rsidRPr="00D6340F">
        <w:t>l97</w:t>
      </w:r>
      <w:r w:rsidR="007A52FA">
        <w:t>/L08.8 + (E10.5/E11.5/E12.5/E13.5/E14.5)</w:t>
      </w:r>
    </w:p>
    <w:p w14:paraId="6C2B6195" w14:textId="77777777" w:rsidR="00C605DA" w:rsidRPr="00D6340F" w:rsidRDefault="00C605DA" w:rsidP="00C605DA">
      <w:pPr>
        <w:rPr>
          <w:rFonts w:cs="Arial"/>
          <w:lang w:val="en-GB"/>
        </w:rPr>
      </w:pPr>
    </w:p>
    <w:p w14:paraId="574B8737" w14:textId="77777777" w:rsidR="00C605DA" w:rsidRPr="00D6340F" w:rsidRDefault="00C605DA" w:rsidP="00C605DA">
      <w:pPr>
        <w:rPr>
          <w:rFonts w:cs="Arial"/>
          <w:b/>
          <w:sz w:val="20"/>
          <w:szCs w:val="20"/>
          <w:lang w:val="en-GB"/>
        </w:rPr>
      </w:pPr>
      <w:r w:rsidRPr="00D6340F">
        <w:rPr>
          <w:rFonts w:cs="Arial"/>
          <w:b/>
          <w:sz w:val="20"/>
          <w:szCs w:val="20"/>
          <w:lang w:val="en-GB"/>
        </w:rPr>
        <w:t>GENERAL MEASURES</w:t>
      </w:r>
    </w:p>
    <w:p w14:paraId="078F2D03" w14:textId="77777777" w:rsidR="00C605DA" w:rsidRPr="00D6340F" w:rsidRDefault="00C605DA" w:rsidP="00C605DA">
      <w:pPr>
        <w:rPr>
          <w:rFonts w:cs="Arial"/>
          <w:lang w:val="en-GB"/>
        </w:rPr>
      </w:pPr>
      <w:r w:rsidRPr="00D6340F">
        <w:rPr>
          <w:rFonts w:cs="Arial"/>
          <w:lang w:val="en-GB"/>
        </w:rPr>
        <w:t>Metabolic control.</w:t>
      </w:r>
    </w:p>
    <w:p w14:paraId="1ABE9260" w14:textId="77777777" w:rsidR="00C605DA" w:rsidRPr="00D6340F" w:rsidRDefault="00C605DA" w:rsidP="00C605DA">
      <w:pPr>
        <w:rPr>
          <w:rFonts w:cs="Arial"/>
          <w:lang w:val="en-GB"/>
        </w:rPr>
      </w:pPr>
      <w:r w:rsidRPr="00D6340F">
        <w:rPr>
          <w:rFonts w:cs="Arial"/>
          <w:lang w:val="en-GB"/>
        </w:rPr>
        <w:t>Treat underlying comorbidity</w:t>
      </w:r>
      <w:r w:rsidR="00470641" w:rsidRPr="00D6340F">
        <w:rPr>
          <w:rFonts w:cs="Arial"/>
          <w:lang w:val="en-GB"/>
        </w:rPr>
        <w:t xml:space="preserve"> (e.g</w:t>
      </w:r>
      <w:r w:rsidR="00732DB2" w:rsidRPr="00D6340F">
        <w:rPr>
          <w:rFonts w:cs="Arial"/>
          <w:lang w:val="en-GB"/>
        </w:rPr>
        <w:t>.</w:t>
      </w:r>
      <w:r w:rsidR="00470641" w:rsidRPr="00D6340F">
        <w:rPr>
          <w:rFonts w:cs="Arial"/>
          <w:lang w:val="en-GB"/>
        </w:rPr>
        <w:t>: corns, alcohol misuse, ingrown toenails)</w:t>
      </w:r>
      <w:r w:rsidR="00C5411A" w:rsidRPr="00D6340F">
        <w:rPr>
          <w:rFonts w:cs="Arial"/>
          <w:lang w:val="en-GB"/>
        </w:rPr>
        <w:t>.</w:t>
      </w:r>
    </w:p>
    <w:p w14:paraId="1C022EE4" w14:textId="77777777" w:rsidR="00C605DA" w:rsidRPr="00D6340F" w:rsidRDefault="00C605DA" w:rsidP="00C605DA">
      <w:pPr>
        <w:rPr>
          <w:rFonts w:cs="Arial"/>
          <w:lang w:val="en-GB"/>
        </w:rPr>
      </w:pPr>
      <w:r w:rsidRPr="00D6340F">
        <w:rPr>
          <w:rFonts w:cs="Arial"/>
          <w:lang w:val="en-GB"/>
        </w:rPr>
        <w:t>Relieve pressure: non-weight bearing is essential.</w:t>
      </w:r>
    </w:p>
    <w:p w14:paraId="1ACD9548" w14:textId="77777777" w:rsidR="00C605DA" w:rsidRDefault="00C605DA" w:rsidP="00C605DA">
      <w:pPr>
        <w:rPr>
          <w:rFonts w:cs="Arial"/>
          <w:lang w:val="en-GB"/>
        </w:rPr>
      </w:pPr>
      <w:r w:rsidRPr="00D6340F">
        <w:rPr>
          <w:rFonts w:cs="Arial"/>
          <w:lang w:val="en-GB"/>
        </w:rPr>
        <w:t>Smoking cessation is essential.</w:t>
      </w:r>
    </w:p>
    <w:p w14:paraId="5BE4A453" w14:textId="77777777" w:rsidR="005C2D6F" w:rsidRDefault="005C2D6F" w:rsidP="00C605DA">
      <w:pPr>
        <w:pStyle w:val="Heading6"/>
        <w:rPr>
          <w:rFonts w:cs="Arial"/>
        </w:rPr>
      </w:pPr>
    </w:p>
    <w:p w14:paraId="6D80F4B1" w14:textId="77777777" w:rsidR="00C605DA" w:rsidRPr="00D6340F" w:rsidRDefault="00C605DA" w:rsidP="00C605DA">
      <w:pPr>
        <w:pStyle w:val="Heading6"/>
        <w:rPr>
          <w:rFonts w:cs="Arial"/>
        </w:rPr>
      </w:pPr>
      <w:r w:rsidRPr="00D6340F">
        <w:rPr>
          <w:rFonts w:cs="Arial"/>
        </w:rPr>
        <w:t>Deep (limb-threatening) infection</w:t>
      </w:r>
    </w:p>
    <w:p w14:paraId="073823C3" w14:textId="77777777" w:rsidR="00C605DA" w:rsidRPr="00D6340F" w:rsidRDefault="00DC4E19" w:rsidP="00C605DA">
      <w:pPr>
        <w:rPr>
          <w:rFonts w:cs="Arial"/>
          <w:lang w:val="en-GB"/>
        </w:rPr>
      </w:pPr>
      <w:r w:rsidRPr="00D6340F">
        <w:rPr>
          <w:rFonts w:cs="Arial"/>
          <w:lang w:val="en-GB"/>
        </w:rPr>
        <w:t>X-ray</w:t>
      </w:r>
      <w:r w:rsidR="009600E0">
        <w:rPr>
          <w:rFonts w:cs="Arial"/>
          <w:lang w:val="en-GB"/>
        </w:rPr>
        <w:t xml:space="preserve"> </w:t>
      </w:r>
      <w:r w:rsidR="00C605DA" w:rsidRPr="00D6340F">
        <w:rPr>
          <w:rFonts w:cs="Arial"/>
          <w:lang w:val="en-GB"/>
        </w:rPr>
        <w:t>of affected limb.</w:t>
      </w:r>
    </w:p>
    <w:p w14:paraId="0FC0B441" w14:textId="77777777" w:rsidR="00C605DA" w:rsidRPr="00D6340F" w:rsidRDefault="00C605DA" w:rsidP="00C605DA">
      <w:pPr>
        <w:rPr>
          <w:rFonts w:cs="Arial"/>
          <w:lang w:val="en-GB"/>
        </w:rPr>
      </w:pPr>
      <w:r w:rsidRPr="00D6340F">
        <w:rPr>
          <w:rFonts w:cs="Arial"/>
          <w:lang w:val="en-GB"/>
        </w:rPr>
        <w:t xml:space="preserve">Surgical drainage as soon as possible with removal of necrotic or poorly vascularised tissue, including infected bone – </w:t>
      </w:r>
      <w:r w:rsidRPr="00D6340F">
        <w:rPr>
          <w:rStyle w:val="StyleBold"/>
          <w:rFonts w:cs="Arial"/>
          <w:lang w:val="en-GB"/>
        </w:rPr>
        <w:t>refer urgently.</w:t>
      </w:r>
    </w:p>
    <w:p w14:paraId="6ECFCEDE" w14:textId="77777777" w:rsidR="00C605DA" w:rsidRPr="00D6340F" w:rsidRDefault="00C605DA" w:rsidP="00C605DA">
      <w:pPr>
        <w:rPr>
          <w:rFonts w:cs="Arial"/>
          <w:lang w:val="en-GB"/>
        </w:rPr>
      </w:pPr>
      <w:r w:rsidRPr="00D6340F">
        <w:rPr>
          <w:rFonts w:cs="Arial"/>
          <w:lang w:val="en-GB"/>
        </w:rPr>
        <w:t>Revascularisation, if necessary</w:t>
      </w:r>
      <w:r w:rsidR="007749C2" w:rsidRPr="00D6340F">
        <w:rPr>
          <w:rFonts w:cs="Arial"/>
          <w:lang w:val="en-GB"/>
        </w:rPr>
        <w:t>.</w:t>
      </w:r>
    </w:p>
    <w:p w14:paraId="35400FC3" w14:textId="77777777" w:rsidR="00C605DA" w:rsidRPr="00D6340F" w:rsidRDefault="00C605DA" w:rsidP="00C605DA">
      <w:pPr>
        <w:rPr>
          <w:rFonts w:cs="Arial"/>
          <w:lang w:val="en-GB"/>
        </w:rPr>
      </w:pPr>
    </w:p>
    <w:p w14:paraId="75A98214" w14:textId="77777777" w:rsidR="00C605DA" w:rsidRPr="00D6340F" w:rsidRDefault="00C605DA" w:rsidP="00C605DA">
      <w:pPr>
        <w:pStyle w:val="Heading6"/>
        <w:rPr>
          <w:rFonts w:cs="Arial"/>
        </w:rPr>
      </w:pPr>
      <w:r w:rsidRPr="00D6340F">
        <w:rPr>
          <w:rFonts w:cs="Arial"/>
        </w:rPr>
        <w:t>Local wound care</w:t>
      </w:r>
    </w:p>
    <w:p w14:paraId="02F03C18" w14:textId="77777777" w:rsidR="00C605DA" w:rsidRPr="00D6340F" w:rsidRDefault="00C605DA" w:rsidP="00C605DA">
      <w:pPr>
        <w:rPr>
          <w:rFonts w:cs="Arial"/>
          <w:lang w:val="en-GB"/>
        </w:rPr>
      </w:pPr>
      <w:r w:rsidRPr="00D6340F">
        <w:rPr>
          <w:rFonts w:cs="Arial"/>
          <w:lang w:val="en-GB"/>
        </w:rPr>
        <w:t xml:space="preserve">Frequent wound debridement with scalpel, e.g. once a week. </w:t>
      </w:r>
    </w:p>
    <w:p w14:paraId="553E1DE3" w14:textId="77777777" w:rsidR="00C605DA" w:rsidRPr="00D6340F" w:rsidRDefault="00C605DA" w:rsidP="00C605DA">
      <w:pPr>
        <w:rPr>
          <w:rFonts w:cs="Arial"/>
          <w:lang w:val="en-GB"/>
        </w:rPr>
      </w:pPr>
      <w:r w:rsidRPr="00D6340F">
        <w:rPr>
          <w:rFonts w:cs="Arial"/>
          <w:lang w:val="en-GB"/>
        </w:rPr>
        <w:t xml:space="preserve">Frequent wound inspection. </w:t>
      </w:r>
    </w:p>
    <w:p w14:paraId="4B0D7E02" w14:textId="77777777" w:rsidR="00C605DA" w:rsidRDefault="00C605DA" w:rsidP="00C605DA">
      <w:pPr>
        <w:rPr>
          <w:rFonts w:cs="Arial"/>
          <w:lang w:val="en-GB"/>
        </w:rPr>
      </w:pPr>
      <w:r w:rsidRPr="00D6340F">
        <w:rPr>
          <w:rFonts w:cs="Arial"/>
          <w:lang w:val="en-GB"/>
        </w:rPr>
        <w:t>Absorbent, non-adhesive, non-occlusive dressings.</w:t>
      </w:r>
    </w:p>
    <w:p w14:paraId="5FA7FCD3" w14:textId="77777777" w:rsidR="007163AB" w:rsidRDefault="007163AB" w:rsidP="00C605DA">
      <w:pPr>
        <w:rPr>
          <w:rFonts w:cs="Arial"/>
          <w:lang w:val="en-GB"/>
        </w:rPr>
      </w:pPr>
    </w:p>
    <w:p w14:paraId="4A9B0C49" w14:textId="77777777" w:rsidR="007163AB" w:rsidRPr="00D6340F" w:rsidRDefault="007163AB" w:rsidP="007163AB">
      <w:pPr>
        <w:pStyle w:val="Heading6"/>
        <w:rPr>
          <w:rFonts w:cs="Arial"/>
        </w:rPr>
      </w:pPr>
      <w:r w:rsidRPr="00D6340F">
        <w:rPr>
          <w:rFonts w:cs="Arial"/>
        </w:rPr>
        <w:t>Superficial ulcer with extensive infection</w:t>
      </w:r>
    </w:p>
    <w:p w14:paraId="393319FF" w14:textId="77777777" w:rsidR="007163AB" w:rsidRPr="00D6340F" w:rsidRDefault="007163AB" w:rsidP="007163AB">
      <w:pPr>
        <w:rPr>
          <w:rFonts w:cs="Arial"/>
          <w:lang w:val="en-GB"/>
        </w:rPr>
      </w:pPr>
      <w:r w:rsidRPr="00D6340F">
        <w:rPr>
          <w:rFonts w:cs="Arial"/>
          <w:lang w:val="en-GB"/>
        </w:rPr>
        <w:t>Debridement with removal of all necrotic tissue.</w:t>
      </w:r>
    </w:p>
    <w:p w14:paraId="78791E6E" w14:textId="77777777" w:rsidR="006C10F3" w:rsidRPr="00D6340F" w:rsidRDefault="006C10F3" w:rsidP="00C605DA">
      <w:pPr>
        <w:rPr>
          <w:rFonts w:cs="Arial"/>
          <w:lang w:val="en-GB"/>
        </w:rPr>
      </w:pPr>
    </w:p>
    <w:p w14:paraId="59915726" w14:textId="77777777" w:rsidR="00C605DA" w:rsidRPr="00D6340F" w:rsidRDefault="00C605DA" w:rsidP="00C605DA">
      <w:pPr>
        <w:rPr>
          <w:rFonts w:cs="Arial"/>
          <w:b/>
          <w:sz w:val="20"/>
          <w:szCs w:val="20"/>
          <w:lang w:val="en-GB"/>
        </w:rPr>
      </w:pPr>
      <w:r w:rsidRPr="00D6340F">
        <w:rPr>
          <w:rFonts w:cs="Arial"/>
          <w:b/>
          <w:sz w:val="20"/>
          <w:szCs w:val="20"/>
          <w:lang w:val="en-GB"/>
        </w:rPr>
        <w:t>MEDICINE TREATMENT</w:t>
      </w:r>
    </w:p>
    <w:p w14:paraId="37C929F1" w14:textId="77777777" w:rsidR="00C605DA" w:rsidRPr="00D6340F" w:rsidRDefault="00C605DA" w:rsidP="00C605DA">
      <w:pPr>
        <w:pStyle w:val="Heading6"/>
        <w:rPr>
          <w:rFonts w:cs="Arial"/>
        </w:rPr>
      </w:pPr>
      <w:r w:rsidRPr="00D6340F">
        <w:rPr>
          <w:rFonts w:cs="Arial"/>
        </w:rPr>
        <w:t>Superficial ulcer with extensive infection</w:t>
      </w:r>
    </w:p>
    <w:p w14:paraId="3B5AD3EC" w14:textId="77777777" w:rsidR="00C605DA" w:rsidRPr="00D6340F" w:rsidRDefault="00C605DA" w:rsidP="00C605DA">
      <w:pPr>
        <w:rPr>
          <w:rFonts w:cs="Arial"/>
          <w:lang w:val="en-GB"/>
        </w:rPr>
      </w:pPr>
    </w:p>
    <w:p w14:paraId="2680E89E" w14:textId="77777777" w:rsidR="00C605DA" w:rsidRPr="00D6340F" w:rsidRDefault="00C605DA" w:rsidP="00C605DA">
      <w:pPr>
        <w:pStyle w:val="Heading7"/>
        <w:rPr>
          <w:lang w:val="en-GB"/>
        </w:rPr>
      </w:pPr>
      <w:r w:rsidRPr="00D6340F">
        <w:rPr>
          <w:lang w:val="en-GB"/>
        </w:rPr>
        <w:t xml:space="preserve">Antibiotic therapy </w:t>
      </w:r>
    </w:p>
    <w:p w14:paraId="3A68ADBF" w14:textId="77777777" w:rsidR="00C605DA" w:rsidRPr="00D6340F" w:rsidRDefault="00C605DA" w:rsidP="00C605DA">
      <w:pPr>
        <w:rPr>
          <w:rFonts w:cs="Arial"/>
          <w:u w:val="single"/>
          <w:lang w:val="en-GB"/>
        </w:rPr>
      </w:pPr>
      <w:r w:rsidRPr="00D6340F">
        <w:rPr>
          <w:rFonts w:cs="Arial"/>
          <w:u w:val="single"/>
          <w:lang w:val="en-GB"/>
        </w:rPr>
        <w:t>For polymicrobial infection:</w:t>
      </w:r>
    </w:p>
    <w:p w14:paraId="5CDE42A4" w14:textId="77777777" w:rsidR="0036185F" w:rsidRPr="00D6340F" w:rsidRDefault="00C605DA" w:rsidP="008454E9">
      <w:pPr>
        <w:rPr>
          <w:rFonts w:cs="Arial"/>
          <w:lang w:val="en-GB"/>
        </w:rPr>
      </w:pPr>
      <w:r w:rsidRPr="00D6340F">
        <w:rPr>
          <w:rFonts w:cs="Arial"/>
          <w:lang w:val="en-GB"/>
        </w:rPr>
        <w:t>Topical antibiotics are not indicated.</w:t>
      </w:r>
    </w:p>
    <w:p w14:paraId="55AF67A4" w14:textId="77777777" w:rsidR="00C605DA" w:rsidRPr="00D6340F" w:rsidRDefault="00C605DA" w:rsidP="00C605DA">
      <w:pPr>
        <w:rPr>
          <w:rFonts w:cs="Arial"/>
          <w:sz w:val="10"/>
          <w:szCs w:val="10"/>
          <w:lang w:val="en-GB"/>
        </w:rPr>
      </w:pPr>
    </w:p>
    <w:p w14:paraId="4527E528" w14:textId="77777777" w:rsidR="00C605DA" w:rsidRPr="00D6340F" w:rsidRDefault="00C605DA" w:rsidP="006C10F3">
      <w:pPr>
        <w:pStyle w:val="ep4"/>
        <w:tabs>
          <w:tab w:val="clear" w:pos="360"/>
          <w:tab w:val="num" w:pos="284"/>
        </w:tabs>
        <w:rPr>
          <w:lang w:val="en-GB"/>
        </w:rPr>
      </w:pPr>
      <w:r w:rsidRPr="00D6340F">
        <w:rPr>
          <w:lang w:val="en-GB"/>
        </w:rPr>
        <w:t>Amoxicillin/clavulanic acid, oral, 875/125 mg 12 hourly for 10 days.</w:t>
      </w:r>
    </w:p>
    <w:p w14:paraId="268EFC8F" w14:textId="77777777" w:rsidR="0036185F" w:rsidRPr="00D6340F" w:rsidRDefault="00C605DA" w:rsidP="007E4E67">
      <w:pPr>
        <w:pStyle w:val="ep4"/>
        <w:numPr>
          <w:ilvl w:val="0"/>
          <w:numId w:val="35"/>
        </w:numPr>
        <w:ind w:left="567" w:hanging="283"/>
        <w:rPr>
          <w:lang w:val="en-GB"/>
        </w:rPr>
      </w:pPr>
      <w:r w:rsidRPr="00D6340F">
        <w:rPr>
          <w:lang w:val="en-GB"/>
        </w:rPr>
        <w:t>Longer course of therapy may be necessary.</w:t>
      </w:r>
    </w:p>
    <w:p w14:paraId="567BC94C" w14:textId="77777777" w:rsidR="00C605DA" w:rsidRPr="00D6340F" w:rsidRDefault="00C605DA" w:rsidP="00C605DA">
      <w:pPr>
        <w:rPr>
          <w:rFonts w:cs="Arial"/>
          <w:lang w:val="en-GB"/>
        </w:rPr>
      </w:pPr>
    </w:p>
    <w:p w14:paraId="65E65029" w14:textId="77777777" w:rsidR="00C605DA" w:rsidRPr="00D6340F" w:rsidRDefault="00C605DA" w:rsidP="00C605DA">
      <w:pPr>
        <w:pStyle w:val="Heading5"/>
        <w:rPr>
          <w:rFonts w:cs="Arial"/>
          <w:sz w:val="18"/>
          <w:szCs w:val="18"/>
          <w:lang w:val="en-GB"/>
        </w:rPr>
      </w:pPr>
      <w:r w:rsidRPr="00D6340F">
        <w:rPr>
          <w:rFonts w:cs="Arial"/>
          <w:sz w:val="18"/>
          <w:szCs w:val="18"/>
          <w:lang w:val="en-GB"/>
        </w:rPr>
        <w:t xml:space="preserve">Severe infection </w:t>
      </w:r>
    </w:p>
    <w:p w14:paraId="4F9E0FC8" w14:textId="77777777" w:rsidR="00CB2418" w:rsidRPr="00D6340F" w:rsidRDefault="00CB2418" w:rsidP="006C10F3">
      <w:pPr>
        <w:pStyle w:val="ep4"/>
        <w:tabs>
          <w:tab w:val="clear" w:pos="360"/>
          <w:tab w:val="num" w:pos="284"/>
        </w:tabs>
        <w:rPr>
          <w:lang w:val="en-GB"/>
        </w:rPr>
      </w:pPr>
      <w:r w:rsidRPr="00D6340F">
        <w:rPr>
          <w:lang w:val="en-GB"/>
        </w:rPr>
        <w:t>Amoxicillin/clavulanic acid, IV, 1.2 g 8 hourly.</w:t>
      </w:r>
    </w:p>
    <w:p w14:paraId="7DD05228" w14:textId="77777777" w:rsidR="002E6931" w:rsidRPr="00D6340F" w:rsidRDefault="002E6931" w:rsidP="00C605DA">
      <w:pPr>
        <w:rPr>
          <w:rFonts w:cs="Arial"/>
          <w:u w:val="single"/>
          <w:lang w:val="en-GB"/>
        </w:rPr>
      </w:pPr>
    </w:p>
    <w:p w14:paraId="3BECB4F4" w14:textId="77777777" w:rsidR="00C605DA" w:rsidRPr="00E066CB" w:rsidRDefault="00913B2F" w:rsidP="00C605DA">
      <w:pPr>
        <w:rPr>
          <w:rFonts w:cs="Arial"/>
          <w:sz w:val="16"/>
          <w:lang w:val="en-GB"/>
        </w:rPr>
      </w:pPr>
      <w:r w:rsidRPr="00D6340F">
        <w:rPr>
          <w:rFonts w:cs="Arial"/>
          <w:u w:val="single"/>
          <w:lang w:val="en-GB"/>
        </w:rPr>
        <w:t>Severe p</w:t>
      </w:r>
      <w:r w:rsidR="00C605DA" w:rsidRPr="00D6340F">
        <w:rPr>
          <w:rFonts w:cs="Arial"/>
          <w:u w:val="single"/>
          <w:lang w:val="en-GB"/>
        </w:rPr>
        <w:t>enicillin allergy</w:t>
      </w:r>
      <w:r w:rsidR="00E066CB">
        <w:rPr>
          <w:rFonts w:cs="Arial"/>
          <w:sz w:val="16"/>
          <w:lang w:val="en-GB"/>
        </w:rPr>
        <w:t xml:space="preserve"> (Z88.0)</w:t>
      </w:r>
    </w:p>
    <w:p w14:paraId="02E6C831" w14:textId="49BD8366" w:rsidR="00C605DA" w:rsidRPr="00D6340F" w:rsidRDefault="00C605DA" w:rsidP="006C10F3">
      <w:pPr>
        <w:pStyle w:val="ep4"/>
        <w:tabs>
          <w:tab w:val="clear" w:pos="360"/>
          <w:tab w:val="num" w:pos="284"/>
        </w:tabs>
        <w:rPr>
          <w:lang w:val="en-GB"/>
        </w:rPr>
      </w:pPr>
      <w:r w:rsidRPr="00D6340F">
        <w:rPr>
          <w:lang w:val="en-GB"/>
        </w:rPr>
        <w:t xml:space="preserve">Clindamycin, oral, </w:t>
      </w:r>
      <w:r w:rsidR="00DD645B">
        <w:rPr>
          <w:lang w:val="en-GB"/>
        </w:rPr>
        <w:t>150–</w:t>
      </w:r>
      <w:r w:rsidR="00D52ED7">
        <w:rPr>
          <w:lang w:val="en-GB"/>
        </w:rPr>
        <w:t>450</w:t>
      </w:r>
      <w:r w:rsidRPr="00D6340F">
        <w:rPr>
          <w:lang w:val="en-GB"/>
        </w:rPr>
        <w:t xml:space="preserve"> mg 8 hourly. </w:t>
      </w:r>
    </w:p>
    <w:p w14:paraId="6A9AA137" w14:textId="77777777" w:rsidR="00C605DA" w:rsidRPr="00D6340F" w:rsidRDefault="008C50DF" w:rsidP="00C605DA">
      <w:pPr>
        <w:pStyle w:val="Heading6"/>
        <w:rPr>
          <w:rFonts w:cs="Arial"/>
        </w:rPr>
      </w:pPr>
      <w:r w:rsidRPr="00D6340F">
        <w:rPr>
          <w:rFonts w:cs="Arial"/>
        </w:rPr>
        <w:t>AND</w:t>
      </w:r>
    </w:p>
    <w:p w14:paraId="4927BBA2" w14:textId="3BCEB766" w:rsidR="00C605DA" w:rsidRPr="00D6340F" w:rsidRDefault="00C605DA" w:rsidP="00C02EBC">
      <w:pPr>
        <w:pStyle w:val="ep4"/>
        <w:rPr>
          <w:lang w:val="en-GB"/>
        </w:rPr>
      </w:pPr>
      <w:r w:rsidRPr="00D6340F">
        <w:rPr>
          <w:lang w:val="en-GB"/>
        </w:rPr>
        <w:t>Gentamicin, IV, 6 mg/kg daily</w:t>
      </w:r>
      <w:r w:rsidR="00C02EBC">
        <w:rPr>
          <w:lang w:val="en-GB"/>
        </w:rPr>
        <w:t xml:space="preserve"> </w:t>
      </w:r>
      <w:r w:rsidR="00C02EBC" w:rsidRPr="00C02EBC">
        <w:rPr>
          <w:lang w:val="en-GB"/>
        </w:rPr>
        <w:t xml:space="preserve">(see Appendix II for </w:t>
      </w:r>
      <w:r w:rsidR="0035331A">
        <w:rPr>
          <w:lang w:val="en-GB"/>
        </w:rPr>
        <w:t>guidance on prescribing</w:t>
      </w:r>
      <w:r w:rsidR="00C02EBC" w:rsidRPr="00C02EBC">
        <w:rPr>
          <w:lang w:val="en-GB"/>
        </w:rPr>
        <w:t>).</w:t>
      </w:r>
    </w:p>
    <w:p w14:paraId="47622B6B" w14:textId="77777777" w:rsidR="00C605DA" w:rsidRPr="00D6340F" w:rsidRDefault="00C605DA" w:rsidP="00C605DA">
      <w:pPr>
        <w:pStyle w:val="Heading6"/>
        <w:rPr>
          <w:rFonts w:cs="Arial"/>
          <w:sz w:val="20"/>
          <w:szCs w:val="20"/>
        </w:rPr>
      </w:pPr>
      <w:r w:rsidRPr="00D6340F">
        <w:rPr>
          <w:rFonts w:cs="Arial"/>
          <w:sz w:val="20"/>
          <w:szCs w:val="20"/>
        </w:rPr>
        <w:lastRenderedPageBreak/>
        <w:t>REFERRAL</w:t>
      </w:r>
    </w:p>
    <w:p w14:paraId="1C28792C" w14:textId="77777777" w:rsidR="00C605DA" w:rsidRDefault="00C605DA" w:rsidP="005534A6">
      <w:pPr>
        <w:pStyle w:val="ep4"/>
        <w:numPr>
          <w:ilvl w:val="0"/>
          <w:numId w:val="0"/>
        </w:numPr>
        <w:rPr>
          <w:lang w:val="en-GB"/>
        </w:rPr>
      </w:pPr>
      <w:r w:rsidRPr="00D6340F">
        <w:rPr>
          <w:lang w:val="en-GB"/>
        </w:rPr>
        <w:t>Arterial revascularisation procedures.</w:t>
      </w:r>
    </w:p>
    <w:p w14:paraId="57BD4388" w14:textId="0F5C20EF" w:rsidR="00F24BFF" w:rsidRDefault="00F24BFF" w:rsidP="005534A6">
      <w:pPr>
        <w:pStyle w:val="ep4"/>
        <w:numPr>
          <w:ilvl w:val="0"/>
          <w:numId w:val="0"/>
        </w:numPr>
        <w:rPr>
          <w:lang w:val="en-GB"/>
        </w:rPr>
      </w:pPr>
    </w:p>
    <w:p w14:paraId="5C68225A" w14:textId="77777777" w:rsidR="00DD645B" w:rsidRDefault="00DD645B" w:rsidP="005534A6">
      <w:pPr>
        <w:pStyle w:val="ep4"/>
        <w:numPr>
          <w:ilvl w:val="0"/>
          <w:numId w:val="0"/>
        </w:numPr>
        <w:rPr>
          <w:lang w:val="en-GB"/>
        </w:rPr>
      </w:pPr>
    </w:p>
    <w:p w14:paraId="12D49B3D" w14:textId="77777777" w:rsidR="00C605DA" w:rsidRPr="00D6340F" w:rsidRDefault="00C605DA" w:rsidP="00C605DA">
      <w:pPr>
        <w:pStyle w:val="Heading1"/>
        <w:rPr>
          <w:rFonts w:cs="Arial"/>
          <w:sz w:val="22"/>
          <w:szCs w:val="22"/>
          <w:lang w:val="en-GB"/>
        </w:rPr>
      </w:pPr>
      <w:r w:rsidRPr="00D6340F">
        <w:rPr>
          <w:rFonts w:cs="Arial"/>
          <w:sz w:val="22"/>
          <w:szCs w:val="22"/>
          <w:lang w:val="en-GB"/>
        </w:rPr>
        <w:t xml:space="preserve">8.8 </w:t>
      </w:r>
      <w:r w:rsidR="00A95ECF">
        <w:rPr>
          <w:rFonts w:cs="Arial"/>
          <w:sz w:val="22"/>
          <w:szCs w:val="22"/>
          <w:lang w:val="en-GB"/>
        </w:rPr>
        <w:tab/>
      </w:r>
      <w:r w:rsidRPr="00D6340F">
        <w:rPr>
          <w:rFonts w:cs="Arial"/>
          <w:sz w:val="22"/>
          <w:szCs w:val="22"/>
          <w:lang w:val="en-GB"/>
        </w:rPr>
        <w:t>DYSLIPIDAEMIA</w:t>
      </w:r>
    </w:p>
    <w:p w14:paraId="01543D0B" w14:textId="77777777" w:rsidR="00C605DA" w:rsidRPr="00D6340F" w:rsidRDefault="00C605DA" w:rsidP="00C02921">
      <w:pPr>
        <w:pStyle w:val="Heading4"/>
      </w:pPr>
      <w:r w:rsidRPr="00D6340F">
        <w:t>e78</w:t>
      </w:r>
      <w:r w:rsidR="00D6524B" w:rsidRPr="00D6340F">
        <w:t>.</w:t>
      </w:r>
      <w:r w:rsidR="007A52FA">
        <w:t>0-9/E78.8-9</w:t>
      </w:r>
    </w:p>
    <w:p w14:paraId="17B68639" w14:textId="77777777" w:rsidR="00C605DA" w:rsidRPr="00D6340F" w:rsidRDefault="00C605DA" w:rsidP="00C605DA">
      <w:pPr>
        <w:rPr>
          <w:rFonts w:cs="Arial"/>
          <w:lang w:val="en-GB"/>
        </w:rPr>
      </w:pPr>
    </w:p>
    <w:p w14:paraId="5047E72A" w14:textId="77777777" w:rsidR="00C605DA" w:rsidRPr="00D6340F" w:rsidRDefault="00C605DA" w:rsidP="00C605DA">
      <w:pPr>
        <w:pStyle w:val="Heading5"/>
        <w:rPr>
          <w:rFonts w:cs="Arial"/>
          <w:lang w:val="en-GB"/>
        </w:rPr>
      </w:pPr>
      <w:r w:rsidRPr="00D6340F">
        <w:rPr>
          <w:rFonts w:cs="Arial"/>
          <w:lang w:val="en-GB"/>
        </w:rPr>
        <w:t>DESCRIPTION</w:t>
      </w:r>
    </w:p>
    <w:p w14:paraId="717C0CE9" w14:textId="77777777" w:rsidR="00C605DA" w:rsidRPr="00D6340F" w:rsidRDefault="00C605DA" w:rsidP="00C605DA">
      <w:pPr>
        <w:rPr>
          <w:rFonts w:cs="Arial"/>
          <w:lang w:val="en-GB"/>
        </w:rPr>
      </w:pPr>
      <w:r w:rsidRPr="00D6340F">
        <w:rPr>
          <w:rFonts w:cs="Arial"/>
          <w:lang w:val="en-GB"/>
        </w:rPr>
        <w:t>Non-pharmacological therapy plays a vital role in the management of dyslipidaemia.  Many patients with mild or moderate dyslipidaemia will be able to achieve optimum lipid levels with lifestyle modification alone and may not require lifelong lipid modifying therapy.</w:t>
      </w:r>
    </w:p>
    <w:p w14:paraId="3F08364A" w14:textId="77777777" w:rsidR="00C605DA" w:rsidRPr="00D6340F" w:rsidRDefault="00C605DA" w:rsidP="00C605DA">
      <w:pPr>
        <w:rPr>
          <w:rFonts w:cs="Arial"/>
          <w:sz w:val="6"/>
          <w:szCs w:val="6"/>
          <w:lang w:val="en-GB"/>
        </w:rPr>
      </w:pPr>
    </w:p>
    <w:p w14:paraId="3917813C" w14:textId="77777777" w:rsidR="00C605DA" w:rsidRPr="00D6340F" w:rsidRDefault="00C605DA" w:rsidP="00C605DA">
      <w:pPr>
        <w:rPr>
          <w:rFonts w:cs="Arial"/>
          <w:lang w:val="en-GB"/>
        </w:rPr>
      </w:pPr>
      <w:r w:rsidRPr="00D6340F">
        <w:rPr>
          <w:rFonts w:cs="Arial"/>
          <w:lang w:val="en-GB"/>
        </w:rPr>
        <w:t>Accompanying modifiable risk factors for coronary artery disease (CAD) e.g. hypertension, smoking, diabetes, must be sought and treated.</w:t>
      </w:r>
    </w:p>
    <w:p w14:paraId="55C5B828" w14:textId="77777777" w:rsidR="009419BF" w:rsidRPr="00D6340F" w:rsidRDefault="009419BF" w:rsidP="00C605DA">
      <w:pPr>
        <w:rPr>
          <w:rFonts w:cs="Arial"/>
          <w:sz w:val="6"/>
          <w:szCs w:val="6"/>
          <w:lang w:val="en-GB"/>
        </w:rPr>
      </w:pPr>
    </w:p>
    <w:p w14:paraId="1D36BCD0" w14:textId="77777777" w:rsidR="00C605DA" w:rsidRPr="00D6340F" w:rsidRDefault="00C605DA" w:rsidP="00C605DA">
      <w:pPr>
        <w:rPr>
          <w:rFonts w:cs="Arial"/>
          <w:lang w:val="en-GB"/>
        </w:rPr>
      </w:pPr>
      <w:r w:rsidRPr="00D6340F">
        <w:rPr>
          <w:rFonts w:cs="Arial"/>
          <w:lang w:val="en-GB"/>
        </w:rPr>
        <w:t>Underlying causes of secondary dyslipidaemia, e.g. excess alcohol intake, hypothyroidism, should be identified and corrected.</w:t>
      </w:r>
    </w:p>
    <w:p w14:paraId="57F628B7" w14:textId="77777777" w:rsidR="009419BF" w:rsidRPr="00D6340F" w:rsidRDefault="009419BF" w:rsidP="00C605DA">
      <w:pPr>
        <w:rPr>
          <w:rFonts w:cs="Arial"/>
          <w:sz w:val="6"/>
          <w:szCs w:val="6"/>
          <w:lang w:val="en-GB"/>
        </w:rPr>
      </w:pPr>
    </w:p>
    <w:p w14:paraId="1984D451" w14:textId="77777777" w:rsidR="00C605DA" w:rsidRPr="00D6340F" w:rsidRDefault="00C605DA" w:rsidP="00C605DA">
      <w:pPr>
        <w:rPr>
          <w:rFonts w:cs="Arial"/>
          <w:lang w:val="en-GB"/>
        </w:rPr>
      </w:pPr>
      <w:r w:rsidRPr="00D6340F">
        <w:rPr>
          <w:rFonts w:cs="Arial"/>
          <w:lang w:val="en-GB"/>
        </w:rPr>
        <w:t>The goal of treatment should be explained clearly to the patient and the risks of untreated dyslipidaemia should be emphasised.</w:t>
      </w:r>
    </w:p>
    <w:p w14:paraId="17D1E71E" w14:textId="77777777" w:rsidR="00C605DA" w:rsidRPr="00D6340F" w:rsidRDefault="00C605DA" w:rsidP="00C605DA">
      <w:pPr>
        <w:rPr>
          <w:rFonts w:cs="Arial"/>
          <w:lang w:val="en-GB"/>
        </w:rPr>
      </w:pPr>
    </w:p>
    <w:p w14:paraId="6A9C2C82" w14:textId="77777777" w:rsidR="00C605DA" w:rsidRPr="00D6340F" w:rsidRDefault="00C605DA" w:rsidP="00C605DA">
      <w:pPr>
        <w:rPr>
          <w:rFonts w:cs="Arial"/>
          <w:b/>
          <w:sz w:val="20"/>
          <w:szCs w:val="20"/>
          <w:lang w:val="en-GB"/>
        </w:rPr>
      </w:pPr>
      <w:r w:rsidRPr="00D6340F">
        <w:rPr>
          <w:rFonts w:cs="Arial"/>
          <w:b/>
          <w:sz w:val="20"/>
          <w:szCs w:val="20"/>
          <w:lang w:val="en-GB"/>
        </w:rPr>
        <w:t>GENERAL MEASURES</w:t>
      </w:r>
    </w:p>
    <w:p w14:paraId="0464636D" w14:textId="77777777" w:rsidR="00C605DA" w:rsidRPr="00D6340F" w:rsidRDefault="00C605DA" w:rsidP="00C605DA">
      <w:pPr>
        <w:rPr>
          <w:rFonts w:cs="Arial"/>
          <w:b/>
          <w:lang w:val="en-GB"/>
        </w:rPr>
      </w:pPr>
      <w:r w:rsidRPr="00D6340F">
        <w:rPr>
          <w:rFonts w:cs="Arial"/>
          <w:b/>
          <w:lang w:val="en-GB"/>
        </w:rPr>
        <w:t>Lifestyle modification</w:t>
      </w:r>
    </w:p>
    <w:p w14:paraId="1A470B2A" w14:textId="77777777" w:rsidR="00C605DA" w:rsidRPr="00D6340F" w:rsidRDefault="00C605DA" w:rsidP="00C605DA">
      <w:pPr>
        <w:pStyle w:val="ep4"/>
        <w:numPr>
          <w:ilvl w:val="0"/>
          <w:numId w:val="0"/>
        </w:numPr>
        <w:rPr>
          <w:lang w:val="en-GB"/>
        </w:rPr>
      </w:pPr>
      <w:r w:rsidRPr="00D6340F">
        <w:rPr>
          <w:lang w:val="en-GB"/>
        </w:rPr>
        <w:t>Dietary strategies are effective.</w:t>
      </w:r>
    </w:p>
    <w:p w14:paraId="3284176F" w14:textId="77777777" w:rsidR="0036185F" w:rsidRPr="00D6340F" w:rsidRDefault="00C605DA" w:rsidP="007E4E67">
      <w:pPr>
        <w:pStyle w:val="ep1"/>
        <w:numPr>
          <w:ilvl w:val="0"/>
          <w:numId w:val="30"/>
        </w:numPr>
        <w:ind w:left="284" w:hanging="284"/>
        <w:rPr>
          <w:rFonts w:cs="Arial"/>
          <w:lang w:val="en-GB"/>
        </w:rPr>
      </w:pPr>
      <w:r w:rsidRPr="00D6340F">
        <w:rPr>
          <w:rFonts w:cs="Arial"/>
          <w:lang w:val="en-GB"/>
        </w:rPr>
        <w:t>Replace saturated fats with unsaturated fats (mono-and polyunsaturated fats) without increasing calories from fats.</w:t>
      </w:r>
    </w:p>
    <w:p w14:paraId="1083DA9D" w14:textId="77777777" w:rsidR="0036185F" w:rsidRPr="00D6340F" w:rsidRDefault="00C605DA" w:rsidP="007E4E67">
      <w:pPr>
        <w:pStyle w:val="ep1"/>
        <w:numPr>
          <w:ilvl w:val="0"/>
          <w:numId w:val="30"/>
        </w:numPr>
        <w:ind w:left="284" w:hanging="284"/>
        <w:rPr>
          <w:rFonts w:cs="Arial"/>
          <w:lang w:val="en-GB"/>
        </w:rPr>
      </w:pPr>
      <w:r w:rsidRPr="00D6340F">
        <w:rPr>
          <w:rFonts w:cs="Arial"/>
          <w:lang w:val="en-GB"/>
        </w:rPr>
        <w:t xml:space="preserve">Consume a diet high in fruits, vegetables, </w:t>
      </w:r>
      <w:r w:rsidRPr="00D6340F">
        <w:rPr>
          <w:rFonts w:cs="Arial"/>
          <w:color w:val="auto"/>
          <w:lang w:val="en-GB"/>
        </w:rPr>
        <w:t>nuts and whole unrefined</w:t>
      </w:r>
      <w:r w:rsidRPr="00D6340F">
        <w:rPr>
          <w:rFonts w:cs="Arial"/>
          <w:lang w:val="en-GB"/>
        </w:rPr>
        <w:t xml:space="preserve"> grains.</w:t>
      </w:r>
    </w:p>
    <w:p w14:paraId="2D6671FB" w14:textId="77777777" w:rsidR="00C605DA" w:rsidRPr="00D6340F" w:rsidRDefault="00C605DA" w:rsidP="00C605DA">
      <w:pPr>
        <w:pStyle w:val="ep4"/>
        <w:numPr>
          <w:ilvl w:val="0"/>
          <w:numId w:val="0"/>
        </w:numPr>
        <w:rPr>
          <w:lang w:val="en-GB"/>
        </w:rPr>
      </w:pPr>
      <w:r w:rsidRPr="00D6340F">
        <w:rPr>
          <w:lang w:val="en-GB"/>
        </w:rPr>
        <w:t>Smoking cessation.</w:t>
      </w:r>
    </w:p>
    <w:p w14:paraId="4E2F85D2" w14:textId="77777777" w:rsidR="00C605DA" w:rsidRPr="00D6340F" w:rsidRDefault="00C605DA" w:rsidP="00C605DA">
      <w:pPr>
        <w:pStyle w:val="ep4"/>
        <w:numPr>
          <w:ilvl w:val="0"/>
          <w:numId w:val="0"/>
        </w:numPr>
        <w:rPr>
          <w:lang w:val="en-GB"/>
        </w:rPr>
      </w:pPr>
      <w:r w:rsidRPr="00D6340F">
        <w:rPr>
          <w:lang w:val="en-GB"/>
        </w:rPr>
        <w:t>Increase physical activity.</w:t>
      </w:r>
    </w:p>
    <w:p w14:paraId="102DA8C0" w14:textId="77777777" w:rsidR="00C605DA" w:rsidRPr="00D6340F" w:rsidRDefault="00C605DA" w:rsidP="00C605DA">
      <w:pPr>
        <w:pStyle w:val="ep4"/>
        <w:numPr>
          <w:ilvl w:val="0"/>
          <w:numId w:val="0"/>
        </w:numPr>
        <w:rPr>
          <w:lang w:val="en-GB"/>
        </w:rPr>
      </w:pPr>
      <w:r w:rsidRPr="00D6340F">
        <w:rPr>
          <w:lang w:val="en-GB"/>
        </w:rPr>
        <w:t>Maintain ideal body weight.</w:t>
      </w:r>
    </w:p>
    <w:p w14:paraId="42AF90F6" w14:textId="77777777" w:rsidR="005F039D" w:rsidRPr="00D6340F" w:rsidRDefault="005F039D" w:rsidP="00C605DA">
      <w:pPr>
        <w:pStyle w:val="ep4"/>
        <w:numPr>
          <w:ilvl w:val="0"/>
          <w:numId w:val="0"/>
        </w:numPr>
        <w:rPr>
          <w:lang w:val="en-GB"/>
        </w:rPr>
      </w:pPr>
    </w:p>
    <w:p w14:paraId="64590495" w14:textId="77777777" w:rsidR="00C605DA" w:rsidRPr="00D6340F" w:rsidRDefault="00C605DA" w:rsidP="00C605DA">
      <w:pPr>
        <w:rPr>
          <w:rFonts w:cs="Arial"/>
          <w:b/>
          <w:sz w:val="20"/>
          <w:szCs w:val="20"/>
          <w:lang w:val="en-GB"/>
        </w:rPr>
      </w:pPr>
      <w:r w:rsidRPr="00D6340F">
        <w:rPr>
          <w:rFonts w:cs="Arial"/>
          <w:b/>
          <w:sz w:val="20"/>
          <w:szCs w:val="20"/>
          <w:lang w:val="en-GB"/>
        </w:rPr>
        <w:t>MEDICINE TREATMENT</w:t>
      </w:r>
    </w:p>
    <w:p w14:paraId="4611B274" w14:textId="77777777" w:rsidR="00C605DA" w:rsidRPr="00D6340F" w:rsidRDefault="00C605DA" w:rsidP="00D52517">
      <w:pPr>
        <w:pStyle w:val="Heading6"/>
        <w:keepNext w:val="0"/>
        <w:widowControl w:val="0"/>
        <w:rPr>
          <w:rFonts w:cs="Arial"/>
        </w:rPr>
      </w:pPr>
      <w:r w:rsidRPr="00D6340F">
        <w:rPr>
          <w:rFonts w:cs="Arial"/>
        </w:rPr>
        <w:t xml:space="preserve">Indication for </w:t>
      </w:r>
      <w:r w:rsidR="00E01F5A" w:rsidRPr="00D6340F">
        <w:rPr>
          <w:rFonts w:cs="Arial"/>
        </w:rPr>
        <w:t>medicine</w:t>
      </w:r>
      <w:r w:rsidRPr="00D6340F">
        <w:rPr>
          <w:rFonts w:cs="Arial"/>
        </w:rPr>
        <w:t xml:space="preserve"> therapy</w:t>
      </w:r>
    </w:p>
    <w:p w14:paraId="2FF7DC51" w14:textId="77777777" w:rsidR="00C605DA" w:rsidRPr="00D6340F" w:rsidRDefault="00C605DA" w:rsidP="00D52517">
      <w:pPr>
        <w:pStyle w:val="Heading6"/>
        <w:keepNext w:val="0"/>
        <w:widowControl w:val="0"/>
        <w:rPr>
          <w:rFonts w:cs="Arial"/>
          <w:b w:val="0"/>
          <w:u w:val="single"/>
        </w:rPr>
      </w:pPr>
      <w:r w:rsidRPr="00D6340F">
        <w:rPr>
          <w:rFonts w:cs="Arial"/>
          <w:b w:val="0"/>
          <w:u w:val="single"/>
        </w:rPr>
        <w:t>Cardiovascular</w:t>
      </w:r>
    </w:p>
    <w:p w14:paraId="52CBD08A" w14:textId="77777777" w:rsidR="00C605DA" w:rsidRPr="00D6340F" w:rsidRDefault="00C605DA" w:rsidP="00D52517">
      <w:pPr>
        <w:widowControl w:val="0"/>
        <w:rPr>
          <w:rFonts w:cs="Arial"/>
          <w:lang w:val="en-GB"/>
        </w:rPr>
      </w:pPr>
      <w:r w:rsidRPr="00D6340F">
        <w:rPr>
          <w:rFonts w:cs="Arial"/>
          <w:spacing w:val="-4"/>
          <w:lang w:val="en-GB"/>
        </w:rPr>
        <w:t xml:space="preserve">The main indication for lipid-modifying medication is to reduce the risk of a cardiovascular event. </w:t>
      </w:r>
      <w:r w:rsidR="00E01F5A" w:rsidRPr="00D6340F">
        <w:rPr>
          <w:rFonts w:cs="Arial"/>
          <w:spacing w:val="-4"/>
          <w:lang w:val="en-GB"/>
        </w:rPr>
        <w:t>Medicine</w:t>
      </w:r>
      <w:r w:rsidRPr="00D6340F">
        <w:rPr>
          <w:rFonts w:cs="Arial"/>
          <w:spacing w:val="-4"/>
          <w:lang w:val="en-GB"/>
        </w:rPr>
        <w:t xml:space="preserve"> therapy should be considered when non-pharmacological</w:t>
      </w:r>
      <w:r w:rsidRPr="00D6340F">
        <w:rPr>
          <w:rFonts w:cs="Arial"/>
          <w:lang w:val="en-GB"/>
        </w:rPr>
        <w:t xml:space="preserve"> means have failed to reduce the lipid levels to within the target range. When lipid-lowering </w:t>
      </w:r>
      <w:r w:rsidR="00E01F5A" w:rsidRPr="00D6340F">
        <w:rPr>
          <w:rFonts w:cs="Arial"/>
          <w:lang w:val="en-GB"/>
        </w:rPr>
        <w:t>medicine</w:t>
      </w:r>
      <w:r w:rsidRPr="00D6340F">
        <w:rPr>
          <w:rFonts w:cs="Arial"/>
          <w:lang w:val="en-GB"/>
        </w:rPr>
        <w:t xml:space="preserve">s are used, this is </w:t>
      </w:r>
      <w:r w:rsidRPr="00D6340F">
        <w:rPr>
          <w:rFonts w:cs="Arial"/>
          <w:b/>
          <w:lang w:val="en-GB"/>
        </w:rPr>
        <w:t>always</w:t>
      </w:r>
      <w:r w:rsidRPr="00D6340F">
        <w:rPr>
          <w:rFonts w:cs="Arial"/>
          <w:lang w:val="en-GB"/>
        </w:rPr>
        <w:t xml:space="preserve"> in conjunction with ongoing lifestyle modification.</w:t>
      </w:r>
    </w:p>
    <w:p w14:paraId="700C120D" w14:textId="77777777" w:rsidR="009419BF" w:rsidRPr="00D6340F" w:rsidRDefault="009419BF" w:rsidP="00D52517">
      <w:pPr>
        <w:widowControl w:val="0"/>
        <w:rPr>
          <w:rFonts w:cs="Arial"/>
          <w:sz w:val="6"/>
          <w:szCs w:val="6"/>
          <w:lang w:val="en-GB"/>
        </w:rPr>
      </w:pPr>
    </w:p>
    <w:p w14:paraId="1F28D78D" w14:textId="77777777" w:rsidR="00793955" w:rsidRDefault="00793955" w:rsidP="00BE02A3">
      <w:pPr>
        <w:pStyle w:val="ep4"/>
        <w:numPr>
          <w:ilvl w:val="0"/>
          <w:numId w:val="0"/>
        </w:numPr>
      </w:pPr>
      <w:r>
        <w:t>Patients with any of the following factors are at a relatively high risk for a</w:t>
      </w:r>
    </w:p>
    <w:p w14:paraId="03E1C815" w14:textId="3CF89512" w:rsidR="00793955" w:rsidRDefault="00793955" w:rsidP="00BE02A3">
      <w:pPr>
        <w:pStyle w:val="ep4"/>
        <w:numPr>
          <w:ilvl w:val="0"/>
          <w:numId w:val="0"/>
        </w:numPr>
      </w:pPr>
      <w:r>
        <w:t xml:space="preserve">cardiovascular event and </w:t>
      </w:r>
      <w:r w:rsidR="00BE02A3">
        <w:t>would benefit from</w:t>
      </w:r>
      <w:r>
        <w:t xml:space="preserve"> lipid lowering therapy:</w:t>
      </w:r>
    </w:p>
    <w:p w14:paraId="5BE69FD6" w14:textId="53730674" w:rsidR="00BE02A3" w:rsidRDefault="00BE02A3" w:rsidP="007E4E67">
      <w:pPr>
        <w:pStyle w:val="ep4"/>
        <w:numPr>
          <w:ilvl w:val="0"/>
          <w:numId w:val="30"/>
        </w:numPr>
        <w:ind w:left="284" w:hanging="284"/>
        <w:rPr>
          <w:lang w:val="en-GB"/>
        </w:rPr>
      </w:pPr>
      <w:r>
        <w:rPr>
          <w:lang w:val="en-GB"/>
        </w:rPr>
        <w:t>established atherosclerotic disease</w:t>
      </w:r>
    </w:p>
    <w:p w14:paraId="75128716" w14:textId="199A9F86" w:rsidR="0036185F" w:rsidRPr="00D6340F" w:rsidRDefault="00C605DA" w:rsidP="007E4E67">
      <w:pPr>
        <w:pStyle w:val="ep4"/>
        <w:numPr>
          <w:ilvl w:val="1"/>
          <w:numId w:val="70"/>
        </w:numPr>
        <w:ind w:left="567" w:hanging="283"/>
        <w:rPr>
          <w:lang w:val="en-GB"/>
        </w:rPr>
      </w:pPr>
      <w:r w:rsidRPr="00D6340F">
        <w:rPr>
          <w:lang w:val="en-GB"/>
        </w:rPr>
        <w:t>confirmed ischaemic heart disease</w:t>
      </w:r>
    </w:p>
    <w:p w14:paraId="62D55B50" w14:textId="77777777" w:rsidR="0036185F" w:rsidRPr="00D6340F" w:rsidRDefault="00C605DA" w:rsidP="007E4E67">
      <w:pPr>
        <w:pStyle w:val="ep4"/>
        <w:numPr>
          <w:ilvl w:val="1"/>
          <w:numId w:val="70"/>
        </w:numPr>
        <w:ind w:left="567" w:hanging="283"/>
        <w:rPr>
          <w:lang w:val="en-GB"/>
        </w:rPr>
      </w:pPr>
      <w:r w:rsidRPr="00D6340F">
        <w:rPr>
          <w:lang w:val="en-GB"/>
        </w:rPr>
        <w:t>peripheral vascular diseas</w:t>
      </w:r>
      <w:r w:rsidR="008454E9">
        <w:rPr>
          <w:lang w:val="en-GB"/>
        </w:rPr>
        <w:t>e</w:t>
      </w:r>
    </w:p>
    <w:p w14:paraId="2E1D03E0" w14:textId="77777777" w:rsidR="0036185F" w:rsidRPr="00D6340F" w:rsidRDefault="00C605DA" w:rsidP="007E4E67">
      <w:pPr>
        <w:pStyle w:val="ep4"/>
        <w:numPr>
          <w:ilvl w:val="1"/>
          <w:numId w:val="70"/>
        </w:numPr>
        <w:ind w:left="567" w:hanging="283"/>
        <w:rPr>
          <w:lang w:val="en-GB"/>
        </w:rPr>
      </w:pPr>
      <w:r w:rsidRPr="00D6340F">
        <w:rPr>
          <w:lang w:val="en-GB"/>
        </w:rPr>
        <w:t>atherothrombotic stroke</w:t>
      </w:r>
    </w:p>
    <w:p w14:paraId="2A2A6CDC" w14:textId="7FFDA1E5" w:rsidR="0036185F" w:rsidRPr="00D6340F" w:rsidRDefault="00C605DA" w:rsidP="007E4E67">
      <w:pPr>
        <w:pStyle w:val="ep4"/>
        <w:numPr>
          <w:ilvl w:val="0"/>
          <w:numId w:val="30"/>
        </w:numPr>
        <w:ind w:left="284" w:hanging="284"/>
        <w:rPr>
          <w:lang w:val="en-GB"/>
        </w:rPr>
      </w:pPr>
      <w:r w:rsidRPr="00D6340F">
        <w:rPr>
          <w:lang w:val="en-GB"/>
        </w:rPr>
        <w:t xml:space="preserve">type 2 diabetics </w:t>
      </w:r>
      <w:r w:rsidR="00793955">
        <w:rPr>
          <w:lang w:val="en-GB"/>
        </w:rPr>
        <w:t xml:space="preserve">with age </w:t>
      </w:r>
      <w:r w:rsidR="00D6524B" w:rsidRPr="00D6340F">
        <w:rPr>
          <w:lang w:val="en-GB"/>
        </w:rPr>
        <w:t>&gt;</w:t>
      </w:r>
      <w:r w:rsidRPr="00D6340F">
        <w:rPr>
          <w:lang w:val="en-GB"/>
        </w:rPr>
        <w:t>40 years</w:t>
      </w:r>
      <w:r w:rsidR="00D6524B" w:rsidRPr="00D6340F">
        <w:rPr>
          <w:lang w:val="en-GB"/>
        </w:rPr>
        <w:t xml:space="preserve"> </w:t>
      </w:r>
      <w:r w:rsidR="002240B9">
        <w:rPr>
          <w:lang w:val="en-GB"/>
        </w:rPr>
        <w:t>of age</w:t>
      </w:r>
    </w:p>
    <w:p w14:paraId="389F0E83" w14:textId="5F0A377B" w:rsidR="00064140" w:rsidRPr="00D6340F" w:rsidRDefault="00F23E31" w:rsidP="007E4E67">
      <w:pPr>
        <w:pStyle w:val="ep4"/>
        <w:numPr>
          <w:ilvl w:val="0"/>
          <w:numId w:val="30"/>
        </w:numPr>
        <w:ind w:left="284" w:hanging="284"/>
        <w:rPr>
          <w:color w:val="auto"/>
          <w:lang w:val="en-GB"/>
        </w:rPr>
      </w:pPr>
      <w:r w:rsidRPr="00D6340F">
        <w:rPr>
          <w:color w:val="auto"/>
          <w:lang w:val="en-GB"/>
        </w:rPr>
        <w:lastRenderedPageBreak/>
        <w:t xml:space="preserve">type 1 diabetes with microalbuminuria </w:t>
      </w:r>
    </w:p>
    <w:tbl>
      <w:tblPr>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064140" w:rsidRPr="00D6340F" w14:paraId="1A1C74E3" w14:textId="77777777" w:rsidTr="00557ACD">
        <w:tc>
          <w:tcPr>
            <w:tcW w:w="1134" w:type="dxa"/>
            <w:shd w:val="clear" w:color="auto" w:fill="auto"/>
          </w:tcPr>
          <w:p w14:paraId="48FC8238" w14:textId="77777777" w:rsidR="00064140" w:rsidRPr="00D6340F" w:rsidRDefault="00064140" w:rsidP="00557ACD">
            <w:pPr>
              <w:jc w:val="right"/>
              <w:rPr>
                <w:i/>
                <w:sz w:val="16"/>
                <w:lang w:val="en-GB"/>
              </w:rPr>
            </w:pPr>
            <w:proofErr w:type="spellStart"/>
            <w:proofErr w:type="gramStart"/>
            <w:r w:rsidRPr="00D6340F">
              <w:rPr>
                <w:i/>
                <w:sz w:val="16"/>
                <w:lang w:val="en-GB"/>
              </w:rPr>
              <w:t>LoE:I</w:t>
            </w:r>
            <w:proofErr w:type="spellEnd"/>
            <w:proofErr w:type="gramEnd"/>
            <w:r w:rsidRPr="00D6340F">
              <w:rPr>
                <w:rStyle w:val="EndnoteReference"/>
                <w:i/>
                <w:sz w:val="16"/>
                <w:lang w:val="en-GB"/>
              </w:rPr>
              <w:endnoteReference w:id="25"/>
            </w:r>
          </w:p>
        </w:tc>
      </w:tr>
    </w:tbl>
    <w:p w14:paraId="50BCFA70" w14:textId="77777777" w:rsidR="00F23E31" w:rsidRPr="00D6340F" w:rsidRDefault="00F23E31" w:rsidP="00064140">
      <w:pPr>
        <w:pStyle w:val="ep4"/>
        <w:numPr>
          <w:ilvl w:val="0"/>
          <w:numId w:val="0"/>
        </w:numPr>
        <w:ind w:left="360"/>
        <w:rPr>
          <w:color w:val="auto"/>
          <w:sz w:val="2"/>
          <w:lang w:val="en-GB"/>
        </w:rPr>
      </w:pPr>
    </w:p>
    <w:p w14:paraId="7CE06995" w14:textId="14D529C0" w:rsidR="00F23E31" w:rsidRPr="00D6340F" w:rsidRDefault="00BE02A3" w:rsidP="007E4E67">
      <w:pPr>
        <w:pStyle w:val="ep4"/>
        <w:numPr>
          <w:ilvl w:val="0"/>
          <w:numId w:val="30"/>
        </w:numPr>
        <w:ind w:left="284" w:hanging="284"/>
        <w:rPr>
          <w:color w:val="auto"/>
          <w:lang w:val="en-GB"/>
        </w:rPr>
      </w:pPr>
      <w:r>
        <w:rPr>
          <w:color w:val="auto"/>
          <w:lang w:val="en-GB"/>
        </w:rPr>
        <w:t xml:space="preserve">diabetes with </w:t>
      </w:r>
      <w:r w:rsidR="00F769B9" w:rsidRPr="00D6340F">
        <w:rPr>
          <w:color w:val="auto"/>
          <w:lang w:val="en-GB"/>
        </w:rPr>
        <w:t xml:space="preserve">chronic </w:t>
      </w:r>
      <w:r w:rsidR="00F23E31" w:rsidRPr="00D6340F">
        <w:rPr>
          <w:color w:val="auto"/>
          <w:lang w:val="en-GB"/>
        </w:rPr>
        <w:t>kidney disease (</w:t>
      </w:r>
      <w:r w:rsidR="00F769B9" w:rsidRPr="00D6340F">
        <w:rPr>
          <w:color w:val="auto"/>
          <w:lang w:val="en-GB"/>
        </w:rPr>
        <w:t>e</w:t>
      </w:r>
      <w:r w:rsidR="00F23E31" w:rsidRPr="00D6340F">
        <w:rPr>
          <w:color w:val="auto"/>
          <w:lang w:val="en-GB"/>
        </w:rPr>
        <w:t>GFR</w:t>
      </w:r>
      <w:r w:rsidR="008454E9">
        <w:rPr>
          <w:color w:val="auto"/>
          <w:lang w:val="en-GB"/>
        </w:rPr>
        <w:t xml:space="preserve"> </w:t>
      </w:r>
      <w:r w:rsidR="00F23E31" w:rsidRPr="00D6340F">
        <w:rPr>
          <w:color w:val="auto"/>
          <w:lang w:val="en-GB"/>
        </w:rPr>
        <w:t>&lt;60 m</w:t>
      </w:r>
      <w:r w:rsidR="00C02EBC">
        <w:rPr>
          <w:color w:val="auto"/>
          <w:lang w:val="en-GB"/>
        </w:rPr>
        <w:t>L</w:t>
      </w:r>
      <w:r w:rsidR="00F23E31" w:rsidRPr="00D6340F">
        <w:rPr>
          <w:color w:val="auto"/>
          <w:lang w:val="en-GB"/>
        </w:rPr>
        <w:t>/min</w:t>
      </w:r>
      <w:r w:rsidR="00C02EBC">
        <w:rPr>
          <w:color w:val="auto"/>
          <w:lang w:val="en-GB"/>
        </w:rPr>
        <w:t>ute</w:t>
      </w:r>
      <w:r w:rsidR="00F23E31" w:rsidRPr="00D6340F">
        <w:rPr>
          <w:color w:val="auto"/>
          <w:lang w:val="en-GB"/>
        </w:rPr>
        <w:t>)</w:t>
      </w:r>
      <w:r w:rsidR="00C77771">
        <w:rPr>
          <w:color w:val="auto"/>
          <w:lang w:val="en-GB"/>
        </w:rPr>
        <w:t>.</w:t>
      </w:r>
    </w:p>
    <w:p w14:paraId="483F8399" w14:textId="77777777" w:rsidR="00D33A4A" w:rsidRPr="00C77771" w:rsidRDefault="00D33A4A" w:rsidP="00D33A4A">
      <w:pPr>
        <w:pStyle w:val="ep4"/>
        <w:numPr>
          <w:ilvl w:val="0"/>
          <w:numId w:val="0"/>
        </w:numPr>
        <w:ind w:left="360"/>
        <w:rPr>
          <w:sz w:val="10"/>
          <w:lang w:val="en-GB"/>
        </w:rPr>
      </w:pPr>
    </w:p>
    <w:p w14:paraId="47A851D5" w14:textId="77777777" w:rsidR="00C605DA" w:rsidRPr="00D6340F" w:rsidRDefault="00C605DA" w:rsidP="00C605DA">
      <w:pPr>
        <w:pStyle w:val="ep4"/>
        <w:numPr>
          <w:ilvl w:val="0"/>
          <w:numId w:val="0"/>
        </w:numPr>
        <w:ind w:left="284" w:hanging="284"/>
        <w:rPr>
          <w:sz w:val="6"/>
          <w:szCs w:val="6"/>
          <w:lang w:val="en-GB"/>
        </w:rPr>
      </w:pPr>
    </w:p>
    <w:p w14:paraId="1F583CA3" w14:textId="34E725F9" w:rsidR="00C605DA" w:rsidRPr="00D6340F" w:rsidRDefault="00C605DA" w:rsidP="00C605DA">
      <w:pPr>
        <w:pStyle w:val="ep4"/>
        <w:numPr>
          <w:ilvl w:val="0"/>
          <w:numId w:val="0"/>
        </w:numPr>
        <w:rPr>
          <w:lang w:val="en-GB" w:eastAsia="en-ZA"/>
        </w:rPr>
      </w:pPr>
      <w:r w:rsidRPr="00D6340F">
        <w:rPr>
          <w:lang w:val="en-GB"/>
        </w:rPr>
        <w:t xml:space="preserve">Patients without established vascular disease, with a risk of MI </w:t>
      </w:r>
      <w:r w:rsidR="00BE02A3">
        <w:rPr>
          <w:lang w:val="en-GB"/>
        </w:rPr>
        <w:t>≥</w:t>
      </w:r>
      <w:r w:rsidRPr="00D6340F">
        <w:rPr>
          <w:lang w:val="en-GB"/>
        </w:rPr>
        <w:t>20% in 10 years</w:t>
      </w:r>
      <w:r w:rsidR="00BE02A3">
        <w:rPr>
          <w:lang w:val="en-GB"/>
        </w:rPr>
        <w:t xml:space="preserve">: </w:t>
      </w:r>
      <w:r w:rsidR="00BE02A3" w:rsidRPr="00BE02A3">
        <w:rPr>
          <w:lang w:val="en-GB"/>
        </w:rPr>
        <w:t>lifestyle modification and start statin treatment</w:t>
      </w:r>
      <w:r w:rsidR="00BE02A3">
        <w:rPr>
          <w:lang w:val="en-GB"/>
        </w:rPr>
        <w:t xml:space="preserve"> - s</w:t>
      </w:r>
      <w:r w:rsidR="00917115" w:rsidRPr="00D6340F">
        <w:rPr>
          <w:lang w:val="en-GB"/>
        </w:rPr>
        <w:t>ee</w:t>
      </w:r>
      <w:r w:rsidRPr="00D6340F">
        <w:rPr>
          <w:lang w:val="en-GB"/>
        </w:rPr>
        <w:t xml:space="preserve"> </w:t>
      </w:r>
      <w:r w:rsidR="002840C6">
        <w:rPr>
          <w:lang w:val="en-GB"/>
        </w:rPr>
        <w:t>Section</w:t>
      </w:r>
      <w:r w:rsidRPr="00D6340F">
        <w:rPr>
          <w:lang w:val="en-GB"/>
        </w:rPr>
        <w:t xml:space="preserve"> 3.1: I</w:t>
      </w:r>
      <w:r w:rsidRPr="00D6340F">
        <w:rPr>
          <w:lang w:val="en-GB" w:eastAsia="en-ZA"/>
        </w:rPr>
        <w:t>schaemic heart disease and atherosclerosis, prevention.</w:t>
      </w:r>
    </w:p>
    <w:p w14:paraId="171AEE0B" w14:textId="77777777" w:rsidR="00C605DA" w:rsidRPr="00C77771" w:rsidRDefault="00C605DA" w:rsidP="00C605DA">
      <w:pPr>
        <w:pStyle w:val="Footer"/>
        <w:rPr>
          <w:rFonts w:cs="Arial"/>
          <w:sz w:val="10"/>
          <w:lang w:val="en-GB"/>
        </w:rPr>
      </w:pPr>
    </w:p>
    <w:p w14:paraId="7F2AD1A4" w14:textId="77777777" w:rsidR="0021491F" w:rsidRPr="00D6340F" w:rsidRDefault="0021491F" w:rsidP="0021491F">
      <w:pPr>
        <w:pStyle w:val="Heading6"/>
        <w:rPr>
          <w:rFonts w:cs="Arial"/>
          <w:b w:val="0"/>
          <w:u w:val="single"/>
        </w:rPr>
      </w:pPr>
      <w:r w:rsidRPr="00D6340F">
        <w:rPr>
          <w:rFonts w:cs="Arial"/>
          <w:b w:val="0"/>
          <w:u w:val="single"/>
        </w:rPr>
        <w:t>Non-cardiovascular</w:t>
      </w:r>
    </w:p>
    <w:p w14:paraId="28B982E1" w14:textId="77777777" w:rsidR="0021491F" w:rsidRPr="00D6340F" w:rsidRDefault="0021491F" w:rsidP="0021491F">
      <w:pPr>
        <w:rPr>
          <w:rFonts w:cs="Arial"/>
          <w:lang w:val="en-GB"/>
        </w:rPr>
      </w:pPr>
      <w:r w:rsidRPr="00D6340F">
        <w:rPr>
          <w:rFonts w:cs="Arial"/>
          <w:lang w:val="en-GB"/>
        </w:rPr>
        <w:t xml:space="preserve">The most serious non-cardiovascular complication of dyslipidaemia is the development of acute pancreatitis. This is seen in patients with severe </w:t>
      </w:r>
      <w:proofErr w:type="spellStart"/>
      <w:r w:rsidRPr="00D6340F">
        <w:rPr>
          <w:rFonts w:cs="Arial"/>
          <w:lang w:val="en-GB"/>
        </w:rPr>
        <w:t>hypertriglyceridaemia</w:t>
      </w:r>
      <w:proofErr w:type="spellEnd"/>
      <w:r w:rsidRPr="00D6340F">
        <w:rPr>
          <w:rFonts w:cs="Arial"/>
          <w:lang w:val="en-GB"/>
        </w:rPr>
        <w:t xml:space="preserve"> (fasting triglycerides &gt;</w:t>
      </w:r>
      <w:r w:rsidR="00255CEA" w:rsidRPr="00D6340F">
        <w:rPr>
          <w:rFonts w:cs="Arial"/>
          <w:lang w:val="en-GB"/>
        </w:rPr>
        <w:t>10</w:t>
      </w:r>
      <w:r w:rsidR="008454E9">
        <w:rPr>
          <w:rFonts w:cs="Arial"/>
          <w:lang w:val="en-GB"/>
        </w:rPr>
        <w:t xml:space="preserve"> </w:t>
      </w:r>
      <w:r w:rsidRPr="00D6340F">
        <w:rPr>
          <w:rFonts w:cs="Arial"/>
          <w:lang w:val="en-GB"/>
        </w:rPr>
        <w:t>mmol/L</w:t>
      </w:r>
      <w:r w:rsidR="00917115" w:rsidRPr="00D6340F">
        <w:rPr>
          <w:rFonts w:cs="Arial"/>
          <w:lang w:val="en-GB"/>
        </w:rPr>
        <w:t>). Ideally</w:t>
      </w:r>
      <w:r w:rsidRPr="00D6340F">
        <w:rPr>
          <w:rFonts w:cs="Arial"/>
          <w:lang w:val="en-GB"/>
        </w:rPr>
        <w:t xml:space="preserve"> such patients should be </w:t>
      </w:r>
      <w:r w:rsidR="00BC744D" w:rsidRPr="00D6340F">
        <w:rPr>
          <w:rFonts w:cs="Arial"/>
          <w:lang w:val="en-GB"/>
        </w:rPr>
        <w:t>discussed with</w:t>
      </w:r>
      <w:r w:rsidRPr="00D6340F">
        <w:rPr>
          <w:rFonts w:cs="Arial"/>
          <w:lang w:val="en-GB"/>
        </w:rPr>
        <w:t xml:space="preserve"> a lipid specialist.</w:t>
      </w:r>
    </w:p>
    <w:p w14:paraId="6FDEC6C8" w14:textId="77777777" w:rsidR="0021491F" w:rsidRPr="00C77771" w:rsidRDefault="0021491F" w:rsidP="0021491F">
      <w:pPr>
        <w:rPr>
          <w:rFonts w:cs="Arial"/>
          <w:sz w:val="4"/>
          <w:szCs w:val="6"/>
          <w:lang w:val="en-GB"/>
        </w:rPr>
      </w:pPr>
    </w:p>
    <w:p w14:paraId="507CC6B7" w14:textId="77777777" w:rsidR="0021491F" w:rsidRPr="00D6340F" w:rsidRDefault="0021491F" w:rsidP="0021491F">
      <w:pPr>
        <w:pStyle w:val="Normal2"/>
        <w:rPr>
          <w:lang w:val="en-GB"/>
        </w:rPr>
      </w:pPr>
      <w:r w:rsidRPr="00D6340F">
        <w:rPr>
          <w:lang w:val="en-GB"/>
        </w:rPr>
        <w:t xml:space="preserve">Fibrates are the </w:t>
      </w:r>
      <w:r w:rsidR="00E01F5A" w:rsidRPr="00D6340F">
        <w:rPr>
          <w:lang w:val="en-GB"/>
        </w:rPr>
        <w:t>medicines</w:t>
      </w:r>
      <w:r w:rsidRPr="00D6340F">
        <w:rPr>
          <w:lang w:val="en-GB"/>
        </w:rPr>
        <w:t xml:space="preserve"> of choice for severe </w:t>
      </w:r>
      <w:proofErr w:type="spellStart"/>
      <w:r w:rsidRPr="00D6340F">
        <w:rPr>
          <w:lang w:val="en-GB"/>
        </w:rPr>
        <w:t>hypertriglyceridaemia</w:t>
      </w:r>
      <w:proofErr w:type="spellEnd"/>
      <w:r w:rsidR="00D6524B" w:rsidRPr="00D6340F">
        <w:rPr>
          <w:lang w:val="en-GB"/>
        </w:rPr>
        <w:t xml:space="preserve"> not due to secondary causes</w:t>
      </w:r>
      <w:r w:rsidRPr="00D6340F">
        <w:rPr>
          <w:lang w:val="en-GB"/>
        </w:rPr>
        <w:t>.</w:t>
      </w:r>
    </w:p>
    <w:p w14:paraId="5DE02F39" w14:textId="77777777" w:rsidR="00E01F5A" w:rsidRPr="00C77771" w:rsidRDefault="00E01F5A" w:rsidP="0021491F">
      <w:pPr>
        <w:pStyle w:val="Normal2"/>
        <w:rPr>
          <w:sz w:val="10"/>
          <w:lang w:val="en-GB"/>
        </w:rPr>
      </w:pPr>
    </w:p>
    <w:p w14:paraId="7C808840" w14:textId="77777777" w:rsidR="0021491F" w:rsidRPr="00D6340F" w:rsidRDefault="0021491F" w:rsidP="0021491F">
      <w:pPr>
        <w:pStyle w:val="Heading7"/>
        <w:rPr>
          <w:b w:val="0"/>
          <w:u w:val="single"/>
          <w:lang w:val="en-GB"/>
        </w:rPr>
      </w:pPr>
      <w:r w:rsidRPr="00D6340F">
        <w:rPr>
          <w:b w:val="0"/>
          <w:u w:val="single"/>
          <w:lang w:val="en-GB"/>
        </w:rPr>
        <w:t xml:space="preserve">Choice of </w:t>
      </w:r>
      <w:r w:rsidR="00D6524B" w:rsidRPr="00D6340F">
        <w:rPr>
          <w:b w:val="0"/>
          <w:u w:val="single"/>
          <w:lang w:val="en-GB"/>
        </w:rPr>
        <w:t>medication</w:t>
      </w:r>
    </w:p>
    <w:p w14:paraId="69F80AB0" w14:textId="77777777" w:rsidR="0021491F" w:rsidRPr="00D6340F" w:rsidRDefault="0021491F" w:rsidP="0021491F">
      <w:pPr>
        <w:rPr>
          <w:rFonts w:cs="Arial"/>
          <w:lang w:val="en-GB"/>
        </w:rPr>
      </w:pPr>
      <w:r w:rsidRPr="00D6340F">
        <w:rPr>
          <w:rFonts w:cs="Arial"/>
          <w:lang w:val="en-GB"/>
        </w:rPr>
        <w:t>Depends on the type of lipid disturbance:</w:t>
      </w:r>
    </w:p>
    <w:p w14:paraId="6BBF037C" w14:textId="77777777" w:rsidR="0036185F" w:rsidRPr="00D6340F" w:rsidRDefault="0021491F" w:rsidP="007E4E67">
      <w:pPr>
        <w:pStyle w:val="ep0"/>
        <w:numPr>
          <w:ilvl w:val="0"/>
          <w:numId w:val="31"/>
        </w:numPr>
        <w:ind w:left="284" w:hanging="284"/>
        <w:rPr>
          <w:rFonts w:cs="Arial"/>
          <w:strike w:val="0"/>
          <w:lang w:val="en-GB"/>
        </w:rPr>
      </w:pPr>
      <w:r w:rsidRPr="00D6340F">
        <w:rPr>
          <w:rFonts w:cs="Arial"/>
          <w:strike w:val="0"/>
          <w:lang w:val="en-GB"/>
        </w:rPr>
        <w:t xml:space="preserve">predominant hypercholesterolaemia: </w:t>
      </w:r>
      <w:r w:rsidRPr="00D6340F">
        <w:rPr>
          <w:rFonts w:cs="Arial"/>
          <w:strike w:val="0"/>
          <w:lang w:val="en-GB"/>
        </w:rPr>
        <w:tab/>
        <w:t>statin</w:t>
      </w:r>
    </w:p>
    <w:p w14:paraId="19F5AE6D" w14:textId="77777777" w:rsidR="0036185F" w:rsidRPr="00D6340F" w:rsidRDefault="0021491F" w:rsidP="007E4E67">
      <w:pPr>
        <w:pStyle w:val="ep0"/>
        <w:numPr>
          <w:ilvl w:val="0"/>
          <w:numId w:val="31"/>
        </w:numPr>
        <w:ind w:left="284" w:hanging="284"/>
        <w:rPr>
          <w:rFonts w:cs="Arial"/>
          <w:strike w:val="0"/>
          <w:lang w:val="en-GB"/>
        </w:rPr>
      </w:pPr>
      <w:r w:rsidRPr="00D6340F">
        <w:rPr>
          <w:rFonts w:cs="Arial"/>
          <w:strike w:val="0"/>
          <w:lang w:val="en-GB"/>
        </w:rPr>
        <w:t>mixed hyperlipidaemia:</w:t>
      </w:r>
      <w:r w:rsidRPr="00D6340F">
        <w:rPr>
          <w:rFonts w:cs="Arial"/>
          <w:strike w:val="0"/>
          <w:lang w:val="en-GB"/>
        </w:rPr>
        <w:tab/>
      </w:r>
      <w:r w:rsidRPr="00D6340F">
        <w:rPr>
          <w:rFonts w:cs="Arial"/>
          <w:strike w:val="0"/>
          <w:lang w:val="en-GB"/>
        </w:rPr>
        <w:tab/>
      </w:r>
      <w:r w:rsidR="008454E9">
        <w:rPr>
          <w:rFonts w:cs="Arial"/>
          <w:strike w:val="0"/>
          <w:lang w:val="en-GB"/>
        </w:rPr>
        <w:tab/>
      </w:r>
      <w:r w:rsidRPr="00D6340F">
        <w:rPr>
          <w:rFonts w:cs="Arial"/>
          <w:strike w:val="0"/>
          <w:lang w:val="en-GB"/>
        </w:rPr>
        <w:t>statin</w:t>
      </w:r>
      <w:r w:rsidR="00E066CB">
        <w:rPr>
          <w:rFonts w:cs="Arial"/>
          <w:strike w:val="0"/>
          <w:lang w:val="en-GB"/>
        </w:rPr>
        <w:t xml:space="preserve"> </w:t>
      </w:r>
      <w:r w:rsidR="00CF1E5F" w:rsidRPr="00D6340F">
        <w:rPr>
          <w:rFonts w:cs="Arial"/>
          <w:strike w:val="0"/>
          <w:lang w:val="en-GB"/>
        </w:rPr>
        <w:t>or</w:t>
      </w:r>
      <w:r w:rsidRPr="00D6340F">
        <w:rPr>
          <w:rFonts w:cs="Arial"/>
          <w:strike w:val="0"/>
          <w:lang w:val="en-GB"/>
        </w:rPr>
        <w:t xml:space="preserve"> fibrate</w:t>
      </w:r>
    </w:p>
    <w:p w14:paraId="0131412D" w14:textId="77777777" w:rsidR="0036185F" w:rsidRPr="00D6340F" w:rsidRDefault="0021491F" w:rsidP="007E4E67">
      <w:pPr>
        <w:pStyle w:val="ep0"/>
        <w:numPr>
          <w:ilvl w:val="0"/>
          <w:numId w:val="31"/>
        </w:numPr>
        <w:ind w:left="284" w:hanging="284"/>
        <w:rPr>
          <w:rFonts w:cs="Arial"/>
          <w:strike w:val="0"/>
          <w:lang w:val="en-GB"/>
        </w:rPr>
      </w:pPr>
      <w:r w:rsidRPr="00D6340F">
        <w:rPr>
          <w:rFonts w:cs="Arial"/>
          <w:strike w:val="0"/>
          <w:lang w:val="en-GB"/>
        </w:rPr>
        <w:t xml:space="preserve">predominant </w:t>
      </w:r>
      <w:proofErr w:type="spellStart"/>
      <w:r w:rsidRPr="00D6340F">
        <w:rPr>
          <w:rFonts w:cs="Arial"/>
          <w:strike w:val="0"/>
          <w:lang w:val="en-GB"/>
        </w:rPr>
        <w:t>hypertriglyceridaemia</w:t>
      </w:r>
      <w:proofErr w:type="spellEnd"/>
      <w:r w:rsidRPr="00D6340F">
        <w:rPr>
          <w:rFonts w:cs="Arial"/>
          <w:strike w:val="0"/>
          <w:lang w:val="en-GB"/>
        </w:rPr>
        <w:t xml:space="preserve">: </w:t>
      </w:r>
      <w:r w:rsidRPr="00D6340F">
        <w:rPr>
          <w:rFonts w:cs="Arial"/>
          <w:strike w:val="0"/>
          <w:lang w:val="en-GB"/>
        </w:rPr>
        <w:tab/>
        <w:t>fibrate</w:t>
      </w:r>
    </w:p>
    <w:p w14:paraId="599E09F4" w14:textId="77777777" w:rsidR="0021491F" w:rsidRPr="00D6340F" w:rsidRDefault="0021491F" w:rsidP="0021491F">
      <w:pPr>
        <w:rPr>
          <w:rFonts w:cs="Arial"/>
          <w:lang w:val="en-GB"/>
        </w:rPr>
      </w:pPr>
    </w:p>
    <w:p w14:paraId="1EF0AEBC" w14:textId="77777777" w:rsidR="00FD0C19" w:rsidRPr="00FD0C19" w:rsidRDefault="00FD0C19" w:rsidP="007E4E67">
      <w:pPr>
        <w:widowControl w:val="0"/>
        <w:numPr>
          <w:ilvl w:val="0"/>
          <w:numId w:val="59"/>
        </w:numPr>
        <w:autoSpaceDE w:val="0"/>
        <w:autoSpaceDN w:val="0"/>
        <w:adjustRightInd w:val="0"/>
        <w:ind w:left="284" w:hanging="284"/>
        <w:contextualSpacing/>
        <w:rPr>
          <w:rFonts w:cs="Arial"/>
          <w:bCs w:val="0"/>
          <w:color w:val="auto"/>
        </w:rPr>
      </w:pPr>
      <w:proofErr w:type="spellStart"/>
      <w:r w:rsidRPr="00FD0C19">
        <w:rPr>
          <w:rFonts w:cs="Arial"/>
          <w:bCs w:val="0"/>
          <w:color w:val="auto"/>
        </w:rPr>
        <w:t>HMGCoA</w:t>
      </w:r>
      <w:proofErr w:type="spellEnd"/>
      <w:r w:rsidRPr="00FD0C19">
        <w:rPr>
          <w:rFonts w:cs="Arial"/>
          <w:bCs w:val="0"/>
          <w:color w:val="auto"/>
        </w:rPr>
        <w:t xml:space="preserve"> reductase inhibitors (statins), according to table below:</w:t>
      </w:r>
    </w:p>
    <w:p w14:paraId="126C201E" w14:textId="77777777" w:rsidR="00FD0C19" w:rsidRPr="00FD0C19" w:rsidRDefault="00FD0C19" w:rsidP="00FD0C19">
      <w:pPr>
        <w:rPr>
          <w:rFonts w:cs="Arial"/>
          <w:bCs w:val="0"/>
          <w:color w:val="auto"/>
          <w:sz w:val="6"/>
          <w:szCs w:val="6"/>
        </w:rPr>
      </w:pPr>
    </w:p>
    <w:tbl>
      <w:tblPr>
        <w:tblStyle w:val="TableGrid4"/>
        <w:tblW w:w="0" w:type="auto"/>
        <w:tblLook w:val="04A0" w:firstRow="1" w:lastRow="0" w:firstColumn="1" w:lastColumn="0" w:noHBand="0" w:noVBand="1"/>
      </w:tblPr>
      <w:tblGrid>
        <w:gridCol w:w="3166"/>
        <w:gridCol w:w="2948"/>
      </w:tblGrid>
      <w:tr w:rsidR="00FD0C19" w:rsidRPr="00C740B0" w14:paraId="24A19473" w14:textId="77777777" w:rsidTr="00143776">
        <w:tc>
          <w:tcPr>
            <w:tcW w:w="3544" w:type="dxa"/>
            <w:shd w:val="clear" w:color="auto" w:fill="D9D9D9" w:themeFill="background1" w:themeFillShade="D9"/>
          </w:tcPr>
          <w:p w14:paraId="5918CCC1" w14:textId="77777777" w:rsidR="00FD0C19" w:rsidRPr="00C740B0" w:rsidRDefault="00FD0C19" w:rsidP="00FD0C19">
            <w:pPr>
              <w:jc w:val="center"/>
              <w:rPr>
                <w:rFonts w:cs="Arial"/>
                <w:b/>
                <w:bCs w:val="0"/>
                <w:color w:val="auto"/>
                <w:sz w:val="16"/>
              </w:rPr>
            </w:pPr>
            <w:r w:rsidRPr="00C740B0">
              <w:rPr>
                <w:rFonts w:cs="Arial"/>
                <w:b/>
                <w:bCs w:val="0"/>
                <w:color w:val="auto"/>
                <w:sz w:val="16"/>
              </w:rPr>
              <w:t>INDICATION</w:t>
            </w:r>
          </w:p>
        </w:tc>
        <w:tc>
          <w:tcPr>
            <w:tcW w:w="3362" w:type="dxa"/>
            <w:shd w:val="clear" w:color="auto" w:fill="D9D9D9" w:themeFill="background1" w:themeFillShade="D9"/>
          </w:tcPr>
          <w:p w14:paraId="2773E840" w14:textId="77777777" w:rsidR="00FD0C19" w:rsidRPr="00C740B0" w:rsidRDefault="00FD0C19" w:rsidP="00FD0C19">
            <w:pPr>
              <w:jc w:val="center"/>
              <w:rPr>
                <w:rFonts w:cs="Arial"/>
                <w:b/>
                <w:bCs w:val="0"/>
                <w:color w:val="auto"/>
                <w:sz w:val="16"/>
              </w:rPr>
            </w:pPr>
            <w:r w:rsidRPr="00C740B0">
              <w:rPr>
                <w:rFonts w:cs="Arial"/>
                <w:b/>
                <w:bCs w:val="0"/>
                <w:color w:val="auto"/>
                <w:sz w:val="16"/>
              </w:rPr>
              <w:t>HMGCOA REDUCTASE INHIBITOR (STATIN) DOSE</w:t>
            </w:r>
          </w:p>
        </w:tc>
      </w:tr>
      <w:tr w:rsidR="00FD0C19" w:rsidRPr="00C740B0" w14:paraId="3B1F9DE6" w14:textId="77777777" w:rsidTr="00143776">
        <w:tc>
          <w:tcPr>
            <w:tcW w:w="6906" w:type="dxa"/>
            <w:gridSpan w:val="2"/>
            <w:shd w:val="clear" w:color="auto" w:fill="auto"/>
          </w:tcPr>
          <w:p w14:paraId="65C8D844" w14:textId="77777777" w:rsidR="00FD0C19" w:rsidRPr="00C740B0" w:rsidRDefault="00FD0C19" w:rsidP="00FD0C19">
            <w:pPr>
              <w:rPr>
                <w:rFonts w:cs="Arial"/>
                <w:b/>
                <w:bCs w:val="0"/>
                <w:color w:val="auto"/>
                <w:sz w:val="16"/>
                <w:szCs w:val="10"/>
              </w:rPr>
            </w:pPr>
          </w:p>
          <w:p w14:paraId="651D9665" w14:textId="77777777" w:rsidR="00FD0C19" w:rsidRPr="00C740B0" w:rsidRDefault="00FD0C19" w:rsidP="00FD0C19">
            <w:pPr>
              <w:spacing w:line="360" w:lineRule="auto"/>
              <w:rPr>
                <w:rFonts w:cs="Arial"/>
                <w:b/>
                <w:bCs w:val="0"/>
                <w:color w:val="auto"/>
                <w:sz w:val="16"/>
              </w:rPr>
            </w:pPr>
            <w:r w:rsidRPr="00C740B0">
              <w:rPr>
                <w:rFonts w:cs="Arial"/>
                <w:b/>
                <w:bCs w:val="0"/>
                <w:color w:val="auto"/>
                <w:sz w:val="16"/>
              </w:rPr>
              <w:t xml:space="preserve">A: Primary </w:t>
            </w:r>
            <w:proofErr w:type="gramStart"/>
            <w:r w:rsidRPr="00C740B0">
              <w:rPr>
                <w:rFonts w:cs="Arial"/>
                <w:b/>
                <w:bCs w:val="0"/>
                <w:color w:val="auto"/>
                <w:sz w:val="16"/>
              </w:rPr>
              <w:t>prevention  -</w:t>
            </w:r>
            <w:proofErr w:type="gramEnd"/>
            <w:r w:rsidRPr="00C740B0">
              <w:rPr>
                <w:rFonts w:cs="Arial"/>
                <w:b/>
                <w:bCs w:val="0"/>
                <w:color w:val="auto"/>
                <w:sz w:val="16"/>
              </w:rPr>
              <w:t xml:space="preserve"> no existing CVD</w:t>
            </w:r>
          </w:p>
        </w:tc>
      </w:tr>
      <w:tr w:rsidR="00FD0C19" w:rsidRPr="00C740B0" w14:paraId="5B3C0644" w14:textId="77777777" w:rsidTr="00143776">
        <w:tc>
          <w:tcPr>
            <w:tcW w:w="3544" w:type="dxa"/>
          </w:tcPr>
          <w:p w14:paraId="46F94809" w14:textId="77777777" w:rsidR="00FD0C19" w:rsidRPr="00C740B0" w:rsidRDefault="00FD0C19" w:rsidP="007E4E67">
            <w:pPr>
              <w:widowControl w:val="0"/>
              <w:numPr>
                <w:ilvl w:val="0"/>
                <w:numId w:val="61"/>
              </w:numPr>
              <w:autoSpaceDE w:val="0"/>
              <w:autoSpaceDN w:val="0"/>
              <w:adjustRightInd w:val="0"/>
              <w:ind w:left="284" w:hanging="284"/>
              <w:jc w:val="left"/>
              <w:rPr>
                <w:rFonts w:cs="Arial"/>
                <w:bCs w:val="0"/>
                <w:color w:val="auto"/>
                <w:sz w:val="16"/>
              </w:rPr>
            </w:pPr>
            <w:r w:rsidRPr="00C740B0">
              <w:rPr>
                <w:rFonts w:cs="Arial"/>
                <w:bCs w:val="0"/>
                <w:color w:val="auto"/>
                <w:sz w:val="16"/>
              </w:rPr>
              <w:t>Type 2 diabetes with age &gt;40 years.</w:t>
            </w:r>
          </w:p>
          <w:p w14:paraId="644D660C" w14:textId="77777777" w:rsidR="00FD0C19" w:rsidRPr="00C740B0" w:rsidRDefault="00FD0C19" w:rsidP="007E4E67">
            <w:pPr>
              <w:widowControl w:val="0"/>
              <w:numPr>
                <w:ilvl w:val="0"/>
                <w:numId w:val="61"/>
              </w:numPr>
              <w:autoSpaceDE w:val="0"/>
              <w:autoSpaceDN w:val="0"/>
              <w:adjustRightInd w:val="0"/>
              <w:ind w:left="284" w:hanging="284"/>
              <w:jc w:val="left"/>
              <w:rPr>
                <w:rFonts w:cs="Arial"/>
                <w:bCs w:val="0"/>
                <w:color w:val="auto"/>
                <w:sz w:val="16"/>
              </w:rPr>
            </w:pPr>
            <w:r w:rsidRPr="00C740B0">
              <w:rPr>
                <w:rFonts w:cs="Arial"/>
                <w:bCs w:val="0"/>
                <w:color w:val="auto"/>
                <w:sz w:val="16"/>
              </w:rPr>
              <w:t>Diabetes for &gt;10 years.</w:t>
            </w:r>
          </w:p>
          <w:p w14:paraId="0850BFF7" w14:textId="77777777" w:rsidR="00FD0C19" w:rsidRPr="00C740B0" w:rsidRDefault="00FD0C19" w:rsidP="007E4E67">
            <w:pPr>
              <w:widowControl w:val="0"/>
              <w:numPr>
                <w:ilvl w:val="0"/>
                <w:numId w:val="61"/>
              </w:numPr>
              <w:autoSpaceDE w:val="0"/>
              <w:autoSpaceDN w:val="0"/>
              <w:adjustRightInd w:val="0"/>
              <w:ind w:left="284" w:hanging="284"/>
              <w:jc w:val="left"/>
              <w:rPr>
                <w:rFonts w:cs="Arial"/>
                <w:bCs w:val="0"/>
                <w:color w:val="auto"/>
                <w:sz w:val="16"/>
              </w:rPr>
            </w:pPr>
            <w:r w:rsidRPr="00C740B0">
              <w:rPr>
                <w:rFonts w:cs="Arial"/>
                <w:bCs w:val="0"/>
                <w:color w:val="auto"/>
                <w:sz w:val="16"/>
              </w:rPr>
              <w:t>Diabetes with chronic kidney disease.</w:t>
            </w:r>
          </w:p>
          <w:p w14:paraId="1CE125E6" w14:textId="77777777" w:rsidR="00FD0C19" w:rsidRPr="00C740B0" w:rsidRDefault="00FD0C19" w:rsidP="007E4E67">
            <w:pPr>
              <w:widowControl w:val="0"/>
              <w:numPr>
                <w:ilvl w:val="0"/>
                <w:numId w:val="61"/>
              </w:numPr>
              <w:autoSpaceDE w:val="0"/>
              <w:autoSpaceDN w:val="0"/>
              <w:adjustRightInd w:val="0"/>
              <w:ind w:left="284" w:hanging="284"/>
              <w:jc w:val="left"/>
              <w:rPr>
                <w:rFonts w:cs="Arial"/>
                <w:bCs w:val="0"/>
                <w:color w:val="auto"/>
                <w:sz w:val="16"/>
              </w:rPr>
            </w:pPr>
            <w:r w:rsidRPr="00C740B0">
              <w:rPr>
                <w:rFonts w:cs="Arial"/>
                <w:bCs w:val="0"/>
                <w:color w:val="auto"/>
                <w:sz w:val="16"/>
              </w:rPr>
              <w:t>≥20% 10-year risk of cardiovascular event.</w:t>
            </w:r>
          </w:p>
        </w:tc>
        <w:tc>
          <w:tcPr>
            <w:tcW w:w="3362" w:type="dxa"/>
          </w:tcPr>
          <w:p w14:paraId="0477A0C1" w14:textId="77777777" w:rsidR="006759C5" w:rsidRPr="00C740B0" w:rsidRDefault="006759C5" w:rsidP="007E4E67">
            <w:pPr>
              <w:widowControl w:val="0"/>
              <w:numPr>
                <w:ilvl w:val="0"/>
                <w:numId w:val="59"/>
              </w:numPr>
              <w:autoSpaceDE w:val="0"/>
              <w:autoSpaceDN w:val="0"/>
              <w:adjustRightInd w:val="0"/>
              <w:ind w:left="122" w:hanging="122"/>
              <w:contextualSpacing/>
              <w:rPr>
                <w:rFonts w:cs="Arial"/>
                <w:bCs w:val="0"/>
                <w:color w:val="auto"/>
                <w:sz w:val="16"/>
              </w:rPr>
            </w:pPr>
            <w:proofErr w:type="spellStart"/>
            <w:r w:rsidRPr="00C740B0">
              <w:rPr>
                <w:rFonts w:cs="Arial"/>
                <w:bCs w:val="0"/>
                <w:color w:val="auto"/>
                <w:sz w:val="16"/>
              </w:rPr>
              <w:t>HMGCoA</w:t>
            </w:r>
            <w:proofErr w:type="spellEnd"/>
            <w:r w:rsidRPr="00C740B0">
              <w:rPr>
                <w:rFonts w:cs="Arial"/>
                <w:bCs w:val="0"/>
                <w:color w:val="auto"/>
                <w:sz w:val="16"/>
              </w:rPr>
              <w:t xml:space="preserve"> reductase inhibitors (statins), e.g.:</w:t>
            </w:r>
          </w:p>
          <w:p w14:paraId="7C5EC86D" w14:textId="77777777" w:rsidR="00FD0C19" w:rsidRPr="00C740B0" w:rsidRDefault="00FD0C19" w:rsidP="007E4E67">
            <w:pPr>
              <w:widowControl w:val="0"/>
              <w:numPr>
                <w:ilvl w:val="0"/>
                <w:numId w:val="60"/>
              </w:numPr>
              <w:autoSpaceDE w:val="0"/>
              <w:autoSpaceDN w:val="0"/>
              <w:adjustRightInd w:val="0"/>
              <w:ind w:left="122" w:hanging="122"/>
              <w:contextualSpacing/>
              <w:jc w:val="left"/>
              <w:rPr>
                <w:rFonts w:cs="Arial"/>
                <w:bCs w:val="0"/>
                <w:color w:val="auto"/>
                <w:sz w:val="16"/>
              </w:rPr>
            </w:pPr>
            <w:r w:rsidRPr="00C740B0">
              <w:rPr>
                <w:rFonts w:cs="Arial"/>
                <w:bCs w:val="0"/>
                <w:color w:val="auto"/>
                <w:sz w:val="16"/>
              </w:rPr>
              <w:t>Simvastatin, oral, 10 mg at night.</w:t>
            </w:r>
          </w:p>
        </w:tc>
      </w:tr>
      <w:tr w:rsidR="00FD0C19" w:rsidRPr="00C740B0" w14:paraId="65C20037" w14:textId="77777777" w:rsidTr="00143776">
        <w:tc>
          <w:tcPr>
            <w:tcW w:w="3544" w:type="dxa"/>
          </w:tcPr>
          <w:p w14:paraId="28C94488" w14:textId="77777777" w:rsidR="00FD0C19" w:rsidRPr="00C740B0" w:rsidRDefault="00FD0C19" w:rsidP="007E4E67">
            <w:pPr>
              <w:widowControl w:val="0"/>
              <w:numPr>
                <w:ilvl w:val="0"/>
                <w:numId w:val="61"/>
              </w:numPr>
              <w:autoSpaceDE w:val="0"/>
              <w:autoSpaceDN w:val="0"/>
              <w:adjustRightInd w:val="0"/>
              <w:ind w:left="284" w:hanging="284"/>
              <w:jc w:val="left"/>
              <w:rPr>
                <w:rFonts w:cs="Arial"/>
                <w:bCs w:val="0"/>
                <w:color w:val="auto"/>
                <w:sz w:val="16"/>
              </w:rPr>
            </w:pPr>
            <w:r w:rsidRPr="00C740B0">
              <w:rPr>
                <w:rFonts w:cs="Arial"/>
                <w:bCs w:val="0"/>
                <w:color w:val="auto"/>
                <w:sz w:val="16"/>
              </w:rPr>
              <w:t>Patients on protease inhibitors.</w:t>
            </w:r>
          </w:p>
          <w:p w14:paraId="4C56E97A" w14:textId="35BCEDED" w:rsidR="00FD0C19" w:rsidRPr="00C740B0" w:rsidRDefault="00FD0C19" w:rsidP="00FD0C19">
            <w:pPr>
              <w:rPr>
                <w:rFonts w:cs="Arial"/>
                <w:bCs w:val="0"/>
                <w:color w:val="auto"/>
                <w:sz w:val="16"/>
              </w:rPr>
            </w:pPr>
            <w:r w:rsidRPr="00C740B0">
              <w:rPr>
                <w:rFonts w:cs="Arial"/>
                <w:bCs w:val="0"/>
                <w:color w:val="auto"/>
                <w:sz w:val="16"/>
              </w:rPr>
              <w:t xml:space="preserve">(Risks as above, after switching to atazanavir – see </w:t>
            </w:r>
            <w:r w:rsidR="002840C6">
              <w:rPr>
                <w:rFonts w:cs="Arial"/>
                <w:bCs w:val="0"/>
                <w:color w:val="auto"/>
                <w:sz w:val="16"/>
              </w:rPr>
              <w:t>Section</w:t>
            </w:r>
            <w:r w:rsidRPr="00C740B0">
              <w:rPr>
                <w:rFonts w:cs="Arial"/>
                <w:bCs w:val="0"/>
                <w:color w:val="auto"/>
                <w:sz w:val="16"/>
              </w:rPr>
              <w:t xml:space="preserve"> below).</w:t>
            </w:r>
          </w:p>
        </w:tc>
        <w:tc>
          <w:tcPr>
            <w:tcW w:w="3362" w:type="dxa"/>
          </w:tcPr>
          <w:p w14:paraId="3D47BF84" w14:textId="77777777" w:rsidR="00FD0C19" w:rsidRPr="00C740B0" w:rsidRDefault="00FD0C19" w:rsidP="007E4E67">
            <w:pPr>
              <w:widowControl w:val="0"/>
              <w:numPr>
                <w:ilvl w:val="0"/>
                <w:numId w:val="60"/>
              </w:numPr>
              <w:autoSpaceDE w:val="0"/>
              <w:autoSpaceDN w:val="0"/>
              <w:adjustRightInd w:val="0"/>
              <w:ind w:left="122" w:hanging="122"/>
              <w:contextualSpacing/>
              <w:jc w:val="left"/>
              <w:rPr>
                <w:rFonts w:cs="Arial"/>
                <w:bCs w:val="0"/>
                <w:color w:val="auto"/>
                <w:sz w:val="16"/>
              </w:rPr>
            </w:pPr>
            <w:r w:rsidRPr="00C740B0">
              <w:rPr>
                <w:rFonts w:cs="Arial"/>
                <w:bCs w:val="0"/>
                <w:color w:val="auto"/>
                <w:sz w:val="16"/>
              </w:rPr>
              <w:t>Atorvastatin, oral, 10 mg at night.</w:t>
            </w:r>
          </w:p>
          <w:p w14:paraId="048B0EC3" w14:textId="77777777" w:rsidR="00FD0C19" w:rsidRPr="00C740B0" w:rsidRDefault="00FD0C19" w:rsidP="00FD0C19">
            <w:pPr>
              <w:ind w:left="192"/>
              <w:contextualSpacing/>
              <w:rPr>
                <w:rFonts w:cs="Arial"/>
                <w:bCs w:val="0"/>
                <w:color w:val="auto"/>
                <w:sz w:val="16"/>
              </w:rPr>
            </w:pPr>
          </w:p>
        </w:tc>
      </w:tr>
      <w:tr w:rsidR="00FD0C19" w:rsidRPr="00C740B0" w14:paraId="13AF3B7F" w14:textId="77777777" w:rsidTr="00143776">
        <w:tc>
          <w:tcPr>
            <w:tcW w:w="6906" w:type="dxa"/>
            <w:gridSpan w:val="2"/>
            <w:shd w:val="clear" w:color="auto" w:fill="auto"/>
          </w:tcPr>
          <w:p w14:paraId="5E8F32B8" w14:textId="77777777" w:rsidR="00FD0C19" w:rsidRPr="00C740B0" w:rsidRDefault="00FD0C19" w:rsidP="00FD0C19">
            <w:pPr>
              <w:rPr>
                <w:rFonts w:cs="Arial"/>
                <w:bCs w:val="0"/>
                <w:color w:val="auto"/>
                <w:sz w:val="16"/>
                <w:szCs w:val="10"/>
              </w:rPr>
            </w:pPr>
          </w:p>
          <w:p w14:paraId="36999689" w14:textId="77777777" w:rsidR="00FD0C19" w:rsidRPr="00C740B0" w:rsidRDefault="00FD0C19" w:rsidP="00FD0C19">
            <w:pPr>
              <w:rPr>
                <w:rFonts w:cs="Arial"/>
                <w:b/>
                <w:bCs w:val="0"/>
                <w:color w:val="auto"/>
                <w:sz w:val="16"/>
              </w:rPr>
            </w:pPr>
            <w:r w:rsidRPr="00C740B0">
              <w:rPr>
                <w:rFonts w:cs="Arial"/>
                <w:b/>
                <w:bCs w:val="0"/>
                <w:color w:val="auto"/>
                <w:sz w:val="16"/>
              </w:rPr>
              <w:t>B: Secondary prevention – existing CVD</w:t>
            </w:r>
          </w:p>
          <w:p w14:paraId="3D30C981" w14:textId="77777777" w:rsidR="00FD0C19" w:rsidRPr="00C740B0" w:rsidRDefault="00FD0C19" w:rsidP="00FD0C19">
            <w:pPr>
              <w:rPr>
                <w:rFonts w:cs="Arial"/>
                <w:bCs w:val="0"/>
                <w:color w:val="auto"/>
                <w:sz w:val="16"/>
                <w:szCs w:val="10"/>
              </w:rPr>
            </w:pPr>
          </w:p>
        </w:tc>
      </w:tr>
      <w:tr w:rsidR="00FD0C19" w:rsidRPr="00C740B0" w14:paraId="0077D4AE" w14:textId="77777777" w:rsidTr="00143776">
        <w:tc>
          <w:tcPr>
            <w:tcW w:w="3544" w:type="dxa"/>
          </w:tcPr>
          <w:p w14:paraId="448A449D" w14:textId="77777777" w:rsidR="00FD0C19" w:rsidRPr="00C740B0" w:rsidRDefault="00FD0C19" w:rsidP="007E4E67">
            <w:pPr>
              <w:widowControl w:val="0"/>
              <w:numPr>
                <w:ilvl w:val="0"/>
                <w:numId w:val="61"/>
              </w:numPr>
              <w:autoSpaceDE w:val="0"/>
              <w:autoSpaceDN w:val="0"/>
              <w:adjustRightInd w:val="0"/>
              <w:ind w:left="284" w:hanging="284"/>
              <w:jc w:val="left"/>
              <w:rPr>
                <w:rFonts w:cs="Arial"/>
                <w:bCs w:val="0"/>
                <w:color w:val="auto"/>
                <w:sz w:val="16"/>
              </w:rPr>
            </w:pPr>
            <w:r w:rsidRPr="00C740B0">
              <w:rPr>
                <w:rFonts w:cs="Arial"/>
                <w:bCs w:val="0"/>
                <w:color w:val="auto"/>
                <w:sz w:val="16"/>
              </w:rPr>
              <w:t>Ischaemic heart disease.</w:t>
            </w:r>
          </w:p>
          <w:p w14:paraId="07770DD6" w14:textId="77777777" w:rsidR="00FD0C19" w:rsidRPr="00C740B0" w:rsidRDefault="00FD0C19" w:rsidP="007E4E67">
            <w:pPr>
              <w:widowControl w:val="0"/>
              <w:numPr>
                <w:ilvl w:val="0"/>
                <w:numId w:val="61"/>
              </w:numPr>
              <w:autoSpaceDE w:val="0"/>
              <w:autoSpaceDN w:val="0"/>
              <w:adjustRightInd w:val="0"/>
              <w:ind w:left="284" w:hanging="284"/>
              <w:jc w:val="left"/>
              <w:rPr>
                <w:rFonts w:cs="Arial"/>
                <w:bCs w:val="0"/>
                <w:color w:val="auto"/>
                <w:sz w:val="16"/>
              </w:rPr>
            </w:pPr>
            <w:r w:rsidRPr="00C740B0">
              <w:rPr>
                <w:rFonts w:cs="Arial"/>
                <w:bCs w:val="0"/>
                <w:color w:val="auto"/>
                <w:sz w:val="16"/>
              </w:rPr>
              <w:t>Atherothrombotic stroke.</w:t>
            </w:r>
          </w:p>
          <w:p w14:paraId="7D5A7333" w14:textId="77777777" w:rsidR="00FD0C19" w:rsidRPr="00C740B0" w:rsidRDefault="00FD0C19" w:rsidP="007E4E67">
            <w:pPr>
              <w:widowControl w:val="0"/>
              <w:numPr>
                <w:ilvl w:val="0"/>
                <w:numId w:val="61"/>
              </w:numPr>
              <w:autoSpaceDE w:val="0"/>
              <w:autoSpaceDN w:val="0"/>
              <w:adjustRightInd w:val="0"/>
              <w:ind w:left="284" w:hanging="284"/>
              <w:jc w:val="left"/>
              <w:rPr>
                <w:rFonts w:cs="Arial"/>
                <w:bCs w:val="0"/>
                <w:color w:val="auto"/>
                <w:sz w:val="16"/>
              </w:rPr>
            </w:pPr>
            <w:r w:rsidRPr="00C740B0">
              <w:rPr>
                <w:rFonts w:cs="Arial"/>
                <w:bCs w:val="0"/>
                <w:color w:val="auto"/>
                <w:sz w:val="16"/>
              </w:rPr>
              <w:t>Peripheral vascular disease.</w:t>
            </w:r>
          </w:p>
        </w:tc>
        <w:tc>
          <w:tcPr>
            <w:tcW w:w="3362" w:type="dxa"/>
          </w:tcPr>
          <w:p w14:paraId="12026F08" w14:textId="77777777" w:rsidR="006759C5" w:rsidRPr="00C740B0" w:rsidRDefault="006759C5" w:rsidP="007E4E67">
            <w:pPr>
              <w:widowControl w:val="0"/>
              <w:numPr>
                <w:ilvl w:val="0"/>
                <w:numId w:val="59"/>
              </w:numPr>
              <w:autoSpaceDE w:val="0"/>
              <w:autoSpaceDN w:val="0"/>
              <w:adjustRightInd w:val="0"/>
              <w:ind w:left="122" w:hanging="122"/>
              <w:contextualSpacing/>
              <w:rPr>
                <w:rFonts w:cs="Arial"/>
                <w:bCs w:val="0"/>
                <w:color w:val="auto"/>
                <w:sz w:val="16"/>
              </w:rPr>
            </w:pPr>
            <w:proofErr w:type="spellStart"/>
            <w:r w:rsidRPr="00C740B0">
              <w:rPr>
                <w:rFonts w:cs="Arial"/>
                <w:bCs w:val="0"/>
                <w:color w:val="auto"/>
                <w:sz w:val="16"/>
              </w:rPr>
              <w:t>HMGCoA</w:t>
            </w:r>
            <w:proofErr w:type="spellEnd"/>
            <w:r w:rsidRPr="00C740B0">
              <w:rPr>
                <w:rFonts w:cs="Arial"/>
                <w:bCs w:val="0"/>
                <w:color w:val="auto"/>
                <w:sz w:val="16"/>
              </w:rPr>
              <w:t xml:space="preserve"> reductase inhibitors (statins), e.g.:</w:t>
            </w:r>
          </w:p>
          <w:p w14:paraId="026A30FE" w14:textId="77777777" w:rsidR="00FD0C19" w:rsidRPr="00C740B0" w:rsidRDefault="00FD0C19" w:rsidP="007E4E67">
            <w:pPr>
              <w:widowControl w:val="0"/>
              <w:numPr>
                <w:ilvl w:val="0"/>
                <w:numId w:val="60"/>
              </w:numPr>
              <w:autoSpaceDE w:val="0"/>
              <w:autoSpaceDN w:val="0"/>
              <w:adjustRightInd w:val="0"/>
              <w:ind w:left="122" w:hanging="122"/>
              <w:contextualSpacing/>
              <w:jc w:val="left"/>
              <w:rPr>
                <w:rFonts w:cs="Arial"/>
                <w:bCs w:val="0"/>
                <w:color w:val="auto"/>
                <w:sz w:val="16"/>
              </w:rPr>
            </w:pPr>
            <w:r w:rsidRPr="00C740B0">
              <w:rPr>
                <w:rFonts w:cs="Arial"/>
                <w:bCs w:val="0"/>
                <w:color w:val="auto"/>
                <w:sz w:val="16"/>
              </w:rPr>
              <w:t>Simvastatin, oral, 40 mg at night</w:t>
            </w:r>
          </w:p>
          <w:tbl>
            <w:tblPr>
              <w:tblStyle w:val="TableGrid12"/>
              <w:tblpPr w:leftFromText="180" w:rightFromText="180" w:vertAnchor="text" w:tblpXSpec="right" w:tblpY="1"/>
              <w:tblOverlap w:val="neve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1038"/>
            </w:tblGrid>
            <w:tr w:rsidR="00FD0C19" w:rsidRPr="00C740B0" w14:paraId="22E8A112" w14:textId="77777777" w:rsidTr="00143776">
              <w:tc>
                <w:tcPr>
                  <w:tcW w:w="943" w:type="dxa"/>
                  <w:shd w:val="clear" w:color="auto" w:fill="auto"/>
                </w:tcPr>
                <w:p w14:paraId="3EE644C2" w14:textId="77777777" w:rsidR="00FD0C19" w:rsidRPr="00C740B0" w:rsidRDefault="00FD0C19" w:rsidP="00FD0C19">
                  <w:pPr>
                    <w:widowControl w:val="0"/>
                    <w:autoSpaceDE w:val="0"/>
                    <w:autoSpaceDN w:val="0"/>
                    <w:adjustRightInd w:val="0"/>
                    <w:ind w:left="360"/>
                    <w:jc w:val="right"/>
                    <w:rPr>
                      <w:rFonts w:cs="Arial"/>
                      <w:i/>
                      <w:sz w:val="14"/>
                      <w:szCs w:val="16"/>
                      <w:lang w:val="en-US"/>
                    </w:rPr>
                  </w:pPr>
                  <w:proofErr w:type="spellStart"/>
                  <w:proofErr w:type="gramStart"/>
                  <w:r w:rsidRPr="00C740B0">
                    <w:rPr>
                      <w:rFonts w:cs="Arial"/>
                      <w:i/>
                      <w:sz w:val="14"/>
                      <w:szCs w:val="16"/>
                      <w:lang w:val="en-US"/>
                    </w:rPr>
                    <w:t>LoE:I</w:t>
                  </w:r>
                  <w:proofErr w:type="spellEnd"/>
                  <w:proofErr w:type="gramEnd"/>
                  <w:r w:rsidRPr="00C740B0">
                    <w:rPr>
                      <w:rFonts w:cs="Arial"/>
                      <w:i/>
                      <w:sz w:val="14"/>
                      <w:szCs w:val="16"/>
                      <w:vertAlign w:val="superscript"/>
                      <w:lang w:val="en-US"/>
                    </w:rPr>
                    <w:endnoteReference w:id="26"/>
                  </w:r>
                </w:p>
              </w:tc>
            </w:tr>
          </w:tbl>
          <w:p w14:paraId="5177EACE" w14:textId="77777777" w:rsidR="00FD0C19" w:rsidRPr="00C740B0" w:rsidRDefault="00FD0C19" w:rsidP="00FD0C19">
            <w:pPr>
              <w:ind w:left="192"/>
              <w:contextualSpacing/>
              <w:rPr>
                <w:rFonts w:cs="Arial"/>
                <w:bCs w:val="0"/>
                <w:color w:val="auto"/>
                <w:sz w:val="16"/>
              </w:rPr>
            </w:pPr>
          </w:p>
        </w:tc>
      </w:tr>
      <w:tr w:rsidR="00FD0C19" w:rsidRPr="00C740B0" w14:paraId="1D9794CF" w14:textId="77777777" w:rsidTr="00143776">
        <w:tc>
          <w:tcPr>
            <w:tcW w:w="3544" w:type="dxa"/>
          </w:tcPr>
          <w:p w14:paraId="1026C3A6" w14:textId="77777777" w:rsidR="00FD0C19" w:rsidRPr="00C740B0" w:rsidRDefault="00FD0C19" w:rsidP="007E4E67">
            <w:pPr>
              <w:widowControl w:val="0"/>
              <w:numPr>
                <w:ilvl w:val="0"/>
                <w:numId w:val="61"/>
              </w:numPr>
              <w:autoSpaceDE w:val="0"/>
              <w:autoSpaceDN w:val="0"/>
              <w:adjustRightInd w:val="0"/>
              <w:ind w:left="284" w:hanging="284"/>
              <w:jc w:val="left"/>
              <w:rPr>
                <w:rFonts w:cs="Arial"/>
                <w:bCs w:val="0"/>
                <w:color w:val="auto"/>
                <w:sz w:val="16"/>
              </w:rPr>
            </w:pPr>
            <w:r w:rsidRPr="00C740B0">
              <w:rPr>
                <w:rFonts w:cs="Arial"/>
                <w:bCs w:val="0"/>
                <w:color w:val="auto"/>
                <w:sz w:val="16"/>
              </w:rPr>
              <w:t>Patients on protease inhibitors.</w:t>
            </w:r>
          </w:p>
        </w:tc>
        <w:tc>
          <w:tcPr>
            <w:tcW w:w="3362" w:type="dxa"/>
          </w:tcPr>
          <w:p w14:paraId="3A2C5FC5" w14:textId="77777777" w:rsidR="00FD0C19" w:rsidRPr="00C740B0" w:rsidRDefault="00FD0C19" w:rsidP="007E4E67">
            <w:pPr>
              <w:widowControl w:val="0"/>
              <w:numPr>
                <w:ilvl w:val="0"/>
                <w:numId w:val="60"/>
              </w:numPr>
              <w:autoSpaceDE w:val="0"/>
              <w:autoSpaceDN w:val="0"/>
              <w:adjustRightInd w:val="0"/>
              <w:ind w:left="122" w:hanging="122"/>
              <w:contextualSpacing/>
              <w:jc w:val="left"/>
              <w:rPr>
                <w:rFonts w:cs="Arial"/>
                <w:bCs w:val="0"/>
                <w:color w:val="auto"/>
                <w:sz w:val="16"/>
              </w:rPr>
            </w:pPr>
            <w:r w:rsidRPr="00C740B0">
              <w:rPr>
                <w:rFonts w:cs="Arial"/>
                <w:bCs w:val="0"/>
                <w:color w:val="auto"/>
                <w:sz w:val="16"/>
              </w:rPr>
              <w:t>Atorvastatin, oral, 10 mg at night.</w:t>
            </w:r>
          </w:p>
          <w:tbl>
            <w:tblPr>
              <w:tblStyle w:val="TableGrid12"/>
              <w:tblpPr w:leftFromText="180" w:rightFromText="180" w:vertAnchor="text" w:tblpXSpec="right" w:tblpY="1"/>
              <w:tblOverlap w:val="neve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94"/>
            </w:tblGrid>
            <w:tr w:rsidR="00FD0C19" w:rsidRPr="00C740B0" w14:paraId="100C7A2B" w14:textId="77777777" w:rsidTr="00143776">
              <w:tc>
                <w:tcPr>
                  <w:tcW w:w="963" w:type="dxa"/>
                  <w:shd w:val="clear" w:color="auto" w:fill="auto"/>
                </w:tcPr>
                <w:p w14:paraId="5362CAD7" w14:textId="77777777" w:rsidR="00FD0C19" w:rsidRPr="006759C5" w:rsidRDefault="00FD0C19" w:rsidP="00FD0C19">
                  <w:pPr>
                    <w:widowControl w:val="0"/>
                    <w:autoSpaceDE w:val="0"/>
                    <w:autoSpaceDN w:val="0"/>
                    <w:adjustRightInd w:val="0"/>
                    <w:ind w:left="360"/>
                    <w:jc w:val="right"/>
                    <w:rPr>
                      <w:rFonts w:cs="Arial"/>
                      <w:i/>
                      <w:sz w:val="12"/>
                      <w:szCs w:val="16"/>
                      <w:lang w:val="en-US"/>
                    </w:rPr>
                  </w:pPr>
                  <w:proofErr w:type="spellStart"/>
                  <w:proofErr w:type="gramStart"/>
                  <w:r w:rsidRPr="006759C5">
                    <w:rPr>
                      <w:rFonts w:cs="Arial"/>
                      <w:i/>
                      <w:sz w:val="12"/>
                      <w:szCs w:val="16"/>
                      <w:lang w:val="en-US"/>
                    </w:rPr>
                    <w:t>LoE:I</w:t>
                  </w:r>
                  <w:proofErr w:type="spellEnd"/>
                  <w:proofErr w:type="gramEnd"/>
                  <w:r w:rsidRPr="006759C5">
                    <w:rPr>
                      <w:rFonts w:cs="Arial"/>
                      <w:i/>
                      <w:sz w:val="12"/>
                      <w:szCs w:val="16"/>
                      <w:vertAlign w:val="superscript"/>
                      <w:lang w:val="en-US"/>
                    </w:rPr>
                    <w:endnoteReference w:id="27"/>
                  </w:r>
                </w:p>
              </w:tc>
            </w:tr>
          </w:tbl>
          <w:p w14:paraId="49B771DA" w14:textId="77777777" w:rsidR="00FD0C19" w:rsidRPr="00C740B0" w:rsidRDefault="00FD0C19" w:rsidP="00FD0C19">
            <w:pPr>
              <w:ind w:left="192"/>
              <w:contextualSpacing/>
              <w:rPr>
                <w:rFonts w:cs="Arial"/>
                <w:bCs w:val="0"/>
                <w:color w:val="auto"/>
                <w:sz w:val="16"/>
              </w:rPr>
            </w:pPr>
          </w:p>
        </w:tc>
      </w:tr>
      <w:tr w:rsidR="00FD0C19" w:rsidRPr="00C740B0" w14:paraId="0AF460D8" w14:textId="77777777" w:rsidTr="00143776">
        <w:tc>
          <w:tcPr>
            <w:tcW w:w="3544" w:type="dxa"/>
            <w:tcBorders>
              <w:bottom w:val="single" w:sz="4" w:space="0" w:color="auto"/>
            </w:tcBorders>
          </w:tcPr>
          <w:p w14:paraId="5B349028" w14:textId="77777777" w:rsidR="00FD0C19" w:rsidRPr="00C740B0" w:rsidRDefault="00FD0C19" w:rsidP="007E4E67">
            <w:pPr>
              <w:widowControl w:val="0"/>
              <w:numPr>
                <w:ilvl w:val="0"/>
                <w:numId w:val="61"/>
              </w:numPr>
              <w:autoSpaceDE w:val="0"/>
              <w:autoSpaceDN w:val="0"/>
              <w:adjustRightInd w:val="0"/>
              <w:ind w:left="284" w:hanging="284"/>
              <w:jc w:val="left"/>
              <w:rPr>
                <w:rFonts w:cs="Arial"/>
                <w:bCs w:val="0"/>
                <w:color w:val="auto"/>
                <w:sz w:val="16"/>
              </w:rPr>
            </w:pPr>
            <w:r w:rsidRPr="00C740B0">
              <w:rPr>
                <w:rFonts w:cs="Arial"/>
                <w:bCs w:val="0"/>
                <w:color w:val="auto"/>
                <w:sz w:val="16"/>
              </w:rPr>
              <w:t>Patients on amlodipine (and not on protease inhibitor).</w:t>
            </w:r>
          </w:p>
        </w:tc>
        <w:tc>
          <w:tcPr>
            <w:tcW w:w="3362" w:type="dxa"/>
            <w:tcBorders>
              <w:bottom w:val="single" w:sz="4" w:space="0" w:color="auto"/>
            </w:tcBorders>
          </w:tcPr>
          <w:p w14:paraId="0A8B28E6" w14:textId="1F52AE7D" w:rsidR="00FD0C19" w:rsidRPr="00C740B0" w:rsidRDefault="00FD0C19" w:rsidP="007E4E67">
            <w:pPr>
              <w:widowControl w:val="0"/>
              <w:numPr>
                <w:ilvl w:val="0"/>
                <w:numId w:val="60"/>
              </w:numPr>
              <w:autoSpaceDE w:val="0"/>
              <w:autoSpaceDN w:val="0"/>
              <w:adjustRightInd w:val="0"/>
              <w:ind w:left="122" w:hanging="122"/>
              <w:contextualSpacing/>
              <w:jc w:val="left"/>
              <w:rPr>
                <w:rFonts w:cs="Arial"/>
                <w:bCs w:val="0"/>
                <w:color w:val="auto"/>
                <w:sz w:val="16"/>
              </w:rPr>
            </w:pPr>
            <w:r w:rsidRPr="00C740B0">
              <w:rPr>
                <w:rFonts w:cs="Arial"/>
                <w:bCs w:val="0"/>
                <w:color w:val="auto"/>
                <w:sz w:val="16"/>
              </w:rPr>
              <w:t>Simvastatin, oral, 10</w:t>
            </w:r>
            <w:r w:rsidR="00A65302">
              <w:rPr>
                <w:rFonts w:cs="Arial"/>
                <w:bCs w:val="0"/>
                <w:color w:val="auto"/>
                <w:sz w:val="16"/>
              </w:rPr>
              <w:t>–20</w:t>
            </w:r>
            <w:r w:rsidRPr="00C740B0">
              <w:rPr>
                <w:rFonts w:cs="Arial"/>
                <w:bCs w:val="0"/>
                <w:color w:val="auto"/>
                <w:sz w:val="16"/>
              </w:rPr>
              <w:t xml:space="preserve"> mg at night.</w:t>
            </w:r>
          </w:p>
          <w:tbl>
            <w:tblPr>
              <w:tblStyle w:val="TableGrid12"/>
              <w:tblpPr w:leftFromText="180" w:rightFromText="180" w:vertAnchor="text" w:tblpXSpec="right" w:tblpY="1"/>
              <w:tblOverlap w:val="neve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1079"/>
            </w:tblGrid>
            <w:tr w:rsidR="00FD0C19" w:rsidRPr="00C740B0" w14:paraId="57B347B2" w14:textId="77777777" w:rsidTr="00143776">
              <w:tc>
                <w:tcPr>
                  <w:tcW w:w="240" w:type="dxa"/>
                  <w:shd w:val="clear" w:color="auto" w:fill="auto"/>
                </w:tcPr>
                <w:p w14:paraId="17ACB548" w14:textId="77777777" w:rsidR="00FD0C19" w:rsidRPr="006759C5" w:rsidRDefault="00FD0C19" w:rsidP="00FD0C19">
                  <w:pPr>
                    <w:widowControl w:val="0"/>
                    <w:autoSpaceDE w:val="0"/>
                    <w:autoSpaceDN w:val="0"/>
                    <w:adjustRightInd w:val="0"/>
                    <w:ind w:left="360"/>
                    <w:jc w:val="right"/>
                    <w:rPr>
                      <w:rFonts w:cs="Arial"/>
                      <w:i/>
                      <w:sz w:val="12"/>
                      <w:szCs w:val="16"/>
                      <w:lang w:val="en-US"/>
                    </w:rPr>
                  </w:pPr>
                  <w:proofErr w:type="spellStart"/>
                  <w:proofErr w:type="gramStart"/>
                  <w:r w:rsidRPr="006759C5">
                    <w:rPr>
                      <w:rFonts w:cs="Arial"/>
                      <w:i/>
                      <w:sz w:val="12"/>
                      <w:szCs w:val="16"/>
                      <w:lang w:val="en-US"/>
                    </w:rPr>
                    <w:t>LoE:III</w:t>
                  </w:r>
                  <w:proofErr w:type="spellEnd"/>
                  <w:proofErr w:type="gramEnd"/>
                  <w:r w:rsidRPr="006759C5">
                    <w:rPr>
                      <w:rFonts w:cs="Arial"/>
                      <w:i/>
                      <w:sz w:val="12"/>
                      <w:szCs w:val="16"/>
                      <w:vertAlign w:val="superscript"/>
                      <w:lang w:val="en-US"/>
                    </w:rPr>
                    <w:endnoteReference w:id="28"/>
                  </w:r>
                </w:p>
              </w:tc>
            </w:tr>
          </w:tbl>
          <w:p w14:paraId="13D26EE1" w14:textId="77777777" w:rsidR="00FD0C19" w:rsidRPr="00C740B0" w:rsidRDefault="00FD0C19" w:rsidP="00FD0C19">
            <w:pPr>
              <w:ind w:left="192"/>
              <w:contextualSpacing/>
              <w:rPr>
                <w:rFonts w:cs="Arial"/>
                <w:bCs w:val="0"/>
                <w:color w:val="auto"/>
                <w:sz w:val="16"/>
              </w:rPr>
            </w:pPr>
          </w:p>
        </w:tc>
      </w:tr>
      <w:tr w:rsidR="00FD0C19" w:rsidRPr="00C740B0" w14:paraId="18CDA271" w14:textId="77777777" w:rsidTr="00143776">
        <w:tc>
          <w:tcPr>
            <w:tcW w:w="3544" w:type="dxa"/>
            <w:tcBorders>
              <w:top w:val="single" w:sz="4" w:space="0" w:color="auto"/>
              <w:left w:val="single" w:sz="4" w:space="0" w:color="auto"/>
              <w:bottom w:val="single" w:sz="4" w:space="0" w:color="auto"/>
              <w:right w:val="single" w:sz="4" w:space="0" w:color="auto"/>
            </w:tcBorders>
          </w:tcPr>
          <w:p w14:paraId="5C33ED4C" w14:textId="77777777" w:rsidR="00FD0C19" w:rsidRPr="00C740B0" w:rsidRDefault="00FD0C19" w:rsidP="007E4E67">
            <w:pPr>
              <w:widowControl w:val="0"/>
              <w:numPr>
                <w:ilvl w:val="0"/>
                <w:numId w:val="61"/>
              </w:numPr>
              <w:autoSpaceDE w:val="0"/>
              <w:autoSpaceDN w:val="0"/>
              <w:adjustRightInd w:val="0"/>
              <w:ind w:left="284" w:hanging="284"/>
              <w:rPr>
                <w:rFonts w:cs="Arial"/>
                <w:bCs w:val="0"/>
                <w:color w:val="auto"/>
                <w:sz w:val="16"/>
              </w:rPr>
            </w:pPr>
            <w:r w:rsidRPr="00C740B0">
              <w:rPr>
                <w:rFonts w:cs="Arial"/>
                <w:bCs w:val="0"/>
                <w:color w:val="auto"/>
                <w:sz w:val="16"/>
              </w:rPr>
              <w:lastRenderedPageBreak/>
              <w:t>If patient complains of muscle pain.</w:t>
            </w:r>
          </w:p>
        </w:tc>
        <w:tc>
          <w:tcPr>
            <w:tcW w:w="3362" w:type="dxa"/>
            <w:tcBorders>
              <w:top w:val="single" w:sz="4" w:space="0" w:color="auto"/>
              <w:left w:val="single" w:sz="4" w:space="0" w:color="auto"/>
              <w:bottom w:val="single" w:sz="4" w:space="0" w:color="auto"/>
              <w:right w:val="single" w:sz="4" w:space="0" w:color="auto"/>
            </w:tcBorders>
          </w:tcPr>
          <w:p w14:paraId="4F236A9A" w14:textId="77777777" w:rsidR="00FD0C19" w:rsidRPr="00C740B0" w:rsidRDefault="00FD0C19" w:rsidP="00FD0C19">
            <w:pPr>
              <w:rPr>
                <w:rFonts w:cs="Arial"/>
                <w:bCs w:val="0"/>
                <w:color w:val="auto"/>
                <w:sz w:val="16"/>
              </w:rPr>
            </w:pPr>
            <w:r w:rsidRPr="00C740B0">
              <w:rPr>
                <w:rFonts w:cs="Arial"/>
                <w:bCs w:val="0"/>
                <w:color w:val="auto"/>
                <w:sz w:val="16"/>
              </w:rPr>
              <w:t>Reduce dose</w:t>
            </w:r>
            <w:r w:rsidR="008454E9" w:rsidRPr="00C740B0">
              <w:rPr>
                <w:rFonts w:cs="Arial"/>
                <w:bCs w:val="0"/>
                <w:color w:val="auto"/>
                <w:sz w:val="16"/>
              </w:rPr>
              <w:t>:</w:t>
            </w:r>
          </w:p>
          <w:p w14:paraId="1CBD88AA" w14:textId="77777777" w:rsidR="008454E9" w:rsidRPr="00C740B0" w:rsidRDefault="006759C5" w:rsidP="007E4E67">
            <w:pPr>
              <w:widowControl w:val="0"/>
              <w:numPr>
                <w:ilvl w:val="0"/>
                <w:numId w:val="59"/>
              </w:numPr>
              <w:autoSpaceDE w:val="0"/>
              <w:autoSpaceDN w:val="0"/>
              <w:adjustRightInd w:val="0"/>
              <w:ind w:left="122" w:hanging="122"/>
              <w:contextualSpacing/>
              <w:rPr>
                <w:bCs w:val="0"/>
                <w:color w:val="auto"/>
                <w:sz w:val="16"/>
              </w:rPr>
            </w:pPr>
            <w:proofErr w:type="spellStart"/>
            <w:r w:rsidRPr="006759C5">
              <w:rPr>
                <w:bCs w:val="0"/>
                <w:color w:val="auto"/>
                <w:sz w:val="16"/>
              </w:rPr>
              <w:t>HMGCoA</w:t>
            </w:r>
            <w:proofErr w:type="spellEnd"/>
            <w:r w:rsidRPr="006759C5">
              <w:rPr>
                <w:bCs w:val="0"/>
                <w:color w:val="auto"/>
                <w:sz w:val="16"/>
              </w:rPr>
              <w:t xml:space="preserve"> reductase inhibitors (statins), e.g.:</w:t>
            </w:r>
          </w:p>
          <w:p w14:paraId="2E3098C2" w14:textId="77777777" w:rsidR="00FD0C19" w:rsidRPr="00C740B0" w:rsidRDefault="00FD0C19" w:rsidP="007E4E67">
            <w:pPr>
              <w:widowControl w:val="0"/>
              <w:numPr>
                <w:ilvl w:val="0"/>
                <w:numId w:val="60"/>
              </w:numPr>
              <w:autoSpaceDE w:val="0"/>
              <w:autoSpaceDN w:val="0"/>
              <w:adjustRightInd w:val="0"/>
              <w:ind w:left="122" w:hanging="122"/>
              <w:contextualSpacing/>
              <w:jc w:val="left"/>
              <w:rPr>
                <w:rFonts w:cs="Arial"/>
                <w:bCs w:val="0"/>
                <w:color w:val="auto"/>
                <w:sz w:val="16"/>
              </w:rPr>
            </w:pPr>
            <w:r w:rsidRPr="00C740B0">
              <w:rPr>
                <w:rFonts w:cs="Arial"/>
                <w:bCs w:val="0"/>
                <w:color w:val="auto"/>
                <w:sz w:val="16"/>
              </w:rPr>
              <w:t>Simvastatin, oral, 10 mg at night.</w:t>
            </w:r>
          </w:p>
          <w:p w14:paraId="19610A65" w14:textId="77777777" w:rsidR="00FD0C19" w:rsidRPr="00C740B0" w:rsidRDefault="00FD0C19" w:rsidP="00FD0C19">
            <w:pPr>
              <w:ind w:left="287" w:hanging="287"/>
              <w:rPr>
                <w:rFonts w:cs="Arial"/>
                <w:b/>
                <w:bCs w:val="0"/>
                <w:color w:val="auto"/>
                <w:sz w:val="16"/>
              </w:rPr>
            </w:pPr>
            <w:r w:rsidRPr="00C740B0">
              <w:rPr>
                <w:rFonts w:cs="Arial"/>
                <w:b/>
                <w:bCs w:val="0"/>
                <w:color w:val="auto"/>
                <w:sz w:val="16"/>
              </w:rPr>
              <w:t>OR</w:t>
            </w:r>
          </w:p>
          <w:p w14:paraId="3AD875D8" w14:textId="6BC60793" w:rsidR="00FD0C19" w:rsidRPr="00C740B0" w:rsidRDefault="00FD0C19" w:rsidP="00BE02A3">
            <w:pPr>
              <w:ind w:left="120"/>
              <w:rPr>
                <w:rFonts w:cs="Arial"/>
                <w:bCs w:val="0"/>
                <w:color w:val="auto"/>
                <w:spacing w:val="-4"/>
                <w:sz w:val="16"/>
              </w:rPr>
            </w:pPr>
            <w:r w:rsidRPr="00C740B0">
              <w:rPr>
                <w:rFonts w:cs="Arial"/>
                <w:bCs w:val="0"/>
                <w:color w:val="auto"/>
                <w:spacing w:val="-4"/>
                <w:sz w:val="16"/>
              </w:rPr>
              <w:t xml:space="preserve">Consult </w:t>
            </w:r>
            <w:r w:rsidR="00591A70">
              <w:rPr>
                <w:rFonts w:cs="Arial"/>
                <w:bCs w:val="0"/>
                <w:color w:val="auto"/>
                <w:spacing w:val="-4"/>
                <w:sz w:val="16"/>
              </w:rPr>
              <w:t xml:space="preserve">specialist </w:t>
            </w:r>
            <w:r w:rsidRPr="00C740B0">
              <w:rPr>
                <w:rFonts w:cs="Arial"/>
                <w:bCs w:val="0"/>
                <w:color w:val="auto"/>
                <w:spacing w:val="-4"/>
                <w:sz w:val="16"/>
              </w:rPr>
              <w:t xml:space="preserve">for </w:t>
            </w:r>
            <w:proofErr w:type="gramStart"/>
            <w:r w:rsidRPr="00C740B0">
              <w:rPr>
                <w:rFonts w:cs="Arial"/>
                <w:bCs w:val="0"/>
                <w:color w:val="auto"/>
                <w:spacing w:val="-4"/>
                <w:sz w:val="16"/>
              </w:rPr>
              <w:t xml:space="preserve">further </w:t>
            </w:r>
            <w:r w:rsidR="00BE02A3">
              <w:rPr>
                <w:rFonts w:cs="Arial"/>
                <w:bCs w:val="0"/>
                <w:color w:val="auto"/>
                <w:spacing w:val="-4"/>
                <w:sz w:val="16"/>
              </w:rPr>
              <w:t xml:space="preserve"> </w:t>
            </w:r>
            <w:r w:rsidRPr="00C740B0">
              <w:rPr>
                <w:rFonts w:cs="Arial"/>
                <w:bCs w:val="0"/>
                <w:color w:val="auto"/>
                <w:spacing w:val="-4"/>
                <w:sz w:val="16"/>
              </w:rPr>
              <w:t>management</w:t>
            </w:r>
            <w:proofErr w:type="gramEnd"/>
            <w:r w:rsidRPr="00C740B0">
              <w:rPr>
                <w:rFonts w:cs="Arial"/>
                <w:bCs w:val="0"/>
                <w:color w:val="auto"/>
                <w:spacing w:val="-4"/>
                <w:sz w:val="16"/>
              </w:rPr>
              <w:t>.</w:t>
            </w:r>
          </w:p>
          <w:tbl>
            <w:tblPr>
              <w:tblStyle w:val="TableGrid12"/>
              <w:tblpPr w:leftFromText="180" w:rightFromText="180" w:vertAnchor="text" w:tblpXSpec="right" w:tblpY="1"/>
              <w:tblOverlap w:val="neve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1097"/>
            </w:tblGrid>
            <w:tr w:rsidR="00FD0C19" w:rsidRPr="00C740B0" w14:paraId="7F10D305" w14:textId="77777777" w:rsidTr="00143776">
              <w:tc>
                <w:tcPr>
                  <w:tcW w:w="448" w:type="dxa"/>
                  <w:shd w:val="clear" w:color="auto" w:fill="auto"/>
                </w:tcPr>
                <w:p w14:paraId="1D2DBF4E" w14:textId="77777777" w:rsidR="00FD0C19" w:rsidRPr="006759C5" w:rsidRDefault="00FD0C19" w:rsidP="00FD0C19">
                  <w:pPr>
                    <w:widowControl w:val="0"/>
                    <w:autoSpaceDE w:val="0"/>
                    <w:autoSpaceDN w:val="0"/>
                    <w:adjustRightInd w:val="0"/>
                    <w:ind w:left="360"/>
                    <w:rPr>
                      <w:rFonts w:cs="Arial"/>
                      <w:i/>
                      <w:sz w:val="12"/>
                      <w:szCs w:val="16"/>
                      <w:lang w:val="en-US"/>
                    </w:rPr>
                  </w:pPr>
                  <w:proofErr w:type="spellStart"/>
                  <w:proofErr w:type="gramStart"/>
                  <w:r w:rsidRPr="006759C5">
                    <w:rPr>
                      <w:rFonts w:cs="Arial"/>
                      <w:i/>
                      <w:sz w:val="12"/>
                      <w:szCs w:val="16"/>
                      <w:lang w:val="en-US"/>
                    </w:rPr>
                    <w:t>LoE:III</w:t>
                  </w:r>
                  <w:proofErr w:type="spellEnd"/>
                  <w:proofErr w:type="gramEnd"/>
                  <w:r w:rsidRPr="006759C5">
                    <w:rPr>
                      <w:rFonts w:cs="Arial"/>
                      <w:i/>
                      <w:sz w:val="12"/>
                      <w:szCs w:val="16"/>
                      <w:vertAlign w:val="superscript"/>
                      <w:lang w:val="en-US"/>
                    </w:rPr>
                    <w:endnoteReference w:id="29"/>
                  </w:r>
                </w:p>
              </w:tc>
            </w:tr>
          </w:tbl>
          <w:p w14:paraId="437C7628" w14:textId="77777777" w:rsidR="00FD0C19" w:rsidRPr="00C740B0" w:rsidRDefault="00FD0C19" w:rsidP="00FD0C19">
            <w:pPr>
              <w:rPr>
                <w:rFonts w:cs="Arial"/>
                <w:bCs w:val="0"/>
                <w:color w:val="auto"/>
                <w:sz w:val="16"/>
              </w:rPr>
            </w:pPr>
          </w:p>
        </w:tc>
      </w:tr>
    </w:tbl>
    <w:p w14:paraId="23DD8E96" w14:textId="77777777" w:rsidR="00FD0C19" w:rsidRPr="00FD0C19" w:rsidRDefault="00FD0C19" w:rsidP="00FD0C19">
      <w:pPr>
        <w:widowControl w:val="0"/>
        <w:rPr>
          <w:rFonts w:cs="Arial"/>
          <w:bCs w:val="0"/>
          <w:color w:val="auto"/>
          <w:lang w:val="en-GB"/>
        </w:rPr>
      </w:pPr>
      <w:r w:rsidRPr="00FD0C19">
        <w:rPr>
          <w:rFonts w:cs="Arial"/>
          <w:b/>
          <w:bCs w:val="0"/>
          <w:color w:val="auto"/>
          <w:lang w:val="en-GB"/>
        </w:rPr>
        <w:t>Note</w:t>
      </w:r>
      <w:r w:rsidRPr="00FD0C19">
        <w:rPr>
          <w:rFonts w:cs="Arial"/>
          <w:bCs w:val="0"/>
          <w:color w:val="auto"/>
          <w:lang w:val="en-GB"/>
        </w:rPr>
        <w:t>: Lipid-lowering medicines must always be used in conjunction with ongoing lifestyle modification.</w:t>
      </w:r>
    </w:p>
    <w:p w14:paraId="05B3D98D" w14:textId="77777777" w:rsidR="00323B76" w:rsidRPr="00D6340F" w:rsidRDefault="00323B76" w:rsidP="00C605DA">
      <w:pPr>
        <w:rPr>
          <w:rFonts w:cs="Arial"/>
          <w:lang w:val="en-GB"/>
        </w:rPr>
      </w:pPr>
    </w:p>
    <w:p w14:paraId="5FADAD85" w14:textId="77777777" w:rsidR="00C605DA" w:rsidRPr="00D6340F" w:rsidRDefault="00C605DA" w:rsidP="00C605DA">
      <w:pPr>
        <w:rPr>
          <w:rFonts w:cs="Arial"/>
          <w:u w:val="single"/>
          <w:lang w:val="en-GB"/>
        </w:rPr>
      </w:pPr>
      <w:r w:rsidRPr="00D6340F">
        <w:rPr>
          <w:rFonts w:cs="Arial"/>
          <w:u w:val="single"/>
          <w:lang w:val="en-GB"/>
        </w:rPr>
        <w:t xml:space="preserve">For patients with moderate to severe fasting </w:t>
      </w:r>
      <w:proofErr w:type="spellStart"/>
      <w:r w:rsidRPr="00D6340F">
        <w:rPr>
          <w:rFonts w:cs="Arial"/>
          <w:u w:val="single"/>
          <w:lang w:val="en-GB"/>
        </w:rPr>
        <w:t>hypertriglyceridaemia</w:t>
      </w:r>
      <w:proofErr w:type="spellEnd"/>
      <w:r w:rsidRPr="00D6340F">
        <w:rPr>
          <w:rFonts w:cs="Arial"/>
          <w:u w:val="single"/>
          <w:lang w:val="en-GB"/>
        </w:rPr>
        <w:t xml:space="preserve"> and for patients on </w:t>
      </w:r>
      <w:r w:rsidR="00591A70">
        <w:rPr>
          <w:rFonts w:cs="Arial"/>
          <w:u w:val="single"/>
          <w:lang w:val="en-GB"/>
        </w:rPr>
        <w:t>antiretroviral</w:t>
      </w:r>
      <w:r w:rsidRPr="00D6340F">
        <w:rPr>
          <w:rFonts w:cs="Arial"/>
          <w:u w:val="single"/>
          <w:lang w:val="en-GB"/>
        </w:rPr>
        <w:t xml:space="preserve"> therapy i.e. triglycerides &gt;10 mmol/L:</w:t>
      </w:r>
    </w:p>
    <w:p w14:paraId="24E6A31B" w14:textId="77777777" w:rsidR="0036185F" w:rsidRPr="00D6340F" w:rsidRDefault="00C605DA" w:rsidP="007E4E67">
      <w:pPr>
        <w:numPr>
          <w:ilvl w:val="0"/>
          <w:numId w:val="29"/>
        </w:numPr>
        <w:ind w:left="284" w:hanging="284"/>
        <w:rPr>
          <w:rFonts w:cs="Arial"/>
          <w:lang w:val="en-GB"/>
        </w:rPr>
      </w:pPr>
      <w:r w:rsidRPr="00D6340F">
        <w:rPr>
          <w:rFonts w:cs="Arial"/>
          <w:lang w:val="en-GB"/>
        </w:rPr>
        <w:t>Fibr</w:t>
      </w:r>
      <w:r w:rsidR="00346BE7">
        <w:rPr>
          <w:rFonts w:cs="Arial"/>
          <w:lang w:val="en-GB"/>
        </w:rPr>
        <w:t xml:space="preserve">ates, </w:t>
      </w:r>
      <w:r w:rsidRPr="00D6340F">
        <w:rPr>
          <w:rFonts w:cs="Arial"/>
          <w:lang w:val="en-GB"/>
        </w:rPr>
        <w:t>e.g.:</w:t>
      </w:r>
    </w:p>
    <w:p w14:paraId="3F0C09D7" w14:textId="77777777" w:rsidR="00C605DA" w:rsidRPr="00D6340F" w:rsidRDefault="00C605DA" w:rsidP="006C10F3">
      <w:pPr>
        <w:pStyle w:val="ep4"/>
        <w:rPr>
          <w:lang w:val="en-GB"/>
        </w:rPr>
      </w:pPr>
      <w:r w:rsidRPr="00D6340F">
        <w:rPr>
          <w:lang w:val="en-GB"/>
        </w:rPr>
        <w:t xml:space="preserve">Bezafibrate, </w:t>
      </w:r>
      <w:r w:rsidR="00272D93">
        <w:rPr>
          <w:lang w:val="en-GB"/>
        </w:rPr>
        <w:t xml:space="preserve">slow release, </w:t>
      </w:r>
      <w:r w:rsidRPr="00D6340F">
        <w:rPr>
          <w:lang w:val="en-GB"/>
        </w:rPr>
        <w:t>oral, 400 mg daily.</w:t>
      </w:r>
    </w:p>
    <w:p w14:paraId="4BE25E70" w14:textId="77777777" w:rsidR="00C605DA" w:rsidRPr="00346BE7" w:rsidRDefault="00C605DA" w:rsidP="00C605DA">
      <w:pPr>
        <w:pStyle w:val="Footer"/>
        <w:rPr>
          <w:rFonts w:cs="Arial"/>
          <w:sz w:val="14"/>
          <w:szCs w:val="18"/>
          <w:lang w:val="en-GB"/>
        </w:rPr>
      </w:pPr>
    </w:p>
    <w:p w14:paraId="464DC6A7" w14:textId="77777777" w:rsidR="00AB44A9" w:rsidRPr="00D6340F" w:rsidRDefault="00AB44A9" w:rsidP="00AB44A9">
      <w:pPr>
        <w:pStyle w:val="ep0"/>
        <w:ind w:left="0"/>
        <w:rPr>
          <w:rFonts w:eastAsia="Arial,Bold" w:cs="Arial"/>
          <w:strike w:val="0"/>
          <w:spacing w:val="-2"/>
          <w:szCs w:val="18"/>
          <w:u w:val="single"/>
          <w:lang w:val="en-GB"/>
        </w:rPr>
      </w:pPr>
      <w:r w:rsidRPr="00D6340F">
        <w:rPr>
          <w:rFonts w:eastAsia="Arial,Bold" w:cs="Arial"/>
          <w:strike w:val="0"/>
          <w:spacing w:val="-2"/>
          <w:szCs w:val="18"/>
          <w:u w:val="single"/>
          <w:lang w:val="en-GB"/>
        </w:rPr>
        <w:t>Aspirin therapy:</w:t>
      </w:r>
    </w:p>
    <w:p w14:paraId="30CAD7F3" w14:textId="77777777" w:rsidR="00AB44A9" w:rsidRDefault="00AB44A9" w:rsidP="00AB44A9">
      <w:pPr>
        <w:pStyle w:val="ep0"/>
        <w:ind w:left="0"/>
        <w:rPr>
          <w:rFonts w:eastAsia="Arial,Bold" w:cs="Arial"/>
          <w:strike w:val="0"/>
          <w:spacing w:val="-2"/>
          <w:szCs w:val="18"/>
          <w:lang w:val="en-GB"/>
        </w:rPr>
      </w:pPr>
      <w:r w:rsidRPr="00D6340F">
        <w:rPr>
          <w:rFonts w:eastAsia="Arial,Bold" w:cs="Arial"/>
          <w:strike w:val="0"/>
          <w:spacing w:val="-2"/>
          <w:szCs w:val="18"/>
          <w:lang w:val="en-GB"/>
        </w:rPr>
        <w:t xml:space="preserve">Use in adult </w:t>
      </w:r>
      <w:r>
        <w:rPr>
          <w:rFonts w:eastAsia="Arial,Bold" w:cs="Arial"/>
          <w:strike w:val="0"/>
          <w:spacing w:val="-2"/>
          <w:szCs w:val="18"/>
          <w:lang w:val="en-GB"/>
        </w:rPr>
        <w:t xml:space="preserve">patients with diabetes who have a history of cardiovascular disease </w:t>
      </w:r>
      <w:r w:rsidRPr="00D6340F">
        <w:rPr>
          <w:rFonts w:eastAsia="Arial,Bold" w:cs="Arial"/>
          <w:strike w:val="0"/>
          <w:spacing w:val="-2"/>
          <w:szCs w:val="18"/>
          <w:lang w:val="en-GB"/>
        </w:rPr>
        <w:t>i.e.</w:t>
      </w:r>
    </w:p>
    <w:p w14:paraId="70CB529A" w14:textId="77777777" w:rsidR="00AB44A9" w:rsidRPr="00D6340F" w:rsidRDefault="00AB44A9" w:rsidP="007E4E67">
      <w:pPr>
        <w:pStyle w:val="ep4"/>
        <w:numPr>
          <w:ilvl w:val="1"/>
          <w:numId w:val="14"/>
        </w:numPr>
        <w:ind w:left="426" w:hanging="284"/>
        <w:rPr>
          <w:rFonts w:eastAsia="Arial,Bold"/>
          <w:spacing w:val="-2"/>
          <w:szCs w:val="18"/>
          <w:lang w:val="en-GB"/>
        </w:rPr>
      </w:pPr>
      <w:r w:rsidRPr="00D6340F">
        <w:rPr>
          <w:rFonts w:eastAsia="Arial,Bold"/>
          <w:spacing w:val="-2"/>
          <w:szCs w:val="18"/>
          <w:lang w:val="en-GB"/>
        </w:rPr>
        <w:t>ischaemic heart disease</w:t>
      </w:r>
    </w:p>
    <w:p w14:paraId="432CC92B" w14:textId="77777777" w:rsidR="00AB44A9" w:rsidRPr="00D6340F" w:rsidRDefault="00AB44A9" w:rsidP="007E4E67">
      <w:pPr>
        <w:pStyle w:val="ep4"/>
        <w:numPr>
          <w:ilvl w:val="1"/>
          <w:numId w:val="14"/>
        </w:numPr>
        <w:ind w:left="426" w:hanging="284"/>
        <w:rPr>
          <w:rFonts w:eastAsia="Arial,Bold"/>
          <w:spacing w:val="-2"/>
          <w:szCs w:val="18"/>
          <w:lang w:val="en-GB"/>
        </w:rPr>
      </w:pPr>
      <w:r w:rsidRPr="00D6340F">
        <w:rPr>
          <w:rFonts w:eastAsia="Arial,Bold"/>
          <w:spacing w:val="-2"/>
          <w:szCs w:val="18"/>
          <w:lang w:val="en-GB"/>
        </w:rPr>
        <w:t>peripheral vascular disease</w:t>
      </w:r>
    </w:p>
    <w:p w14:paraId="282E4DC4" w14:textId="77777777" w:rsidR="00AB44A9" w:rsidRPr="008454E9" w:rsidRDefault="00AB44A9" w:rsidP="007E4E67">
      <w:pPr>
        <w:pStyle w:val="ep4"/>
        <w:numPr>
          <w:ilvl w:val="1"/>
          <w:numId w:val="14"/>
        </w:numPr>
        <w:ind w:left="426" w:hanging="284"/>
        <w:rPr>
          <w:szCs w:val="18"/>
          <w:lang w:val="en-GB"/>
        </w:rPr>
      </w:pPr>
      <w:r w:rsidRPr="00D6340F">
        <w:rPr>
          <w:rFonts w:eastAsia="Arial,Bold"/>
          <w:spacing w:val="-2"/>
          <w:szCs w:val="18"/>
          <w:lang w:val="en-GB"/>
        </w:rPr>
        <w:t>previous thrombotic stroke</w:t>
      </w: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AB44A9" w:rsidRPr="00346BE7" w14:paraId="67BBF375" w14:textId="77777777" w:rsidTr="005840E6">
        <w:tc>
          <w:tcPr>
            <w:tcW w:w="1134" w:type="dxa"/>
            <w:shd w:val="clear" w:color="auto" w:fill="auto"/>
          </w:tcPr>
          <w:p w14:paraId="136A1533" w14:textId="77777777" w:rsidR="00AB44A9" w:rsidRPr="00346BE7" w:rsidRDefault="00AB44A9" w:rsidP="005840E6">
            <w:pPr>
              <w:jc w:val="right"/>
              <w:rPr>
                <w:b/>
                <w:i/>
                <w:sz w:val="16"/>
                <w:lang w:val="en-GB"/>
              </w:rPr>
            </w:pPr>
            <w:proofErr w:type="spellStart"/>
            <w:proofErr w:type="gramStart"/>
            <w:r w:rsidRPr="00346BE7">
              <w:rPr>
                <w:i/>
                <w:sz w:val="16"/>
                <w:lang w:val="en-GB"/>
              </w:rPr>
              <w:t>LoE:I</w:t>
            </w:r>
            <w:proofErr w:type="spellEnd"/>
            <w:proofErr w:type="gramEnd"/>
            <w:r w:rsidRPr="00346BE7">
              <w:rPr>
                <w:rStyle w:val="EndnoteReference"/>
                <w:i/>
                <w:sz w:val="16"/>
                <w:lang w:val="en-GB"/>
              </w:rPr>
              <w:endnoteReference w:id="30"/>
            </w:r>
          </w:p>
        </w:tc>
      </w:tr>
    </w:tbl>
    <w:p w14:paraId="3077B69B" w14:textId="77777777" w:rsidR="00AB44A9" w:rsidRPr="00744E47" w:rsidRDefault="00AB44A9" w:rsidP="00AB44A9">
      <w:pPr>
        <w:pStyle w:val="ep4"/>
        <w:rPr>
          <w:iCs/>
          <w:color w:val="auto"/>
        </w:rPr>
      </w:pPr>
      <w:r w:rsidRPr="00744E47">
        <w:rPr>
          <w:iCs/>
          <w:color w:val="auto"/>
        </w:rPr>
        <w:t>Aspirin, oral, 150 mg daily.</w:t>
      </w:r>
    </w:p>
    <w:p w14:paraId="7BA52FBF" w14:textId="77777777" w:rsidR="00AB44A9" w:rsidRPr="00346BE7" w:rsidRDefault="00AB44A9" w:rsidP="00C605DA">
      <w:pPr>
        <w:pStyle w:val="Footer"/>
        <w:rPr>
          <w:rFonts w:cs="Arial"/>
          <w:sz w:val="6"/>
          <w:szCs w:val="18"/>
          <w:lang w:val="en-GB"/>
        </w:rPr>
      </w:pPr>
    </w:p>
    <w:p w14:paraId="0B25B19E" w14:textId="2672C2CC" w:rsidR="00C605DA" w:rsidRPr="00D6340F" w:rsidRDefault="00C605DA" w:rsidP="00C605DA">
      <w:pPr>
        <w:pStyle w:val="Footer"/>
        <w:rPr>
          <w:rFonts w:cs="Arial"/>
          <w:sz w:val="18"/>
          <w:szCs w:val="18"/>
          <w:lang w:val="en-GB"/>
        </w:rPr>
      </w:pPr>
      <w:r w:rsidRPr="00D6340F">
        <w:rPr>
          <w:rFonts w:cs="Arial"/>
          <w:sz w:val="18"/>
          <w:szCs w:val="18"/>
          <w:lang w:val="en-GB"/>
        </w:rPr>
        <w:t xml:space="preserve">Dyslipidaemia in </w:t>
      </w:r>
      <w:r w:rsidR="002240B9" w:rsidRPr="00D6340F">
        <w:rPr>
          <w:rFonts w:cs="Arial"/>
          <w:sz w:val="18"/>
          <w:szCs w:val="18"/>
          <w:lang w:val="en-GB"/>
        </w:rPr>
        <w:t>HIV</w:t>
      </w:r>
      <w:r w:rsidR="002240B9">
        <w:rPr>
          <w:rFonts w:cs="Arial"/>
          <w:sz w:val="18"/>
          <w:szCs w:val="18"/>
          <w:lang w:val="en-GB"/>
        </w:rPr>
        <w:t>-</w:t>
      </w:r>
      <w:r w:rsidRPr="00D6340F">
        <w:rPr>
          <w:rFonts w:cs="Arial"/>
          <w:sz w:val="18"/>
          <w:szCs w:val="18"/>
          <w:lang w:val="en-GB"/>
        </w:rPr>
        <w:t xml:space="preserve">infected patients: See </w:t>
      </w:r>
      <w:r w:rsidR="002840C6">
        <w:rPr>
          <w:rFonts w:cs="Arial"/>
          <w:sz w:val="18"/>
          <w:szCs w:val="18"/>
          <w:lang w:val="en-GB"/>
        </w:rPr>
        <w:t>Section</w:t>
      </w:r>
      <w:r w:rsidRPr="00D6340F">
        <w:rPr>
          <w:rFonts w:cs="Arial"/>
          <w:sz w:val="18"/>
          <w:szCs w:val="18"/>
          <w:lang w:val="en-GB"/>
        </w:rPr>
        <w:t xml:space="preserve"> 10.1.</w:t>
      </w:r>
      <w:r w:rsidR="00870795">
        <w:rPr>
          <w:rFonts w:cs="Arial"/>
          <w:sz w:val="18"/>
          <w:szCs w:val="18"/>
          <w:lang w:val="en-GB"/>
        </w:rPr>
        <w:t>2</w:t>
      </w:r>
      <w:r w:rsidRPr="00D6340F">
        <w:rPr>
          <w:rFonts w:cs="Arial"/>
          <w:sz w:val="18"/>
          <w:szCs w:val="18"/>
          <w:lang w:val="en-GB"/>
        </w:rPr>
        <w:t>: Management of selected antiretroviral adverse drug reactions.</w:t>
      </w:r>
    </w:p>
    <w:p w14:paraId="401BBE5C" w14:textId="77777777" w:rsidR="00064140" w:rsidRPr="00D6340F" w:rsidRDefault="00064140" w:rsidP="00C605DA">
      <w:pPr>
        <w:pStyle w:val="Footer"/>
        <w:rPr>
          <w:rFonts w:cs="Arial"/>
          <w:sz w:val="18"/>
          <w:szCs w:val="18"/>
          <w:lang w:val="en-GB"/>
        </w:rPr>
      </w:pPr>
    </w:p>
    <w:p w14:paraId="03629F99" w14:textId="77777777" w:rsidR="00C605DA" w:rsidRPr="00D6340F" w:rsidRDefault="00C605DA" w:rsidP="00C605DA">
      <w:pPr>
        <w:pStyle w:val="Heading5"/>
        <w:rPr>
          <w:rFonts w:cs="Arial"/>
          <w:lang w:val="en-GB"/>
        </w:rPr>
      </w:pPr>
      <w:r w:rsidRPr="00D6340F">
        <w:rPr>
          <w:rFonts w:cs="Arial"/>
          <w:lang w:val="en-GB"/>
        </w:rPr>
        <w:t>REFERRAL</w:t>
      </w:r>
    </w:p>
    <w:p w14:paraId="799171B1" w14:textId="0E87627E" w:rsidR="0036185F" w:rsidRPr="00D6340F" w:rsidRDefault="00C605DA" w:rsidP="007E4E67">
      <w:pPr>
        <w:pStyle w:val="ep0"/>
        <w:numPr>
          <w:ilvl w:val="0"/>
          <w:numId w:val="31"/>
        </w:numPr>
        <w:ind w:left="284" w:hanging="284"/>
        <w:rPr>
          <w:rFonts w:cs="Arial"/>
          <w:strike w:val="0"/>
          <w:lang w:val="en-GB"/>
        </w:rPr>
      </w:pPr>
      <w:r w:rsidRPr="00D6340F">
        <w:rPr>
          <w:rFonts w:cs="Arial"/>
          <w:strike w:val="0"/>
          <w:lang w:val="en-GB"/>
        </w:rPr>
        <w:t xml:space="preserve">Patients with </w:t>
      </w:r>
      <w:r w:rsidR="00C77AFD" w:rsidRPr="00D6340F">
        <w:rPr>
          <w:rFonts w:cs="Arial"/>
          <w:strike w:val="0"/>
          <w:lang w:val="en-GB"/>
        </w:rPr>
        <w:t xml:space="preserve">possible </w:t>
      </w:r>
      <w:r w:rsidRPr="00D6340F">
        <w:rPr>
          <w:rFonts w:cs="Arial"/>
          <w:strike w:val="0"/>
          <w:lang w:val="en-GB"/>
        </w:rPr>
        <w:t xml:space="preserve">familial hypercholesterolaemia (FH) </w:t>
      </w:r>
      <w:r w:rsidR="00917115" w:rsidRPr="00D6340F">
        <w:rPr>
          <w:rFonts w:cs="Arial"/>
          <w:strike w:val="0"/>
          <w:lang w:val="en-GB"/>
        </w:rPr>
        <w:t>i.e.</w:t>
      </w:r>
      <w:r w:rsidR="00917115" w:rsidRPr="00D6340F">
        <w:rPr>
          <w:strike w:val="0"/>
          <w:lang w:val="en-GB"/>
        </w:rPr>
        <w:t xml:space="preserve"> random</w:t>
      </w:r>
      <w:r w:rsidR="00323B76" w:rsidRPr="00D6340F">
        <w:rPr>
          <w:strike w:val="0"/>
          <w:lang w:val="en-GB"/>
        </w:rPr>
        <w:t xml:space="preserve"> cholesterol &gt;7.5 mmol/L</w:t>
      </w:r>
      <w:r w:rsidR="00917115">
        <w:rPr>
          <w:strike w:val="0"/>
          <w:lang w:val="en-GB"/>
        </w:rPr>
        <w:t xml:space="preserve"> </w:t>
      </w:r>
      <w:r w:rsidR="00C77AFD" w:rsidRPr="00D6340F">
        <w:rPr>
          <w:strike w:val="0"/>
          <w:lang w:val="en-GB"/>
        </w:rPr>
        <w:t xml:space="preserve">or with tendon xanthomata </w:t>
      </w:r>
      <w:r w:rsidR="00323B76" w:rsidRPr="00D6340F">
        <w:rPr>
          <w:strike w:val="0"/>
          <w:lang w:val="en-GB"/>
        </w:rPr>
        <w:t>(</w:t>
      </w:r>
      <w:r w:rsidR="00D7795F" w:rsidRPr="00D6340F">
        <w:rPr>
          <w:rFonts w:cs="Arial"/>
          <w:strike w:val="0"/>
          <w:lang w:val="en-GB"/>
        </w:rPr>
        <w:t xml:space="preserve">See </w:t>
      </w:r>
      <w:r w:rsidR="002840C6">
        <w:rPr>
          <w:rFonts w:cs="Arial"/>
          <w:strike w:val="0"/>
          <w:lang w:val="en-GB"/>
        </w:rPr>
        <w:t>Section</w:t>
      </w:r>
      <w:r w:rsidR="00323B76" w:rsidRPr="00D6340F">
        <w:rPr>
          <w:rFonts w:cs="Arial"/>
          <w:strike w:val="0"/>
          <w:lang w:val="en-GB"/>
        </w:rPr>
        <w:t xml:space="preserve"> 3.1</w:t>
      </w:r>
      <w:r w:rsidR="00DF1586" w:rsidRPr="00D6340F">
        <w:rPr>
          <w:rFonts w:cs="Arial"/>
          <w:strike w:val="0"/>
          <w:lang w:val="en-GB"/>
        </w:rPr>
        <w:t>:</w:t>
      </w:r>
      <w:r w:rsidR="00323B76" w:rsidRPr="00D6340F">
        <w:rPr>
          <w:rFonts w:cs="Arial"/>
          <w:strike w:val="0"/>
          <w:lang w:val="en-GB"/>
        </w:rPr>
        <w:t xml:space="preserve"> Ischaemic heart disease and atherosclerosis).</w:t>
      </w:r>
    </w:p>
    <w:p w14:paraId="5BC38D95" w14:textId="77777777" w:rsidR="0036185F" w:rsidRPr="00D6340F" w:rsidRDefault="00C605DA" w:rsidP="007E4E67">
      <w:pPr>
        <w:pStyle w:val="ep0"/>
        <w:numPr>
          <w:ilvl w:val="0"/>
          <w:numId w:val="32"/>
        </w:numPr>
        <w:ind w:left="284" w:hanging="284"/>
        <w:rPr>
          <w:rFonts w:cs="Arial"/>
          <w:strike w:val="0"/>
          <w:lang w:val="en-GB"/>
        </w:rPr>
      </w:pPr>
      <w:r w:rsidRPr="00D6340F">
        <w:rPr>
          <w:rFonts w:cs="Arial"/>
          <w:strike w:val="0"/>
          <w:lang w:val="en-GB"/>
        </w:rPr>
        <w:t>Suspected severe familial dyslipidaemias.</w:t>
      </w:r>
    </w:p>
    <w:p w14:paraId="781B77C0" w14:textId="77777777" w:rsidR="00C605DA" w:rsidRPr="00D6340F" w:rsidRDefault="00C605DA" w:rsidP="00C605DA">
      <w:pPr>
        <w:rPr>
          <w:rFonts w:cs="Arial"/>
          <w:lang w:val="en-GB"/>
        </w:rPr>
      </w:pPr>
    </w:p>
    <w:p w14:paraId="50CDECCC" w14:textId="77777777" w:rsidR="00C605DA" w:rsidRPr="00D6340F" w:rsidRDefault="00C605DA" w:rsidP="00346BE7">
      <w:pPr>
        <w:pStyle w:val="Heading1"/>
        <w:tabs>
          <w:tab w:val="left" w:pos="567"/>
        </w:tabs>
        <w:ind w:left="284" w:hanging="284"/>
        <w:rPr>
          <w:rFonts w:cs="Arial"/>
          <w:lang w:val="en-GB"/>
        </w:rPr>
      </w:pPr>
      <w:bookmarkStart w:id="3" w:name="_Toc417984432"/>
      <w:bookmarkStart w:id="4" w:name="_Toc433976306"/>
      <w:bookmarkStart w:id="5" w:name="_Toc434078349"/>
      <w:r w:rsidRPr="00D6340F">
        <w:rPr>
          <w:rFonts w:cs="Arial"/>
          <w:lang w:val="en-GB"/>
        </w:rPr>
        <w:t>8.9</w:t>
      </w:r>
      <w:r w:rsidR="004A2A28" w:rsidRPr="00D6340F">
        <w:rPr>
          <w:rFonts w:cs="Arial"/>
          <w:lang w:val="en-GB"/>
        </w:rPr>
        <w:tab/>
      </w:r>
      <w:r w:rsidRPr="00D6340F">
        <w:rPr>
          <w:rFonts w:cs="Arial"/>
          <w:lang w:val="en-GB"/>
        </w:rPr>
        <w:t>HypercaLcaemia, including PRIMARY</w:t>
      </w:r>
    </w:p>
    <w:p w14:paraId="07022541" w14:textId="77777777" w:rsidR="00C605DA" w:rsidRPr="00D6340F" w:rsidRDefault="00C605DA" w:rsidP="00346BE7">
      <w:pPr>
        <w:pStyle w:val="Heading1"/>
        <w:tabs>
          <w:tab w:val="left" w:pos="426"/>
          <w:tab w:val="left" w:pos="567"/>
        </w:tabs>
        <w:ind w:left="284" w:hanging="284"/>
        <w:rPr>
          <w:rFonts w:cs="Arial"/>
          <w:lang w:val="en-GB"/>
        </w:rPr>
      </w:pPr>
      <w:r w:rsidRPr="00D6340F">
        <w:rPr>
          <w:rFonts w:cs="Arial"/>
          <w:lang w:val="en-GB"/>
        </w:rPr>
        <w:tab/>
      </w:r>
      <w:r w:rsidR="004A2A28" w:rsidRPr="00D6340F">
        <w:rPr>
          <w:rFonts w:cs="Arial"/>
          <w:lang w:val="en-GB"/>
        </w:rPr>
        <w:tab/>
      </w:r>
      <w:r w:rsidR="004A2A28" w:rsidRPr="00D6340F">
        <w:rPr>
          <w:rFonts w:cs="Arial"/>
          <w:lang w:val="en-GB"/>
        </w:rPr>
        <w:tab/>
      </w:r>
      <w:r w:rsidRPr="00D6340F">
        <w:rPr>
          <w:rFonts w:cs="Arial"/>
          <w:lang w:val="en-GB"/>
        </w:rPr>
        <w:t>HYPERPARATHYROIDISM</w:t>
      </w:r>
      <w:bookmarkEnd w:id="3"/>
      <w:bookmarkEnd w:id="4"/>
      <w:bookmarkEnd w:id="5"/>
    </w:p>
    <w:p w14:paraId="785BEB9A" w14:textId="77777777" w:rsidR="00C605DA" w:rsidRPr="00D6340F" w:rsidRDefault="00C605DA" w:rsidP="00C02921">
      <w:pPr>
        <w:pStyle w:val="Heading4"/>
      </w:pPr>
      <w:r w:rsidRPr="00D6340F">
        <w:t>e83.5</w:t>
      </w:r>
      <w:r w:rsidR="007A52FA">
        <w:t xml:space="preserve"> +</w:t>
      </w:r>
      <w:r w:rsidR="00CC1CF6">
        <w:t xml:space="preserve"> </w:t>
      </w:r>
      <w:r w:rsidR="007A52FA">
        <w:t>(E</w:t>
      </w:r>
      <w:r w:rsidRPr="00D6340F">
        <w:t>21.0</w:t>
      </w:r>
      <w:r w:rsidR="007A52FA">
        <w:t>/D71)</w:t>
      </w:r>
    </w:p>
    <w:p w14:paraId="796A6D9A" w14:textId="77777777" w:rsidR="00C605DA" w:rsidRPr="00D6340F" w:rsidRDefault="00C605DA" w:rsidP="00C605DA">
      <w:pPr>
        <w:rPr>
          <w:rFonts w:cs="Arial"/>
          <w:lang w:val="en-GB"/>
        </w:rPr>
      </w:pPr>
    </w:p>
    <w:p w14:paraId="02FB9420" w14:textId="77777777" w:rsidR="00C605DA" w:rsidRPr="00D6340F" w:rsidRDefault="00C605DA" w:rsidP="00C605DA">
      <w:pPr>
        <w:pStyle w:val="Heading5"/>
        <w:rPr>
          <w:rFonts w:cs="Arial"/>
          <w:lang w:val="en-GB"/>
        </w:rPr>
      </w:pPr>
      <w:r w:rsidRPr="00D6340F">
        <w:rPr>
          <w:rFonts w:cs="Arial"/>
          <w:lang w:val="en-GB"/>
        </w:rPr>
        <w:t>DESCRIPTION</w:t>
      </w:r>
    </w:p>
    <w:p w14:paraId="086E47C0" w14:textId="77777777" w:rsidR="00C605DA" w:rsidRPr="00D6340F" w:rsidRDefault="00C605DA" w:rsidP="00C605DA">
      <w:pPr>
        <w:rPr>
          <w:rFonts w:cs="Arial"/>
          <w:lang w:val="en-GB"/>
        </w:rPr>
      </w:pPr>
      <w:r w:rsidRPr="00D6340F">
        <w:rPr>
          <w:rFonts w:cs="Arial"/>
          <w:lang w:val="en-GB"/>
        </w:rPr>
        <w:t xml:space="preserve">When serum calcium (corrected for albumin) concentrations exceed the upper limit of normal. </w:t>
      </w:r>
    </w:p>
    <w:p w14:paraId="09C3461B" w14:textId="77777777" w:rsidR="00C605DA" w:rsidRPr="00D6340F" w:rsidRDefault="00C605DA" w:rsidP="00C605DA">
      <w:pPr>
        <w:rPr>
          <w:rFonts w:cs="Arial"/>
          <w:sz w:val="10"/>
          <w:szCs w:val="10"/>
          <w:lang w:val="en-GB"/>
        </w:rPr>
      </w:pPr>
    </w:p>
    <w:p w14:paraId="23652A81" w14:textId="77777777" w:rsidR="00C605DA" w:rsidRPr="00D6340F" w:rsidRDefault="00C605DA" w:rsidP="00C605DA">
      <w:pPr>
        <w:pStyle w:val="Heading6"/>
        <w:rPr>
          <w:rFonts w:cs="Arial"/>
        </w:rPr>
      </w:pPr>
      <w:r w:rsidRPr="00D6340F">
        <w:rPr>
          <w:rFonts w:cs="Arial"/>
        </w:rPr>
        <w:t>Aetiology</w:t>
      </w:r>
    </w:p>
    <w:p w14:paraId="7B1C63FD" w14:textId="77777777" w:rsidR="0036185F" w:rsidRPr="00D6340F" w:rsidRDefault="00C605DA" w:rsidP="007E4E67">
      <w:pPr>
        <w:pStyle w:val="ep0"/>
        <w:numPr>
          <w:ilvl w:val="0"/>
          <w:numId w:val="33"/>
        </w:numPr>
        <w:ind w:left="284" w:hanging="284"/>
        <w:rPr>
          <w:rFonts w:cs="Arial"/>
          <w:strike w:val="0"/>
          <w:lang w:val="en-GB"/>
        </w:rPr>
      </w:pPr>
      <w:r w:rsidRPr="00D6340F">
        <w:rPr>
          <w:rFonts w:cs="Arial"/>
          <w:strike w:val="0"/>
          <w:lang w:val="en-GB"/>
        </w:rPr>
        <w:t>Ambulatory patients:  most common cause</w:t>
      </w:r>
      <w:r w:rsidR="00627546" w:rsidRPr="00D6340F">
        <w:rPr>
          <w:rFonts w:cs="Arial"/>
          <w:strike w:val="0"/>
          <w:lang w:val="en-GB"/>
        </w:rPr>
        <w:t xml:space="preserve"> </w:t>
      </w:r>
      <w:r w:rsidR="00323B76" w:rsidRPr="00D6340F">
        <w:rPr>
          <w:rFonts w:cs="Arial"/>
          <w:strike w:val="0"/>
          <w:lang w:val="en-GB"/>
        </w:rPr>
        <w:t>is</w:t>
      </w:r>
      <w:r w:rsidR="00627546" w:rsidRPr="00D6340F">
        <w:rPr>
          <w:rFonts w:cs="Arial"/>
          <w:strike w:val="0"/>
          <w:lang w:val="en-GB"/>
        </w:rPr>
        <w:t xml:space="preserve"> </w:t>
      </w:r>
      <w:r w:rsidR="00323B76" w:rsidRPr="00D6340F">
        <w:rPr>
          <w:rFonts w:cs="Arial"/>
          <w:strike w:val="0"/>
          <w:lang w:val="en-GB"/>
        </w:rPr>
        <w:t>hyperparathyroidism</w:t>
      </w:r>
      <w:r w:rsidR="00627546" w:rsidRPr="00D6340F">
        <w:rPr>
          <w:rFonts w:cs="Arial"/>
          <w:strike w:val="0"/>
          <w:lang w:val="en-GB"/>
        </w:rPr>
        <w:t xml:space="preserve"> </w:t>
      </w:r>
      <w:r w:rsidRPr="00D6340F">
        <w:rPr>
          <w:rFonts w:cs="Arial"/>
          <w:strike w:val="0"/>
          <w:lang w:val="en-GB"/>
        </w:rPr>
        <w:t>(&gt;90% of cases).</w:t>
      </w:r>
    </w:p>
    <w:p w14:paraId="0B34E503" w14:textId="77777777" w:rsidR="0036185F" w:rsidRPr="00D6340F" w:rsidRDefault="00C605DA" w:rsidP="007E4E67">
      <w:pPr>
        <w:pStyle w:val="ep0"/>
        <w:numPr>
          <w:ilvl w:val="0"/>
          <w:numId w:val="33"/>
        </w:numPr>
        <w:ind w:left="284" w:hanging="284"/>
        <w:rPr>
          <w:rFonts w:cs="Arial"/>
          <w:strike w:val="0"/>
          <w:lang w:val="en-GB"/>
        </w:rPr>
      </w:pPr>
      <w:r w:rsidRPr="00D6340F">
        <w:rPr>
          <w:rFonts w:cs="Arial"/>
          <w:strike w:val="0"/>
          <w:lang w:val="en-GB"/>
        </w:rPr>
        <w:t>Hospitalised patients: malignancies are the most common cause (65% of cases). Hyperparathyroidism accounts for another 25%.</w:t>
      </w:r>
    </w:p>
    <w:p w14:paraId="07426090" w14:textId="77777777" w:rsidR="0036185F" w:rsidRPr="00D6340F" w:rsidRDefault="00C605DA" w:rsidP="007E4E67">
      <w:pPr>
        <w:pStyle w:val="ep0"/>
        <w:numPr>
          <w:ilvl w:val="0"/>
          <w:numId w:val="33"/>
        </w:numPr>
        <w:ind w:left="284" w:hanging="284"/>
        <w:rPr>
          <w:rFonts w:cs="Arial"/>
          <w:strike w:val="0"/>
          <w:lang w:val="en-GB"/>
        </w:rPr>
      </w:pPr>
      <w:r w:rsidRPr="00D6340F">
        <w:rPr>
          <w:rFonts w:cs="Arial"/>
          <w:strike w:val="0"/>
          <w:lang w:val="en-GB"/>
        </w:rPr>
        <w:t>Granulomatous disease (</w:t>
      </w:r>
      <w:r w:rsidR="00140415" w:rsidRPr="00D6340F">
        <w:rPr>
          <w:rFonts w:cs="Arial"/>
          <w:strike w:val="0"/>
          <w:lang w:val="en-GB"/>
        </w:rPr>
        <w:t xml:space="preserve">e.g. </w:t>
      </w:r>
      <w:r w:rsidRPr="00D6340F">
        <w:rPr>
          <w:rFonts w:cs="Arial"/>
          <w:strike w:val="0"/>
          <w:lang w:val="en-GB"/>
        </w:rPr>
        <w:t>sarcoid).</w:t>
      </w:r>
    </w:p>
    <w:p w14:paraId="187F17D5" w14:textId="77777777" w:rsidR="0036185F" w:rsidRPr="00D6340F" w:rsidRDefault="00C605DA" w:rsidP="007E4E67">
      <w:pPr>
        <w:pStyle w:val="ep0"/>
        <w:numPr>
          <w:ilvl w:val="0"/>
          <w:numId w:val="33"/>
        </w:numPr>
        <w:ind w:left="284" w:hanging="284"/>
        <w:rPr>
          <w:rFonts w:cs="Arial"/>
          <w:strike w:val="0"/>
          <w:lang w:val="en-GB"/>
        </w:rPr>
      </w:pPr>
      <w:r w:rsidRPr="00D6340F">
        <w:rPr>
          <w:rFonts w:cs="Arial"/>
          <w:strike w:val="0"/>
          <w:lang w:val="en-GB"/>
        </w:rPr>
        <w:lastRenderedPageBreak/>
        <w:t>Immobilisation in those with high bone turnover.</w:t>
      </w:r>
    </w:p>
    <w:p w14:paraId="5EC1FD99" w14:textId="77777777" w:rsidR="007163AB" w:rsidRPr="007163AB" w:rsidRDefault="007163AB" w:rsidP="00C605DA">
      <w:pPr>
        <w:pStyle w:val="Heading6"/>
        <w:rPr>
          <w:rFonts w:cs="Arial"/>
          <w:b w:val="0"/>
          <w:sz w:val="14"/>
        </w:rPr>
      </w:pPr>
    </w:p>
    <w:p w14:paraId="532AD1C3" w14:textId="77777777" w:rsidR="00C605DA" w:rsidRPr="00D6340F" w:rsidRDefault="00C605DA" w:rsidP="00C605DA">
      <w:pPr>
        <w:pStyle w:val="Heading6"/>
        <w:rPr>
          <w:rFonts w:cs="Arial"/>
        </w:rPr>
      </w:pPr>
      <w:r w:rsidRPr="00D6340F">
        <w:rPr>
          <w:rFonts w:cs="Arial"/>
        </w:rPr>
        <w:t>Investigations</w:t>
      </w:r>
    </w:p>
    <w:p w14:paraId="2CBE175C" w14:textId="77777777" w:rsidR="00C605DA" w:rsidRPr="00D6340F" w:rsidRDefault="00C605DA" w:rsidP="00C605DA">
      <w:pPr>
        <w:rPr>
          <w:rFonts w:cs="Arial"/>
          <w:color w:val="auto"/>
          <w:lang w:val="en-GB"/>
        </w:rPr>
      </w:pPr>
      <w:r w:rsidRPr="00D6340F">
        <w:rPr>
          <w:rFonts w:cs="Arial"/>
          <w:color w:val="auto"/>
          <w:lang w:val="en-GB"/>
        </w:rPr>
        <w:t>Draw blood for parathyroid hormone (PTH) and simultaneous calcium</w:t>
      </w:r>
      <w:r w:rsidR="001627F3" w:rsidRPr="00D6340F">
        <w:rPr>
          <w:rFonts w:cs="Arial"/>
          <w:color w:val="auto"/>
          <w:lang w:val="en-GB"/>
        </w:rPr>
        <w:t>, phosphate</w:t>
      </w:r>
      <w:r w:rsidR="00913B2F" w:rsidRPr="00D6340F">
        <w:rPr>
          <w:rFonts w:cs="Arial"/>
          <w:color w:val="auto"/>
          <w:lang w:val="en-GB"/>
        </w:rPr>
        <w:t>, magnesium,</w:t>
      </w:r>
      <w:r w:rsidRPr="00D6340F">
        <w:rPr>
          <w:rFonts w:cs="Arial"/>
          <w:color w:val="auto"/>
          <w:lang w:val="en-GB"/>
        </w:rPr>
        <w:t xml:space="preserve"> albumin</w:t>
      </w:r>
      <w:r w:rsidR="00913B2F" w:rsidRPr="00D6340F">
        <w:rPr>
          <w:rFonts w:cs="Arial"/>
          <w:color w:val="auto"/>
          <w:lang w:val="en-GB"/>
        </w:rPr>
        <w:t>, creatinine and sodium and potassium</w:t>
      </w:r>
      <w:r w:rsidR="00897665">
        <w:rPr>
          <w:rFonts w:cs="Arial"/>
          <w:color w:val="auto"/>
          <w:lang w:val="en-GB"/>
        </w:rPr>
        <w:t>,</w:t>
      </w:r>
      <w:r w:rsidR="00E066CB">
        <w:rPr>
          <w:rFonts w:cs="Arial"/>
          <w:color w:val="auto"/>
          <w:lang w:val="en-GB"/>
        </w:rPr>
        <w:t xml:space="preserve"> </w:t>
      </w:r>
      <w:r w:rsidR="00913B2F" w:rsidRPr="00D6340F">
        <w:rPr>
          <w:rFonts w:cs="Arial"/>
          <w:color w:val="auto"/>
          <w:lang w:val="en-GB"/>
        </w:rPr>
        <w:t xml:space="preserve">and 25 hydroxy-vitamin D </w:t>
      </w:r>
      <w:r w:rsidRPr="00D6340F">
        <w:rPr>
          <w:rFonts w:cs="Arial"/>
          <w:color w:val="auto"/>
          <w:lang w:val="en-GB"/>
        </w:rPr>
        <w:t>concentrations.</w:t>
      </w:r>
    </w:p>
    <w:p w14:paraId="1392DF05" w14:textId="77777777" w:rsidR="00C605DA" w:rsidRPr="00D6340F" w:rsidRDefault="00C605DA" w:rsidP="00C605DA">
      <w:pPr>
        <w:rPr>
          <w:rFonts w:cs="Arial"/>
          <w:color w:val="auto"/>
          <w:lang w:val="en-GB"/>
        </w:rPr>
      </w:pPr>
      <w:r w:rsidRPr="00D6340F">
        <w:rPr>
          <w:rFonts w:cs="Arial"/>
          <w:color w:val="auto"/>
          <w:lang w:val="en-GB"/>
        </w:rPr>
        <w:t xml:space="preserve">A detectable PTH in the presence of hypercalcaemia indicates </w:t>
      </w:r>
      <w:r w:rsidR="00913B2F" w:rsidRPr="00D6340F">
        <w:rPr>
          <w:rFonts w:cs="Arial"/>
          <w:color w:val="auto"/>
          <w:lang w:val="en-GB"/>
        </w:rPr>
        <w:t xml:space="preserve">PTH-dependent </w:t>
      </w:r>
      <w:r w:rsidRPr="00D6340F">
        <w:rPr>
          <w:rFonts w:cs="Arial"/>
          <w:color w:val="auto"/>
          <w:lang w:val="en-GB"/>
        </w:rPr>
        <w:t>hyperparathyroidism.</w:t>
      </w:r>
    </w:p>
    <w:p w14:paraId="048277F2" w14:textId="77777777" w:rsidR="00C605DA" w:rsidRPr="00D6340F" w:rsidRDefault="00C605DA" w:rsidP="00C605DA">
      <w:pPr>
        <w:rPr>
          <w:rFonts w:cs="Arial"/>
          <w:lang w:val="en-GB"/>
        </w:rPr>
      </w:pPr>
    </w:p>
    <w:p w14:paraId="1C402A13" w14:textId="77777777" w:rsidR="00C605DA" w:rsidRPr="00D6340F" w:rsidRDefault="00C605DA" w:rsidP="00C605DA">
      <w:pPr>
        <w:rPr>
          <w:rFonts w:cs="Arial"/>
          <w:b/>
          <w:lang w:val="en-GB"/>
        </w:rPr>
      </w:pPr>
      <w:r w:rsidRPr="00D6340F">
        <w:rPr>
          <w:rFonts w:cs="Arial"/>
          <w:b/>
          <w:lang w:val="en-GB"/>
        </w:rPr>
        <w:t>MEDICINE TREATMENT</w:t>
      </w:r>
    </w:p>
    <w:p w14:paraId="649AE65A" w14:textId="77777777" w:rsidR="00C605DA" w:rsidRPr="00D6340F" w:rsidRDefault="00C605DA" w:rsidP="00407C61">
      <w:pPr>
        <w:pStyle w:val="Heading6"/>
        <w:keepNext w:val="0"/>
        <w:widowControl w:val="0"/>
        <w:rPr>
          <w:rFonts w:cs="Arial"/>
        </w:rPr>
      </w:pPr>
      <w:r w:rsidRPr="00D6340F">
        <w:rPr>
          <w:rFonts w:cs="Arial"/>
        </w:rPr>
        <w:t>Hypercalcaemia</w:t>
      </w:r>
    </w:p>
    <w:p w14:paraId="25840787" w14:textId="77777777" w:rsidR="00C605DA" w:rsidRPr="00D6340F" w:rsidRDefault="00C605DA" w:rsidP="00C605DA">
      <w:pPr>
        <w:rPr>
          <w:rFonts w:cs="Arial"/>
          <w:lang w:val="en-GB"/>
        </w:rPr>
      </w:pPr>
      <w:r w:rsidRPr="00D6340F">
        <w:rPr>
          <w:rFonts w:cs="Arial"/>
          <w:lang w:val="en-GB"/>
        </w:rPr>
        <w:t>Patients with moderate/severe hypercalcaemia should be kept well hydrated and may need several litres of fluid.</w:t>
      </w:r>
    </w:p>
    <w:p w14:paraId="5521910C" w14:textId="77777777" w:rsidR="00C605DA" w:rsidRPr="00D6340F" w:rsidRDefault="00C605DA" w:rsidP="00C605DA">
      <w:pPr>
        <w:rPr>
          <w:rFonts w:cs="Arial"/>
          <w:sz w:val="6"/>
          <w:szCs w:val="6"/>
          <w:lang w:val="en-GB"/>
        </w:rPr>
      </w:pPr>
    </w:p>
    <w:p w14:paraId="03C64C62" w14:textId="77777777" w:rsidR="00C605DA" w:rsidRDefault="00C605DA" w:rsidP="00C605DA">
      <w:pPr>
        <w:rPr>
          <w:rFonts w:cs="Arial"/>
          <w:lang w:val="en-GB"/>
        </w:rPr>
      </w:pPr>
      <w:r w:rsidRPr="004438F9">
        <w:rPr>
          <w:rFonts w:cs="Arial"/>
          <w:lang w:val="en-GB"/>
        </w:rPr>
        <w:t xml:space="preserve">Avoid thiazide diuretics </w:t>
      </w:r>
      <w:r w:rsidR="005007CE" w:rsidRPr="006C10F3">
        <w:rPr>
          <w:rFonts w:cs="Arial"/>
          <w:color w:val="auto"/>
          <w:lang w:val="en-GB"/>
        </w:rPr>
        <w:t>in the acute setting</w:t>
      </w:r>
      <w:r w:rsidR="005007CE" w:rsidRPr="006C10F3">
        <w:rPr>
          <w:rFonts w:cs="Arial"/>
          <w:color w:val="auto"/>
          <w:u w:val="single"/>
          <w:lang w:val="en-GB"/>
        </w:rPr>
        <w:t xml:space="preserve"> </w:t>
      </w:r>
      <w:r w:rsidRPr="004438F9">
        <w:rPr>
          <w:rFonts w:cs="Arial"/>
          <w:lang w:val="en-GB"/>
        </w:rPr>
        <w:t>as they increase serum calcium concentration.</w:t>
      </w:r>
    </w:p>
    <w:p w14:paraId="696D08F7" w14:textId="77777777" w:rsidR="005007CE" w:rsidRPr="003C3C12" w:rsidRDefault="005007CE" w:rsidP="00C605DA">
      <w:pPr>
        <w:rPr>
          <w:rFonts w:cs="Arial"/>
          <w:sz w:val="6"/>
          <w:lang w:val="en-GB"/>
        </w:rPr>
      </w:pPr>
    </w:p>
    <w:p w14:paraId="16FDE2DF" w14:textId="77777777" w:rsidR="00C605DA" w:rsidRPr="00D6340F" w:rsidRDefault="00C605DA" w:rsidP="00C605DA">
      <w:pPr>
        <w:rPr>
          <w:rFonts w:cs="Arial"/>
          <w:lang w:val="en-GB"/>
        </w:rPr>
      </w:pPr>
      <w:r w:rsidRPr="00D6340F">
        <w:rPr>
          <w:rFonts w:cs="Arial"/>
          <w:lang w:val="en-GB"/>
        </w:rPr>
        <w:t>The addition of furosemide has not been shown to be of benefit.</w:t>
      </w:r>
    </w:p>
    <w:p w14:paraId="24F53125" w14:textId="77777777" w:rsidR="00C605DA" w:rsidRPr="00D6340F" w:rsidRDefault="00C605DA" w:rsidP="00C605DA">
      <w:pPr>
        <w:rPr>
          <w:rFonts w:cs="Arial"/>
          <w:sz w:val="10"/>
          <w:szCs w:val="10"/>
          <w:lang w:val="en-GB"/>
        </w:rPr>
      </w:pPr>
    </w:p>
    <w:p w14:paraId="6D6B31C1" w14:textId="77777777" w:rsidR="00C605DA" w:rsidRPr="00D6340F" w:rsidRDefault="00C605DA" w:rsidP="00C605DA">
      <w:pPr>
        <w:rPr>
          <w:rFonts w:cs="Arial"/>
          <w:u w:val="single"/>
          <w:lang w:val="en-GB"/>
        </w:rPr>
      </w:pPr>
      <w:r w:rsidRPr="00D6340F">
        <w:rPr>
          <w:rFonts w:cs="Arial"/>
          <w:u w:val="single"/>
          <w:lang w:val="en-GB"/>
        </w:rPr>
        <w:t>For symptomatic hypercalcaemia:</w:t>
      </w:r>
    </w:p>
    <w:p w14:paraId="4460A6BC" w14:textId="77777777" w:rsidR="00C605DA" w:rsidRPr="00D6340F" w:rsidRDefault="00C605DA" w:rsidP="006C10F3">
      <w:pPr>
        <w:pStyle w:val="ep4"/>
        <w:tabs>
          <w:tab w:val="clear" w:pos="360"/>
        </w:tabs>
        <w:rPr>
          <w:lang w:val="en-GB"/>
        </w:rPr>
      </w:pPr>
      <w:r w:rsidRPr="00D6340F">
        <w:rPr>
          <w:lang w:val="en-GB"/>
        </w:rPr>
        <w:t>Sodium chloride solution 0.9%, IV infusion, 4–6 L in 24 hours.</w:t>
      </w:r>
    </w:p>
    <w:p w14:paraId="4AE94A3F" w14:textId="77777777" w:rsidR="00C15E52" w:rsidRPr="00D6340F" w:rsidRDefault="00C605DA" w:rsidP="007E4E67">
      <w:pPr>
        <w:pStyle w:val="ep4"/>
        <w:numPr>
          <w:ilvl w:val="0"/>
          <w:numId w:val="35"/>
        </w:numPr>
        <w:ind w:left="567" w:hanging="283"/>
        <w:rPr>
          <w:lang w:val="en-GB" w:eastAsia="en-ZA"/>
        </w:rPr>
      </w:pPr>
      <w:r w:rsidRPr="00D6340F">
        <w:rPr>
          <w:lang w:val="en-GB"/>
        </w:rPr>
        <w:t>Monitor urine output.</w:t>
      </w:r>
    </w:p>
    <w:p w14:paraId="72D22574" w14:textId="77777777" w:rsidR="00C605DA" w:rsidRPr="00D6340F" w:rsidRDefault="00C605DA" w:rsidP="00C605DA">
      <w:pPr>
        <w:rPr>
          <w:rFonts w:cs="Arial"/>
          <w:sz w:val="10"/>
          <w:szCs w:val="10"/>
          <w:lang w:val="en-GB" w:eastAsia="en-ZA"/>
        </w:rPr>
      </w:pPr>
    </w:p>
    <w:p w14:paraId="02F3D9CA" w14:textId="77777777" w:rsidR="00C605DA" w:rsidRPr="00D6340F" w:rsidRDefault="00C605DA" w:rsidP="00C605DA">
      <w:pPr>
        <w:rPr>
          <w:rFonts w:cs="Arial"/>
          <w:u w:val="single"/>
          <w:lang w:val="en-GB"/>
        </w:rPr>
      </w:pPr>
      <w:r w:rsidRPr="00D6340F">
        <w:rPr>
          <w:rFonts w:cs="Arial"/>
          <w:u w:val="single"/>
          <w:lang w:val="en-GB"/>
        </w:rPr>
        <w:t>If still symptomatic after 24 hours and adequate hydration,</w:t>
      </w:r>
      <w:r w:rsidR="00E066CB">
        <w:rPr>
          <w:rFonts w:cs="Arial"/>
          <w:u w:val="single"/>
          <w:lang w:val="en-GB"/>
        </w:rPr>
        <w:t xml:space="preserve"> </w:t>
      </w:r>
      <w:r w:rsidRPr="00D6340F">
        <w:rPr>
          <w:rFonts w:cs="Arial"/>
          <w:b/>
          <w:u w:val="single"/>
          <w:lang w:val="en-GB"/>
        </w:rPr>
        <w:t>or</w:t>
      </w:r>
      <w:r w:rsidRPr="00D6340F">
        <w:rPr>
          <w:rFonts w:cs="Arial"/>
          <w:u w:val="single"/>
          <w:lang w:val="en-GB"/>
        </w:rPr>
        <w:t xml:space="preserve"> if initial serum calcium is &gt;3 mmol/L:</w:t>
      </w:r>
    </w:p>
    <w:p w14:paraId="5FF6DD98" w14:textId="77777777" w:rsidR="00C605DA" w:rsidRDefault="00C605DA" w:rsidP="00C605DA">
      <w:pPr>
        <w:pStyle w:val="Heading6"/>
        <w:rPr>
          <w:rFonts w:cs="Arial"/>
        </w:rPr>
      </w:pPr>
      <w:r w:rsidRPr="00D6340F">
        <w:rPr>
          <w:rFonts w:cs="Arial"/>
        </w:rPr>
        <w:t>ADD</w:t>
      </w:r>
    </w:p>
    <w:p w14:paraId="1C9FE771" w14:textId="77777777" w:rsidR="00CF7705" w:rsidRPr="00D47DF2" w:rsidRDefault="00CF7705" w:rsidP="007E4E67">
      <w:pPr>
        <w:widowControl w:val="0"/>
        <w:numPr>
          <w:ilvl w:val="0"/>
          <w:numId w:val="59"/>
        </w:numPr>
        <w:autoSpaceDE w:val="0"/>
        <w:autoSpaceDN w:val="0"/>
        <w:adjustRightInd w:val="0"/>
        <w:ind w:left="284" w:hanging="284"/>
        <w:contextualSpacing/>
        <w:rPr>
          <w:rFonts w:cs="Arial"/>
          <w:lang w:val="en-GB"/>
        </w:rPr>
      </w:pPr>
      <w:r w:rsidRPr="00D47DF2">
        <w:rPr>
          <w:rFonts w:cs="Arial"/>
          <w:lang w:val="en-GB"/>
        </w:rPr>
        <w:t>Bisphosphonates, e.g.:</w:t>
      </w:r>
    </w:p>
    <w:p w14:paraId="3D7E8EA7" w14:textId="77777777" w:rsidR="00352CE0" w:rsidRPr="00D47DF2" w:rsidRDefault="00CF7705" w:rsidP="00D47DF2">
      <w:pPr>
        <w:pStyle w:val="ep4"/>
        <w:tabs>
          <w:tab w:val="clear" w:pos="360"/>
        </w:tabs>
        <w:rPr>
          <w:color w:val="auto"/>
          <w:spacing w:val="-4"/>
          <w:lang w:val="en-GB"/>
        </w:rPr>
      </w:pPr>
      <w:r w:rsidRPr="00D47DF2">
        <w:rPr>
          <w:lang w:val="en-GB"/>
        </w:rPr>
        <w:t>Zoledronic acid, IV infusion, 4 mg over 15 minutes</w:t>
      </w:r>
      <w:r w:rsidR="002E4AF0" w:rsidRPr="00D47DF2">
        <w:rPr>
          <w:lang w:val="en-GB"/>
        </w:rPr>
        <w:t xml:space="preserve"> </w:t>
      </w:r>
      <w:r w:rsidRPr="00D47DF2">
        <w:rPr>
          <w:lang w:val="en-GB"/>
        </w:rPr>
        <w:t>(specialist initiated)</w:t>
      </w:r>
      <w:r w:rsidR="00D47DF2" w:rsidRPr="00D47DF2">
        <w:rPr>
          <w:lang w:val="en-GB"/>
        </w:rPr>
        <w:t>.</w:t>
      </w:r>
    </w:p>
    <w:p w14:paraId="3B3363C7" w14:textId="73396B06" w:rsidR="006A67C7" w:rsidRDefault="006A67C7" w:rsidP="007E4E67">
      <w:pPr>
        <w:pStyle w:val="ep4"/>
        <w:numPr>
          <w:ilvl w:val="0"/>
          <w:numId w:val="35"/>
        </w:numPr>
        <w:ind w:left="567" w:hanging="283"/>
        <w:rPr>
          <w:color w:val="auto"/>
          <w:spacing w:val="-4"/>
          <w:lang w:val="en-GB"/>
        </w:rPr>
      </w:pPr>
      <w:r>
        <w:rPr>
          <w:color w:val="auto"/>
          <w:spacing w:val="-4"/>
          <w:lang w:val="en-GB"/>
        </w:rPr>
        <w:t>eGFR 35 to 60 m</w:t>
      </w:r>
      <w:r w:rsidR="008454E9">
        <w:rPr>
          <w:color w:val="auto"/>
          <w:spacing w:val="-4"/>
          <w:lang w:val="en-GB"/>
        </w:rPr>
        <w:t>L</w:t>
      </w:r>
      <w:r>
        <w:rPr>
          <w:color w:val="auto"/>
          <w:spacing w:val="-4"/>
          <w:lang w:val="en-GB"/>
        </w:rPr>
        <w:t>/min</w:t>
      </w:r>
      <w:r w:rsidR="00C02EBC">
        <w:rPr>
          <w:color w:val="auto"/>
          <w:spacing w:val="-4"/>
          <w:lang w:val="en-GB"/>
        </w:rPr>
        <w:t>ute</w:t>
      </w:r>
      <w:r w:rsidR="00D47DF2">
        <w:rPr>
          <w:color w:val="auto"/>
          <w:spacing w:val="-4"/>
          <w:lang w:val="en-GB"/>
        </w:rPr>
        <w:t>,</w:t>
      </w:r>
      <w:r>
        <w:rPr>
          <w:color w:val="auto"/>
          <w:spacing w:val="-4"/>
          <w:lang w:val="en-GB"/>
        </w:rPr>
        <w:t xml:space="preserve"> adjust dose in consultation with specialist</w:t>
      </w:r>
      <w:r w:rsidR="00D47DF2">
        <w:rPr>
          <w:color w:val="auto"/>
          <w:spacing w:val="-4"/>
          <w:lang w:val="en-GB"/>
        </w:rPr>
        <w:t>.</w:t>
      </w: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BF6BE3" w:rsidRPr="00D6340F" w14:paraId="13F52A48" w14:textId="77777777" w:rsidTr="00F32D46">
        <w:tc>
          <w:tcPr>
            <w:tcW w:w="1134" w:type="dxa"/>
            <w:shd w:val="clear" w:color="auto" w:fill="auto"/>
          </w:tcPr>
          <w:p w14:paraId="3D878B3B" w14:textId="77777777" w:rsidR="00BF6BE3" w:rsidRPr="00D6340F" w:rsidRDefault="00BF6BE3" w:rsidP="00F32D46">
            <w:pPr>
              <w:jc w:val="right"/>
              <w:rPr>
                <w:b/>
                <w:i/>
                <w:lang w:val="en-GB"/>
              </w:rPr>
            </w:pPr>
            <w:proofErr w:type="spellStart"/>
            <w:proofErr w:type="gramStart"/>
            <w:r w:rsidRPr="00D6340F">
              <w:rPr>
                <w:i/>
                <w:lang w:val="en-GB"/>
              </w:rPr>
              <w:t>LoE:I</w:t>
            </w:r>
            <w:proofErr w:type="spellEnd"/>
            <w:proofErr w:type="gramEnd"/>
            <w:r w:rsidRPr="00D6340F">
              <w:rPr>
                <w:rStyle w:val="EndnoteReference"/>
                <w:i/>
                <w:lang w:val="en-GB"/>
              </w:rPr>
              <w:endnoteReference w:id="31"/>
            </w:r>
          </w:p>
        </w:tc>
      </w:tr>
    </w:tbl>
    <w:p w14:paraId="3F63C973" w14:textId="43AC9583" w:rsidR="00352CE0" w:rsidRPr="00D47DF2" w:rsidRDefault="00D47DF2" w:rsidP="007E4E67">
      <w:pPr>
        <w:pStyle w:val="ep4"/>
        <w:numPr>
          <w:ilvl w:val="0"/>
          <w:numId w:val="35"/>
        </w:numPr>
        <w:ind w:left="567" w:hanging="283"/>
        <w:rPr>
          <w:color w:val="auto"/>
          <w:spacing w:val="-4"/>
          <w:lang w:val="en-GB"/>
        </w:rPr>
      </w:pPr>
      <w:r w:rsidRPr="00D47DF2">
        <w:rPr>
          <w:b/>
          <w:spacing w:val="-4"/>
          <w:lang w:val="en-GB"/>
        </w:rPr>
        <w:t>Note</w:t>
      </w:r>
      <w:r>
        <w:rPr>
          <w:spacing w:val="-4"/>
          <w:lang w:val="en-GB"/>
        </w:rPr>
        <w:t>: Do not use if eGFR &lt;35 m</w:t>
      </w:r>
      <w:r w:rsidR="008454E9">
        <w:rPr>
          <w:spacing w:val="-4"/>
          <w:lang w:val="en-GB"/>
        </w:rPr>
        <w:t>L</w:t>
      </w:r>
      <w:r>
        <w:rPr>
          <w:spacing w:val="-4"/>
          <w:lang w:val="en-GB"/>
        </w:rPr>
        <w:t>/min</w:t>
      </w:r>
      <w:r w:rsidR="00C02EBC">
        <w:rPr>
          <w:spacing w:val="-4"/>
          <w:lang w:val="en-GB"/>
        </w:rPr>
        <w:t>ute</w:t>
      </w:r>
      <w:r>
        <w:rPr>
          <w:spacing w:val="-4"/>
          <w:lang w:val="en-GB"/>
        </w:rPr>
        <w:t>.</w:t>
      </w:r>
    </w:p>
    <w:p w14:paraId="72340A94" w14:textId="77777777" w:rsidR="00B52523" w:rsidRDefault="00B52523" w:rsidP="00C605DA">
      <w:pPr>
        <w:rPr>
          <w:rFonts w:cs="Arial"/>
          <w:szCs w:val="10"/>
          <w:lang w:val="en-GB"/>
        </w:rPr>
      </w:pPr>
    </w:p>
    <w:p w14:paraId="5186CCBF" w14:textId="581630B0" w:rsidR="00C605DA" w:rsidRDefault="00C605DA" w:rsidP="00C605DA">
      <w:pPr>
        <w:rPr>
          <w:rFonts w:cs="Arial"/>
          <w:u w:val="single"/>
          <w:lang w:val="en-GB"/>
        </w:rPr>
      </w:pPr>
      <w:r w:rsidRPr="00D6340F">
        <w:rPr>
          <w:rFonts w:cs="Arial"/>
          <w:u w:val="single"/>
          <w:lang w:val="en-GB"/>
        </w:rPr>
        <w:t>In patients with granulomatous disease and haematological malignancies:</w:t>
      </w:r>
    </w:p>
    <w:p w14:paraId="6656AC8C" w14:textId="6353B760" w:rsidR="00A23C9F" w:rsidRPr="00A23C9F" w:rsidRDefault="00A23C9F" w:rsidP="00A23C9F">
      <w:pPr>
        <w:pStyle w:val="ListParagraph"/>
        <w:numPr>
          <w:ilvl w:val="0"/>
          <w:numId w:val="76"/>
        </w:numPr>
        <w:spacing w:line="240" w:lineRule="auto"/>
        <w:ind w:left="284" w:hanging="284"/>
        <w:rPr>
          <w:rFonts w:ascii="Arial" w:hAnsi="Arial" w:cs="Arial"/>
          <w:sz w:val="18"/>
        </w:rPr>
      </w:pPr>
      <w:r w:rsidRPr="00284929">
        <w:rPr>
          <w:rFonts w:ascii="Arial" w:hAnsi="Arial" w:cs="Arial"/>
          <w:sz w:val="18"/>
        </w:rPr>
        <w:t xml:space="preserve">Corticosteroids </w:t>
      </w:r>
      <w:r>
        <w:rPr>
          <w:rFonts w:ascii="Arial" w:hAnsi="Arial" w:cs="Arial"/>
          <w:sz w:val="18"/>
        </w:rPr>
        <w:t xml:space="preserve">(intermediate-acting) </w:t>
      </w:r>
      <w:r w:rsidRPr="00284929">
        <w:rPr>
          <w:rFonts w:ascii="Arial" w:hAnsi="Arial" w:cs="Arial"/>
          <w:sz w:val="18"/>
        </w:rPr>
        <w:t>e.g.:</w:t>
      </w:r>
    </w:p>
    <w:p w14:paraId="3B699454" w14:textId="77777777" w:rsidR="0080739A" w:rsidRPr="00D6340F" w:rsidRDefault="00C605DA" w:rsidP="00C605DA">
      <w:pPr>
        <w:pStyle w:val="ep4"/>
        <w:rPr>
          <w:lang w:val="en-GB"/>
        </w:rPr>
      </w:pPr>
      <w:r w:rsidRPr="00D6340F">
        <w:rPr>
          <w:lang w:val="en-GB"/>
        </w:rPr>
        <w:t xml:space="preserve">Prednisone, oral, 40 mg </w:t>
      </w:r>
      <w:r w:rsidR="008B0FF3" w:rsidRPr="00D6340F">
        <w:rPr>
          <w:lang w:val="en-GB"/>
        </w:rPr>
        <w:t>depending on response</w:t>
      </w:r>
      <w:r w:rsidR="0080739A" w:rsidRPr="00D6340F">
        <w:rPr>
          <w:lang w:val="en-GB"/>
        </w:rPr>
        <w:t>,</w:t>
      </w:r>
      <w:r w:rsidR="002E4AF0" w:rsidRPr="00D6340F">
        <w:rPr>
          <w:lang w:val="en-GB"/>
        </w:rPr>
        <w:t xml:space="preserve"> </w:t>
      </w:r>
      <w:r w:rsidRPr="00D6340F">
        <w:rPr>
          <w:lang w:val="en-GB"/>
        </w:rPr>
        <w:t>daily.</w:t>
      </w: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80739A" w:rsidRPr="00850446" w14:paraId="3BDF92BA" w14:textId="77777777" w:rsidTr="002C47D1">
        <w:tc>
          <w:tcPr>
            <w:tcW w:w="1134" w:type="dxa"/>
            <w:shd w:val="clear" w:color="auto" w:fill="auto"/>
          </w:tcPr>
          <w:p w14:paraId="5C6C254B" w14:textId="2B2ACA82" w:rsidR="0080739A" w:rsidRPr="00850446" w:rsidRDefault="0080739A" w:rsidP="0080739A">
            <w:pPr>
              <w:jc w:val="right"/>
              <w:rPr>
                <w:b/>
                <w:i/>
                <w:sz w:val="16"/>
                <w:lang w:val="en-GB"/>
              </w:rPr>
            </w:pPr>
            <w:proofErr w:type="spellStart"/>
            <w:proofErr w:type="gramStart"/>
            <w:r w:rsidRPr="00850446">
              <w:rPr>
                <w:i/>
                <w:sz w:val="16"/>
                <w:lang w:val="en-GB"/>
              </w:rPr>
              <w:t>LoE:II</w:t>
            </w:r>
            <w:proofErr w:type="gramEnd"/>
            <w:r w:rsidRPr="00850446">
              <w:rPr>
                <w:rStyle w:val="EndnoteReference"/>
                <w:i/>
                <w:sz w:val="16"/>
                <w:vertAlign w:val="baseline"/>
                <w:lang w:val="en-GB"/>
              </w:rPr>
              <w:t>I</w:t>
            </w:r>
            <w:proofErr w:type="spellEnd"/>
            <w:r w:rsidR="00A23C9F">
              <w:rPr>
                <w:rStyle w:val="EndnoteReference"/>
                <w:i/>
                <w:sz w:val="16"/>
                <w:lang w:val="en-GB"/>
              </w:rPr>
              <w:endnoteReference w:id="32"/>
            </w:r>
          </w:p>
        </w:tc>
      </w:tr>
    </w:tbl>
    <w:p w14:paraId="0B0CB34E" w14:textId="77777777" w:rsidR="00C605DA" w:rsidRPr="00D6340F" w:rsidRDefault="00C605DA" w:rsidP="0080739A">
      <w:pPr>
        <w:pStyle w:val="ep4"/>
        <w:numPr>
          <w:ilvl w:val="0"/>
          <w:numId w:val="0"/>
        </w:numPr>
        <w:ind w:left="284"/>
        <w:rPr>
          <w:lang w:val="en-GB"/>
        </w:rPr>
      </w:pPr>
    </w:p>
    <w:p w14:paraId="014760A0" w14:textId="77777777" w:rsidR="00C605DA" w:rsidRPr="00D6340F" w:rsidRDefault="00C605DA" w:rsidP="00C605DA">
      <w:pPr>
        <w:pStyle w:val="Heading5"/>
        <w:rPr>
          <w:rFonts w:cs="Arial"/>
          <w:lang w:val="en-GB"/>
        </w:rPr>
      </w:pPr>
      <w:r w:rsidRPr="00D6340F">
        <w:rPr>
          <w:rFonts w:cs="Arial"/>
          <w:lang w:val="en-GB"/>
        </w:rPr>
        <w:t>REFERRAL</w:t>
      </w:r>
    </w:p>
    <w:p w14:paraId="2A5290D3" w14:textId="77777777" w:rsidR="00C605DA" w:rsidRPr="00D6340F" w:rsidRDefault="00C605DA" w:rsidP="00407C61">
      <w:pPr>
        <w:rPr>
          <w:rFonts w:cs="Arial"/>
          <w:lang w:val="en-GB"/>
        </w:rPr>
      </w:pPr>
      <w:r w:rsidRPr="00D6340F">
        <w:rPr>
          <w:rFonts w:cs="Arial"/>
          <w:lang w:val="en-GB"/>
        </w:rPr>
        <w:t>When a diagnosis of hyperparathyroidism is confirmed or other cause is not obvious.</w:t>
      </w:r>
    </w:p>
    <w:p w14:paraId="3C8AB90F" w14:textId="77777777" w:rsidR="00C605DA" w:rsidRPr="00D6340F" w:rsidRDefault="00C605DA" w:rsidP="00C605DA">
      <w:pPr>
        <w:rPr>
          <w:rFonts w:cs="Arial"/>
          <w:lang w:val="en-GB"/>
        </w:rPr>
      </w:pPr>
    </w:p>
    <w:p w14:paraId="30EA4197" w14:textId="77777777" w:rsidR="0064206D" w:rsidRPr="00D6340F" w:rsidRDefault="0064206D" w:rsidP="00C605DA">
      <w:pPr>
        <w:rPr>
          <w:rFonts w:cs="Arial"/>
          <w:lang w:val="en-GB"/>
        </w:rPr>
      </w:pPr>
    </w:p>
    <w:p w14:paraId="25E30471" w14:textId="77777777" w:rsidR="00C605DA" w:rsidRPr="00D6340F" w:rsidRDefault="00C605DA" w:rsidP="00C605DA">
      <w:pPr>
        <w:pStyle w:val="Heading1"/>
        <w:rPr>
          <w:rFonts w:cs="Arial"/>
          <w:sz w:val="22"/>
          <w:szCs w:val="22"/>
          <w:lang w:val="en-GB"/>
        </w:rPr>
      </w:pPr>
      <w:r w:rsidRPr="00D6340F">
        <w:rPr>
          <w:rFonts w:cs="Arial"/>
          <w:sz w:val="22"/>
          <w:szCs w:val="22"/>
          <w:lang w:val="en-GB"/>
        </w:rPr>
        <w:t>8.10 HYPOCALCAEMIA</w:t>
      </w:r>
    </w:p>
    <w:p w14:paraId="112E1A93" w14:textId="77777777" w:rsidR="00C605DA" w:rsidRPr="00D6340F" w:rsidRDefault="00C605DA" w:rsidP="00C02921">
      <w:pPr>
        <w:pStyle w:val="Heading4"/>
      </w:pPr>
      <w:r w:rsidRPr="00D6340F">
        <w:t>e83.5</w:t>
      </w:r>
      <w:r w:rsidR="00904B36">
        <w:t xml:space="preserve"> + (E20.0-1/E20.8-9)</w:t>
      </w:r>
    </w:p>
    <w:p w14:paraId="30BE43BC" w14:textId="77777777" w:rsidR="00C605DA" w:rsidRPr="00D6340F" w:rsidRDefault="00C605DA" w:rsidP="00C605DA">
      <w:pPr>
        <w:rPr>
          <w:rFonts w:cs="Arial"/>
          <w:lang w:val="en-GB"/>
        </w:rPr>
      </w:pPr>
    </w:p>
    <w:p w14:paraId="0E393DF8" w14:textId="77777777" w:rsidR="00C605DA" w:rsidRPr="00D6340F" w:rsidRDefault="00C605DA" w:rsidP="00C605DA">
      <w:pPr>
        <w:pStyle w:val="Heading5"/>
        <w:rPr>
          <w:rFonts w:cs="Arial"/>
          <w:lang w:val="en-GB"/>
        </w:rPr>
      </w:pPr>
      <w:r w:rsidRPr="00D6340F">
        <w:rPr>
          <w:rFonts w:cs="Arial"/>
          <w:lang w:val="en-GB"/>
        </w:rPr>
        <w:t>DESCRIPTION</w:t>
      </w:r>
    </w:p>
    <w:p w14:paraId="450B0F30" w14:textId="77777777" w:rsidR="00C605DA" w:rsidRPr="00D6340F" w:rsidRDefault="00FE7F91" w:rsidP="00C605DA">
      <w:pPr>
        <w:rPr>
          <w:rFonts w:cs="Arial"/>
          <w:spacing w:val="-4"/>
          <w:lang w:val="en-GB"/>
        </w:rPr>
      </w:pPr>
      <w:r w:rsidRPr="00D6340F">
        <w:rPr>
          <w:rFonts w:cs="Arial"/>
          <w:spacing w:val="-4"/>
          <w:lang w:val="en-GB"/>
        </w:rPr>
        <w:t xml:space="preserve">Serum </w:t>
      </w:r>
      <w:r w:rsidR="00C605DA" w:rsidRPr="00D6340F">
        <w:rPr>
          <w:rFonts w:cs="Arial"/>
          <w:spacing w:val="-4"/>
          <w:lang w:val="en-GB"/>
        </w:rPr>
        <w:t>calcium (corrected for albumin) below the lower limit of normal.</w:t>
      </w:r>
    </w:p>
    <w:p w14:paraId="79E610EE" w14:textId="77777777" w:rsidR="00C605DA" w:rsidRPr="00D6340F" w:rsidRDefault="00C605DA" w:rsidP="00C605DA">
      <w:pPr>
        <w:pStyle w:val="Heading6"/>
        <w:rPr>
          <w:rFonts w:cs="Arial"/>
        </w:rPr>
      </w:pPr>
      <w:r w:rsidRPr="00D6340F">
        <w:rPr>
          <w:rFonts w:cs="Arial"/>
        </w:rPr>
        <w:t>Causes</w:t>
      </w:r>
    </w:p>
    <w:p w14:paraId="0A2473C6" w14:textId="77777777" w:rsidR="0036185F" w:rsidRPr="00D6340F" w:rsidRDefault="00C605DA" w:rsidP="007E4E67">
      <w:pPr>
        <w:pStyle w:val="ep0"/>
        <w:numPr>
          <w:ilvl w:val="0"/>
          <w:numId w:val="36"/>
        </w:numPr>
        <w:ind w:left="284" w:hanging="284"/>
        <w:rPr>
          <w:rFonts w:cs="Arial"/>
          <w:strike w:val="0"/>
          <w:lang w:val="en-GB"/>
        </w:rPr>
      </w:pPr>
      <w:r w:rsidRPr="00D6340F">
        <w:rPr>
          <w:rFonts w:cs="Arial"/>
          <w:strike w:val="0"/>
          <w:lang w:val="en-GB"/>
        </w:rPr>
        <w:t>Renal failure.</w:t>
      </w:r>
    </w:p>
    <w:p w14:paraId="337A2967" w14:textId="77777777" w:rsidR="0036185F" w:rsidRPr="00D6340F" w:rsidRDefault="00C605DA" w:rsidP="007E4E67">
      <w:pPr>
        <w:pStyle w:val="ep0"/>
        <w:numPr>
          <w:ilvl w:val="0"/>
          <w:numId w:val="36"/>
        </w:numPr>
        <w:ind w:left="284" w:hanging="284"/>
        <w:rPr>
          <w:rFonts w:cs="Arial"/>
          <w:strike w:val="0"/>
          <w:lang w:val="en-GB"/>
        </w:rPr>
      </w:pPr>
      <w:r w:rsidRPr="00D6340F">
        <w:rPr>
          <w:rFonts w:cs="Arial"/>
          <w:strike w:val="0"/>
          <w:lang w:val="en-GB"/>
        </w:rPr>
        <w:t>Hypoparathyroidism:</w:t>
      </w:r>
    </w:p>
    <w:p w14:paraId="70933047" w14:textId="77777777" w:rsidR="00463E34" w:rsidRPr="00D6340F" w:rsidRDefault="00C605DA" w:rsidP="007E4E67">
      <w:pPr>
        <w:pStyle w:val="ep0"/>
        <w:numPr>
          <w:ilvl w:val="0"/>
          <w:numId w:val="63"/>
        </w:numPr>
        <w:rPr>
          <w:rFonts w:cs="Arial"/>
          <w:strike w:val="0"/>
          <w:lang w:val="en-GB"/>
        </w:rPr>
      </w:pPr>
      <w:r w:rsidRPr="00D6340F">
        <w:rPr>
          <w:rFonts w:cs="Arial"/>
          <w:strike w:val="0"/>
          <w:lang w:val="en-GB"/>
        </w:rPr>
        <w:lastRenderedPageBreak/>
        <w:t>post neck surgery,</w:t>
      </w:r>
    </w:p>
    <w:p w14:paraId="59B00828" w14:textId="77777777" w:rsidR="00463E34" w:rsidRPr="00D6340F" w:rsidRDefault="00C605DA" w:rsidP="007E4E67">
      <w:pPr>
        <w:pStyle w:val="ep0"/>
        <w:numPr>
          <w:ilvl w:val="0"/>
          <w:numId w:val="63"/>
        </w:numPr>
        <w:rPr>
          <w:rFonts w:cs="Arial"/>
          <w:strike w:val="0"/>
          <w:lang w:val="en-GB"/>
        </w:rPr>
      </w:pPr>
      <w:r w:rsidRPr="00D6340F">
        <w:rPr>
          <w:rFonts w:cs="Arial"/>
          <w:strike w:val="0"/>
          <w:lang w:val="en-GB"/>
        </w:rPr>
        <w:t xml:space="preserve">radiotherapy, or </w:t>
      </w:r>
    </w:p>
    <w:p w14:paraId="5135C3D1" w14:textId="77777777" w:rsidR="00463E34" w:rsidRPr="00D6340F" w:rsidRDefault="00C605DA" w:rsidP="007E4E67">
      <w:pPr>
        <w:pStyle w:val="ep0"/>
        <w:numPr>
          <w:ilvl w:val="0"/>
          <w:numId w:val="63"/>
        </w:numPr>
        <w:rPr>
          <w:rFonts w:cs="Arial"/>
          <w:strike w:val="0"/>
          <w:lang w:val="en-GB"/>
        </w:rPr>
      </w:pPr>
      <w:r w:rsidRPr="00D6340F">
        <w:rPr>
          <w:rFonts w:cs="Arial"/>
          <w:strike w:val="0"/>
          <w:lang w:val="en-GB"/>
        </w:rPr>
        <w:t>idiopathic.</w:t>
      </w:r>
    </w:p>
    <w:p w14:paraId="16A6083D" w14:textId="77777777" w:rsidR="0036185F" w:rsidRPr="00D6340F" w:rsidRDefault="00C605DA" w:rsidP="007E4E67">
      <w:pPr>
        <w:pStyle w:val="ep0"/>
        <w:numPr>
          <w:ilvl w:val="0"/>
          <w:numId w:val="36"/>
        </w:numPr>
        <w:ind w:left="284" w:hanging="284"/>
        <w:rPr>
          <w:rFonts w:cs="Arial"/>
          <w:strike w:val="0"/>
          <w:lang w:val="en-GB"/>
        </w:rPr>
      </w:pPr>
      <w:r w:rsidRPr="00D6340F">
        <w:rPr>
          <w:rFonts w:cs="Arial"/>
          <w:strike w:val="0"/>
          <w:lang w:val="en-GB"/>
        </w:rPr>
        <w:t>Vitamin D</w:t>
      </w:r>
      <w:r w:rsidR="00897665">
        <w:rPr>
          <w:rFonts w:cs="Arial"/>
          <w:strike w:val="0"/>
          <w:lang w:val="en-GB"/>
        </w:rPr>
        <w:t>-</w:t>
      </w:r>
      <w:r w:rsidRPr="00D6340F">
        <w:rPr>
          <w:rFonts w:cs="Arial"/>
          <w:strike w:val="0"/>
          <w:lang w:val="en-GB"/>
        </w:rPr>
        <w:t>related, (deficient intake, activation or action).</w:t>
      </w:r>
    </w:p>
    <w:p w14:paraId="7A96C16E" w14:textId="77777777" w:rsidR="0036185F" w:rsidRPr="00D6340F" w:rsidRDefault="00C605DA" w:rsidP="007E4E67">
      <w:pPr>
        <w:pStyle w:val="ep0"/>
        <w:numPr>
          <w:ilvl w:val="0"/>
          <w:numId w:val="36"/>
        </w:numPr>
        <w:ind w:left="284" w:hanging="284"/>
        <w:rPr>
          <w:rFonts w:cs="Arial"/>
          <w:strike w:val="0"/>
          <w:lang w:val="en-GB"/>
        </w:rPr>
      </w:pPr>
      <w:r w:rsidRPr="00D6340F">
        <w:rPr>
          <w:rFonts w:cs="Arial"/>
          <w:strike w:val="0"/>
          <w:lang w:val="en-GB"/>
        </w:rPr>
        <w:t>Hypomagnesaemia.</w:t>
      </w:r>
    </w:p>
    <w:p w14:paraId="04879EC9" w14:textId="77777777" w:rsidR="0036185F" w:rsidRDefault="00C605DA" w:rsidP="007E4E67">
      <w:pPr>
        <w:pStyle w:val="ep0"/>
        <w:numPr>
          <w:ilvl w:val="0"/>
          <w:numId w:val="36"/>
        </w:numPr>
        <w:ind w:left="284" w:hanging="284"/>
        <w:rPr>
          <w:rFonts w:cs="Arial"/>
          <w:strike w:val="0"/>
          <w:lang w:val="en-GB"/>
        </w:rPr>
      </w:pPr>
      <w:r w:rsidRPr="00D6340F">
        <w:rPr>
          <w:rFonts w:cs="Arial"/>
          <w:strike w:val="0"/>
          <w:lang w:val="en-GB"/>
        </w:rPr>
        <w:t>Malabsorption syndrome.</w:t>
      </w:r>
    </w:p>
    <w:p w14:paraId="61E34861" w14:textId="77777777" w:rsidR="00BF6BE3" w:rsidRPr="00D6340F" w:rsidRDefault="00BF6BE3" w:rsidP="00BF6BE3">
      <w:pPr>
        <w:pStyle w:val="ep0"/>
        <w:ind w:left="284"/>
        <w:rPr>
          <w:rFonts w:cs="Arial"/>
          <w:strike w:val="0"/>
          <w:lang w:val="en-GB"/>
        </w:rPr>
      </w:pPr>
    </w:p>
    <w:p w14:paraId="675C9664" w14:textId="77777777" w:rsidR="00C605DA" w:rsidRPr="00D6340F" w:rsidRDefault="00C605DA" w:rsidP="00C605DA">
      <w:pPr>
        <w:pStyle w:val="Heading5"/>
        <w:rPr>
          <w:rFonts w:cs="Arial"/>
          <w:lang w:val="en-GB"/>
        </w:rPr>
      </w:pPr>
      <w:r w:rsidRPr="00D6340F">
        <w:rPr>
          <w:rFonts w:cs="Arial"/>
          <w:lang w:val="en-GB"/>
        </w:rPr>
        <w:t>MEDICINE TREATMENT</w:t>
      </w:r>
    </w:p>
    <w:p w14:paraId="66025C68" w14:textId="77777777" w:rsidR="00C605DA" w:rsidRPr="00D6340F" w:rsidRDefault="00C605DA" w:rsidP="00C605DA">
      <w:pPr>
        <w:rPr>
          <w:rFonts w:cs="Arial"/>
          <w:lang w:val="en-GB"/>
        </w:rPr>
      </w:pPr>
      <w:r w:rsidRPr="00D6340F">
        <w:rPr>
          <w:rFonts w:cs="Arial"/>
          <w:lang w:val="en-GB"/>
        </w:rPr>
        <w:t>Therapy is aimed at treating the underlying cause.</w:t>
      </w:r>
    </w:p>
    <w:p w14:paraId="039FF912" w14:textId="77777777" w:rsidR="00C605DA" w:rsidRPr="00D6340F" w:rsidRDefault="00C605DA" w:rsidP="00C605DA">
      <w:pPr>
        <w:rPr>
          <w:rFonts w:cs="Arial"/>
          <w:sz w:val="16"/>
          <w:szCs w:val="16"/>
          <w:lang w:val="en-GB"/>
        </w:rPr>
      </w:pPr>
    </w:p>
    <w:p w14:paraId="2B22E19C" w14:textId="77777777" w:rsidR="00C605DA" w:rsidRPr="00D6340F" w:rsidRDefault="00C605DA" w:rsidP="00C605DA">
      <w:pPr>
        <w:rPr>
          <w:rFonts w:cs="Arial"/>
          <w:u w:val="single"/>
          <w:lang w:val="en-GB"/>
        </w:rPr>
      </w:pPr>
      <w:r w:rsidRPr="00D6340F">
        <w:rPr>
          <w:rFonts w:cs="Arial"/>
          <w:u w:val="single"/>
          <w:lang w:val="en-GB"/>
        </w:rPr>
        <w:t>For acute hypocalcaemia with</w:t>
      </w:r>
      <w:r w:rsidR="001222D9" w:rsidRPr="00D6340F">
        <w:rPr>
          <w:rFonts w:cs="Arial"/>
          <w:u w:val="single"/>
          <w:lang w:val="en-GB"/>
        </w:rPr>
        <w:t xml:space="preserve"> </w:t>
      </w:r>
      <w:r w:rsidRPr="00D6340F">
        <w:rPr>
          <w:rFonts w:cs="Arial"/>
          <w:u w:val="single"/>
          <w:lang w:val="en-GB"/>
        </w:rPr>
        <w:t>neurological problems</w:t>
      </w:r>
      <w:r w:rsidR="000E453D">
        <w:rPr>
          <w:rFonts w:cs="Arial"/>
          <w:u w:val="single"/>
          <w:lang w:val="en-GB"/>
        </w:rPr>
        <w:t xml:space="preserve"> </w:t>
      </w:r>
      <w:r w:rsidR="000E453D" w:rsidRPr="006C10F3">
        <w:rPr>
          <w:rFonts w:cs="Arial"/>
          <w:color w:val="auto"/>
          <w:u w:val="single"/>
        </w:rPr>
        <w:t>and prolonged QT time on ECG</w:t>
      </w:r>
      <w:r w:rsidRPr="006C10F3">
        <w:rPr>
          <w:rFonts w:cs="Arial"/>
          <w:color w:val="auto"/>
          <w:u w:val="single"/>
          <w:lang w:val="en-GB"/>
        </w:rPr>
        <w:t>:</w:t>
      </w:r>
    </w:p>
    <w:p w14:paraId="7435EEBE" w14:textId="77777777" w:rsidR="00C605DA" w:rsidRPr="00D6340F" w:rsidRDefault="00627546" w:rsidP="00F05D50">
      <w:pPr>
        <w:pStyle w:val="ep4"/>
        <w:ind w:left="360" w:hanging="360"/>
        <w:rPr>
          <w:szCs w:val="18"/>
          <w:lang w:val="en-GB"/>
        </w:rPr>
      </w:pPr>
      <w:r w:rsidRPr="00D6340F">
        <w:rPr>
          <w:bCs w:val="0"/>
          <w:szCs w:val="18"/>
          <w:lang w:val="en-GB"/>
        </w:rPr>
        <w:t>Calcium gluconate 10%, infusion, 20 mL in 100 mL dextrose 5% given over 20 minutes</w:t>
      </w:r>
      <w:r w:rsidRPr="00D6340F">
        <w:rPr>
          <w:szCs w:val="18"/>
          <w:lang w:val="en-GB"/>
        </w:rPr>
        <w:t>,</w:t>
      </w:r>
      <w:r w:rsidR="00C605DA" w:rsidRPr="00D6340F">
        <w:rPr>
          <w:szCs w:val="18"/>
          <w:lang w:val="en-GB"/>
        </w:rPr>
        <w:t xml:space="preserve"> with ECG monitoring.</w:t>
      </w:r>
    </w:p>
    <w:p w14:paraId="5414DD64" w14:textId="77777777" w:rsidR="00D74F6C" w:rsidRPr="00D6340F" w:rsidRDefault="0083000E" w:rsidP="00976B4C">
      <w:pPr>
        <w:pStyle w:val="BodyTextIndent2"/>
        <w:ind w:left="0"/>
        <w:rPr>
          <w:b/>
          <w:sz w:val="18"/>
          <w:szCs w:val="18"/>
          <w:lang w:val="en-GB"/>
        </w:rPr>
      </w:pPr>
      <w:r w:rsidRPr="00D6340F">
        <w:rPr>
          <w:b/>
          <w:sz w:val="18"/>
          <w:szCs w:val="18"/>
          <w:lang w:val="en-GB"/>
        </w:rPr>
        <w:t>AND</w:t>
      </w:r>
      <w:r w:rsidR="00C605DA" w:rsidRPr="00D6340F">
        <w:rPr>
          <w:b/>
          <w:sz w:val="18"/>
          <w:szCs w:val="18"/>
          <w:lang w:val="en-GB"/>
        </w:rPr>
        <w:t xml:space="preserve"> </w:t>
      </w:r>
    </w:p>
    <w:p w14:paraId="3F7E3499" w14:textId="77777777" w:rsidR="0083000E" w:rsidRPr="00D6340F" w:rsidRDefault="0083000E" w:rsidP="0083000E">
      <w:pPr>
        <w:pStyle w:val="ep4"/>
        <w:ind w:left="360" w:hanging="360"/>
        <w:rPr>
          <w:i/>
          <w:color w:val="auto"/>
          <w:lang w:val="en-GB"/>
        </w:rPr>
      </w:pPr>
      <w:r w:rsidRPr="00D6340F">
        <w:rPr>
          <w:color w:val="auto"/>
          <w:szCs w:val="18"/>
          <w:lang w:val="en-GB"/>
        </w:rPr>
        <w:t xml:space="preserve">Calcium gluconate 10%, infusion, 15 mg/kg (= </w:t>
      </w:r>
      <w:proofErr w:type="spellStart"/>
      <w:r w:rsidRPr="00D6340F">
        <w:rPr>
          <w:color w:val="auto"/>
          <w:szCs w:val="18"/>
          <w:lang w:val="en-GB"/>
        </w:rPr>
        <w:t>wt</w:t>
      </w:r>
      <w:proofErr w:type="spellEnd"/>
      <w:r w:rsidRPr="00D6340F">
        <w:rPr>
          <w:color w:val="auto"/>
          <w:szCs w:val="18"/>
          <w:lang w:val="en-GB"/>
        </w:rPr>
        <w:t xml:space="preserve"> [kg] x</w:t>
      </w:r>
      <w:r w:rsidR="00897665">
        <w:rPr>
          <w:color w:val="auto"/>
          <w:szCs w:val="18"/>
          <w:lang w:val="en-GB"/>
        </w:rPr>
        <w:t xml:space="preserve"> </w:t>
      </w:r>
      <w:r w:rsidRPr="00D6340F">
        <w:rPr>
          <w:color w:val="auto"/>
          <w:szCs w:val="18"/>
          <w:lang w:val="en-GB"/>
        </w:rPr>
        <w:t>1.7</w:t>
      </w:r>
      <w:r w:rsidR="00897665">
        <w:rPr>
          <w:color w:val="auto"/>
          <w:szCs w:val="18"/>
          <w:lang w:val="en-GB"/>
        </w:rPr>
        <w:t xml:space="preserve"> </w:t>
      </w:r>
      <w:r w:rsidRPr="00D6340F">
        <w:rPr>
          <w:color w:val="auto"/>
          <w:szCs w:val="18"/>
          <w:lang w:val="en-GB"/>
        </w:rPr>
        <w:t>mL) in 1000 mL sodium chloride 0.9% over 4 hours.</w:t>
      </w: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FC265C" w:rsidRPr="00D6340F" w14:paraId="179D115E" w14:textId="77777777" w:rsidTr="00FC265C">
        <w:tc>
          <w:tcPr>
            <w:tcW w:w="1134" w:type="dxa"/>
            <w:shd w:val="clear" w:color="auto" w:fill="auto"/>
          </w:tcPr>
          <w:p w14:paraId="67B4A14E" w14:textId="77777777" w:rsidR="00FC265C" w:rsidRPr="00D6340F" w:rsidRDefault="00FC265C" w:rsidP="00FC265C">
            <w:pPr>
              <w:jc w:val="right"/>
              <w:rPr>
                <w:b/>
                <w:i/>
                <w:sz w:val="16"/>
                <w:lang w:val="en-GB"/>
              </w:rPr>
            </w:pPr>
            <w:proofErr w:type="spellStart"/>
            <w:proofErr w:type="gramStart"/>
            <w:r w:rsidRPr="00D6340F">
              <w:rPr>
                <w:i/>
                <w:sz w:val="16"/>
                <w:lang w:val="en-GB"/>
              </w:rPr>
              <w:t>LoE:II</w:t>
            </w:r>
            <w:proofErr w:type="gramEnd"/>
            <w:r w:rsidRPr="00D6340F">
              <w:rPr>
                <w:rStyle w:val="EndnoteReference"/>
                <w:i/>
                <w:sz w:val="16"/>
                <w:vertAlign w:val="baseline"/>
                <w:lang w:val="en-GB"/>
              </w:rPr>
              <w:t>I</w:t>
            </w:r>
            <w:proofErr w:type="spellEnd"/>
            <w:r w:rsidR="0083000E" w:rsidRPr="00D6340F">
              <w:rPr>
                <w:rStyle w:val="EndnoteReference"/>
                <w:i/>
                <w:sz w:val="16"/>
                <w:lang w:val="en-GB"/>
              </w:rPr>
              <w:endnoteReference w:id="33"/>
            </w:r>
          </w:p>
        </w:tc>
      </w:tr>
    </w:tbl>
    <w:p w14:paraId="7FB0096D" w14:textId="77777777" w:rsidR="00C605DA" w:rsidRPr="00D6340F" w:rsidRDefault="00C605DA" w:rsidP="00C605DA">
      <w:pPr>
        <w:rPr>
          <w:rFonts w:cs="Arial"/>
          <w:sz w:val="16"/>
          <w:szCs w:val="16"/>
          <w:lang w:val="en-GB"/>
        </w:rPr>
      </w:pPr>
    </w:p>
    <w:p w14:paraId="1F66A957" w14:textId="77777777" w:rsidR="00C605DA" w:rsidRPr="00D6340F" w:rsidRDefault="00C605DA" w:rsidP="00C605DA">
      <w:pPr>
        <w:rPr>
          <w:rFonts w:cs="Arial"/>
          <w:lang w:val="en-GB"/>
        </w:rPr>
      </w:pPr>
      <w:r w:rsidRPr="00D6340F">
        <w:rPr>
          <w:rFonts w:cs="Arial"/>
          <w:u w:val="single"/>
          <w:lang w:val="en-GB"/>
        </w:rPr>
        <w:t>For hypoparathyroidism</w:t>
      </w:r>
      <w:r w:rsidRPr="00D6340F">
        <w:rPr>
          <w:rFonts w:cs="Arial"/>
          <w:lang w:val="en-GB"/>
        </w:rPr>
        <w:t>:</w:t>
      </w:r>
    </w:p>
    <w:p w14:paraId="407B2321" w14:textId="77777777" w:rsidR="004438F9" w:rsidRDefault="004438F9" w:rsidP="006C10F3">
      <w:pPr>
        <w:pStyle w:val="ep4"/>
        <w:tabs>
          <w:tab w:val="clear" w:pos="360"/>
          <w:tab w:val="num" w:pos="284"/>
        </w:tabs>
        <w:rPr>
          <w:lang w:val="en-GB"/>
        </w:rPr>
      </w:pPr>
      <w:proofErr w:type="spellStart"/>
      <w:r w:rsidRPr="00D6340F">
        <w:rPr>
          <w:lang w:val="en-GB"/>
        </w:rPr>
        <w:t>Alfacalcidol</w:t>
      </w:r>
      <w:proofErr w:type="spellEnd"/>
      <w:r w:rsidRPr="00D6340F">
        <w:rPr>
          <w:lang w:val="en-GB"/>
        </w:rPr>
        <w:t>, oral, 1–3 mcg daily.</w:t>
      </w:r>
    </w:p>
    <w:p w14:paraId="4EFF8F7D" w14:textId="77777777" w:rsidR="004438F9" w:rsidRPr="00AB44A9" w:rsidRDefault="004438F9" w:rsidP="00AB44A9">
      <w:pPr>
        <w:pStyle w:val="ep4"/>
        <w:numPr>
          <w:ilvl w:val="0"/>
          <w:numId w:val="0"/>
        </w:numPr>
        <w:rPr>
          <w:b/>
          <w:lang w:val="en-GB"/>
        </w:rPr>
      </w:pPr>
      <w:r w:rsidRPr="00AB44A9">
        <w:rPr>
          <w:b/>
          <w:lang w:val="en-GB"/>
        </w:rPr>
        <w:t>AND</w:t>
      </w:r>
    </w:p>
    <w:p w14:paraId="3D309AD5" w14:textId="77777777" w:rsidR="00C605DA" w:rsidRPr="00D6340F" w:rsidRDefault="00C605DA" w:rsidP="00AB44A9">
      <w:pPr>
        <w:pStyle w:val="ep4"/>
        <w:tabs>
          <w:tab w:val="clear" w:pos="360"/>
          <w:tab w:val="num" w:pos="284"/>
        </w:tabs>
        <w:rPr>
          <w:lang w:val="en-GB"/>
        </w:rPr>
      </w:pPr>
      <w:r w:rsidRPr="00D6340F">
        <w:rPr>
          <w:lang w:val="en-GB"/>
        </w:rPr>
        <w:t>Calcium, elemental, oral, 500–1 500 mg daily in divided doses.</w:t>
      </w:r>
    </w:p>
    <w:p w14:paraId="0CB0B0DA" w14:textId="77777777" w:rsidR="00C605DA" w:rsidRPr="000E453D" w:rsidRDefault="00C605DA" w:rsidP="00C605DA">
      <w:pPr>
        <w:rPr>
          <w:rFonts w:cs="Arial"/>
          <w:lang w:val="en-GB"/>
        </w:rPr>
      </w:pPr>
    </w:p>
    <w:p w14:paraId="717D5C01" w14:textId="77777777" w:rsidR="00C605DA" w:rsidRPr="00D6340F" w:rsidRDefault="00C605DA" w:rsidP="00C605DA">
      <w:pPr>
        <w:rPr>
          <w:rFonts w:cs="Arial"/>
          <w:lang w:val="en-GB"/>
        </w:rPr>
      </w:pPr>
      <w:r w:rsidRPr="00D6340F">
        <w:rPr>
          <w:rFonts w:cs="Arial"/>
          <w:lang w:val="en-GB"/>
        </w:rPr>
        <w:t xml:space="preserve">Correct </w:t>
      </w:r>
      <w:r w:rsidR="00407C61" w:rsidRPr="00D6340F">
        <w:rPr>
          <w:rFonts w:cs="Arial"/>
          <w:lang w:val="en-GB"/>
        </w:rPr>
        <w:t>magnesium deficiency if present.</w:t>
      </w:r>
      <w:r w:rsidR="00461F5C">
        <w:rPr>
          <w:rFonts w:cs="Arial"/>
          <w:lang w:val="en-GB"/>
        </w:rPr>
        <w:t xml:space="preserve"> </w:t>
      </w:r>
    </w:p>
    <w:p w14:paraId="713F9722" w14:textId="77777777" w:rsidR="00763499" w:rsidRPr="0074749A" w:rsidRDefault="00763499" w:rsidP="00171807">
      <w:pPr>
        <w:pStyle w:val="ListParagraph"/>
        <w:spacing w:line="240" w:lineRule="auto"/>
        <w:ind w:left="768"/>
        <w:rPr>
          <w:rFonts w:ascii="Arial" w:hAnsi="Arial" w:cs="Arial"/>
          <w:bCs/>
          <w:sz w:val="18"/>
          <w:szCs w:val="18"/>
          <w:lang w:val="en-GB"/>
        </w:rPr>
      </w:pPr>
    </w:p>
    <w:p w14:paraId="2F95EE76" w14:textId="77777777" w:rsidR="00C605DA" w:rsidRPr="00D6340F" w:rsidRDefault="00C605DA" w:rsidP="00C605DA">
      <w:pPr>
        <w:rPr>
          <w:rFonts w:cs="Arial"/>
          <w:u w:val="single"/>
          <w:lang w:val="en-GB"/>
        </w:rPr>
      </w:pPr>
      <w:r w:rsidRPr="00D6340F">
        <w:rPr>
          <w:rFonts w:cs="Arial"/>
          <w:u w:val="single"/>
          <w:lang w:val="en-GB" w:eastAsia="en-ZA"/>
        </w:rPr>
        <w:t>Renal failure:</w:t>
      </w:r>
    </w:p>
    <w:p w14:paraId="25E9E921" w14:textId="21F9DD67" w:rsidR="00C605DA" w:rsidRPr="00D6340F" w:rsidRDefault="00C605DA" w:rsidP="005F039D">
      <w:pPr>
        <w:pStyle w:val="Bullet1"/>
        <w:rPr>
          <w:lang w:val="en-GB"/>
        </w:rPr>
      </w:pPr>
      <w:r w:rsidRPr="00D6340F">
        <w:rPr>
          <w:lang w:val="en-GB"/>
        </w:rPr>
        <w:t xml:space="preserve">See </w:t>
      </w:r>
      <w:r w:rsidR="002840C6">
        <w:rPr>
          <w:lang w:val="en-GB"/>
        </w:rPr>
        <w:t>Section</w:t>
      </w:r>
      <w:r w:rsidRPr="00D6340F">
        <w:rPr>
          <w:lang w:val="en-GB"/>
        </w:rPr>
        <w:t xml:space="preserve">: 7.1.1 </w:t>
      </w:r>
      <w:proofErr w:type="gramStart"/>
      <w:r w:rsidRPr="00D6340F">
        <w:rPr>
          <w:lang w:val="en-GB"/>
        </w:rPr>
        <w:t>Chronic Kidney Disease</w:t>
      </w:r>
      <w:proofErr w:type="gramEnd"/>
      <w:r w:rsidRPr="00D6340F">
        <w:rPr>
          <w:lang w:val="en-GB"/>
        </w:rPr>
        <w:t xml:space="preserve"> (CKD).</w:t>
      </w:r>
    </w:p>
    <w:p w14:paraId="19A15CAD" w14:textId="77777777" w:rsidR="006A7E1A" w:rsidRPr="00D6340F" w:rsidRDefault="006A7E1A" w:rsidP="00C605DA">
      <w:pPr>
        <w:pStyle w:val="Heading5"/>
        <w:rPr>
          <w:rFonts w:cs="Arial"/>
          <w:b w:val="0"/>
          <w:sz w:val="16"/>
          <w:lang w:val="en-GB"/>
        </w:rPr>
      </w:pPr>
    </w:p>
    <w:p w14:paraId="5E6D0979" w14:textId="77777777" w:rsidR="00C605DA" w:rsidRPr="00D6340F" w:rsidRDefault="00C605DA" w:rsidP="00C605DA">
      <w:pPr>
        <w:pStyle w:val="Heading5"/>
        <w:rPr>
          <w:rFonts w:cs="Arial"/>
          <w:lang w:val="en-GB"/>
        </w:rPr>
      </w:pPr>
      <w:r w:rsidRPr="00D6340F">
        <w:rPr>
          <w:rFonts w:cs="Arial"/>
          <w:lang w:val="en-GB"/>
        </w:rPr>
        <w:t>REFERRAL</w:t>
      </w:r>
    </w:p>
    <w:p w14:paraId="181162BE" w14:textId="77777777" w:rsidR="0036185F" w:rsidRPr="00D6340F" w:rsidRDefault="00C605DA" w:rsidP="007E4E67">
      <w:pPr>
        <w:pStyle w:val="ep0"/>
        <w:numPr>
          <w:ilvl w:val="0"/>
          <w:numId w:val="37"/>
        </w:numPr>
        <w:ind w:left="284" w:hanging="284"/>
        <w:rPr>
          <w:rFonts w:cs="Arial"/>
          <w:strike w:val="0"/>
          <w:lang w:val="en-GB"/>
        </w:rPr>
      </w:pPr>
      <w:r w:rsidRPr="00D6340F">
        <w:rPr>
          <w:rFonts w:cs="Arial"/>
          <w:strike w:val="0"/>
          <w:lang w:val="en-GB"/>
        </w:rPr>
        <w:t>If cause is uncertain.</w:t>
      </w:r>
    </w:p>
    <w:p w14:paraId="6E05C932" w14:textId="77777777" w:rsidR="0036185F" w:rsidRPr="00D6340F" w:rsidRDefault="00C605DA" w:rsidP="007E4E67">
      <w:pPr>
        <w:pStyle w:val="ep0"/>
        <w:numPr>
          <w:ilvl w:val="0"/>
          <w:numId w:val="37"/>
        </w:numPr>
        <w:ind w:left="284" w:hanging="284"/>
        <w:rPr>
          <w:rFonts w:cs="Arial"/>
          <w:strike w:val="0"/>
          <w:lang w:val="en-GB"/>
        </w:rPr>
      </w:pPr>
      <w:r w:rsidRPr="00D6340F">
        <w:rPr>
          <w:rFonts w:cs="Arial"/>
          <w:strike w:val="0"/>
          <w:lang w:val="en-GB"/>
        </w:rPr>
        <w:t xml:space="preserve">If hypoparathyroidism suspected and PTH analysis required as above. </w:t>
      </w:r>
    </w:p>
    <w:p w14:paraId="6F046983" w14:textId="77777777" w:rsidR="00FE7F91" w:rsidRPr="00D6340F" w:rsidRDefault="00FE7F91" w:rsidP="00FE7F91">
      <w:pPr>
        <w:pStyle w:val="ep0"/>
        <w:rPr>
          <w:rFonts w:cs="Arial"/>
          <w:strike w:val="0"/>
          <w:lang w:val="en-GB"/>
        </w:rPr>
      </w:pPr>
    </w:p>
    <w:p w14:paraId="1750CB97" w14:textId="77777777" w:rsidR="00FC265C" w:rsidRPr="00D6340F" w:rsidRDefault="00FC265C" w:rsidP="00FE7F91">
      <w:pPr>
        <w:pStyle w:val="ep0"/>
        <w:rPr>
          <w:rFonts w:cs="Arial"/>
          <w:strike w:val="0"/>
          <w:lang w:val="en-GB"/>
        </w:rPr>
      </w:pPr>
    </w:p>
    <w:p w14:paraId="119F2338" w14:textId="77777777" w:rsidR="00C605DA" w:rsidRPr="00D6340F" w:rsidRDefault="00C605DA" w:rsidP="00C605DA">
      <w:pPr>
        <w:pStyle w:val="Heading1"/>
        <w:rPr>
          <w:rFonts w:cs="Arial"/>
          <w:lang w:val="en-GB"/>
        </w:rPr>
      </w:pPr>
      <w:bookmarkStart w:id="6" w:name="_Toc417984431"/>
      <w:bookmarkStart w:id="7" w:name="_Toc433976309"/>
      <w:bookmarkStart w:id="8" w:name="_Toc434078352"/>
      <w:r w:rsidRPr="00D6340F">
        <w:rPr>
          <w:rFonts w:cs="Arial"/>
          <w:lang w:val="en-GB"/>
        </w:rPr>
        <w:t>8.11 HYPOTHYROIDISM</w:t>
      </w:r>
      <w:bookmarkEnd w:id="6"/>
      <w:bookmarkEnd w:id="7"/>
      <w:bookmarkEnd w:id="8"/>
    </w:p>
    <w:p w14:paraId="2116DA23" w14:textId="77777777" w:rsidR="00C605DA" w:rsidRPr="00D6340F" w:rsidRDefault="00C605DA" w:rsidP="00C02921">
      <w:pPr>
        <w:pStyle w:val="Heading4"/>
      </w:pPr>
      <w:r w:rsidRPr="00D6340F">
        <w:t>E03.</w:t>
      </w:r>
      <w:r w:rsidR="00904B36">
        <w:t>0-5/E03.8-9</w:t>
      </w:r>
    </w:p>
    <w:p w14:paraId="04BB2C70" w14:textId="77777777" w:rsidR="00C605DA" w:rsidRPr="00D6340F" w:rsidRDefault="00C605DA" w:rsidP="00C605DA">
      <w:pPr>
        <w:rPr>
          <w:rFonts w:cs="Arial"/>
          <w:lang w:val="en-GB"/>
        </w:rPr>
      </w:pPr>
    </w:p>
    <w:p w14:paraId="1BA46F40" w14:textId="77777777" w:rsidR="00C605DA" w:rsidRPr="00D6340F" w:rsidRDefault="00C605DA" w:rsidP="00C605DA">
      <w:pPr>
        <w:rPr>
          <w:rFonts w:cs="Arial"/>
          <w:b/>
          <w:sz w:val="20"/>
          <w:szCs w:val="20"/>
          <w:lang w:val="en-GB"/>
        </w:rPr>
      </w:pPr>
      <w:r w:rsidRPr="00D6340F">
        <w:rPr>
          <w:rFonts w:cs="Arial"/>
          <w:b/>
          <w:sz w:val="20"/>
          <w:szCs w:val="20"/>
          <w:lang w:val="en-GB"/>
        </w:rPr>
        <w:t>DESCRIPTION</w:t>
      </w:r>
    </w:p>
    <w:p w14:paraId="0E4CA453" w14:textId="77777777" w:rsidR="00C605DA" w:rsidRPr="00D6340F" w:rsidRDefault="00C605DA" w:rsidP="00C605DA">
      <w:pPr>
        <w:pStyle w:val="Heading6"/>
        <w:rPr>
          <w:rFonts w:cs="Arial"/>
        </w:rPr>
      </w:pPr>
      <w:r w:rsidRPr="00D6340F">
        <w:rPr>
          <w:rFonts w:cs="Arial"/>
        </w:rPr>
        <w:t>Causes</w:t>
      </w:r>
    </w:p>
    <w:p w14:paraId="2D48AEDD" w14:textId="77777777" w:rsidR="00C605DA" w:rsidRPr="00D6340F" w:rsidRDefault="00C605DA" w:rsidP="00C605DA">
      <w:pPr>
        <w:rPr>
          <w:rFonts w:cs="Arial"/>
          <w:lang w:val="en-GB"/>
        </w:rPr>
      </w:pPr>
      <w:r w:rsidRPr="00D6340F">
        <w:rPr>
          <w:rFonts w:cs="Arial"/>
          <w:lang w:val="en-GB"/>
        </w:rPr>
        <w:t>Common causes of primary hypothyroidism are:</w:t>
      </w:r>
    </w:p>
    <w:p w14:paraId="58691C4A" w14:textId="77777777" w:rsidR="0036185F" w:rsidRPr="00D6340F" w:rsidRDefault="007B1AF8" w:rsidP="007E4E67">
      <w:pPr>
        <w:numPr>
          <w:ilvl w:val="0"/>
          <w:numId w:val="38"/>
        </w:numPr>
        <w:ind w:left="284" w:hanging="284"/>
        <w:rPr>
          <w:rFonts w:cs="Arial"/>
          <w:lang w:val="en-GB"/>
        </w:rPr>
      </w:pPr>
      <w:r w:rsidRPr="00D6340F">
        <w:rPr>
          <w:rFonts w:cs="Arial"/>
          <w:lang w:val="en-GB"/>
        </w:rPr>
        <w:t>c</w:t>
      </w:r>
      <w:r w:rsidR="001264CD" w:rsidRPr="00D6340F">
        <w:rPr>
          <w:rFonts w:cs="Arial"/>
          <w:lang w:val="en-GB"/>
        </w:rPr>
        <w:t xml:space="preserve">hronic autoimmune </w:t>
      </w:r>
      <w:r w:rsidR="00C605DA" w:rsidRPr="00D6340F">
        <w:rPr>
          <w:rFonts w:cs="Arial"/>
          <w:lang w:val="en-GB"/>
        </w:rPr>
        <w:t xml:space="preserve">thyroiditis, </w:t>
      </w:r>
    </w:p>
    <w:p w14:paraId="536F3213" w14:textId="77777777" w:rsidR="0036185F" w:rsidRPr="00D6340F" w:rsidRDefault="00917115" w:rsidP="007E4E67">
      <w:pPr>
        <w:numPr>
          <w:ilvl w:val="0"/>
          <w:numId w:val="38"/>
        </w:numPr>
        <w:ind w:left="284" w:hanging="284"/>
        <w:rPr>
          <w:rFonts w:cs="Arial"/>
          <w:lang w:val="en-GB"/>
        </w:rPr>
      </w:pPr>
      <w:r w:rsidRPr="00D6340F">
        <w:rPr>
          <w:rFonts w:cs="Arial"/>
          <w:lang w:val="en-GB"/>
        </w:rPr>
        <w:t>post-surgery</w:t>
      </w:r>
      <w:r w:rsidR="00C605DA" w:rsidRPr="00D6340F">
        <w:rPr>
          <w:rFonts w:cs="Arial"/>
          <w:lang w:val="en-GB"/>
        </w:rPr>
        <w:t xml:space="preserve">, and </w:t>
      </w:r>
    </w:p>
    <w:p w14:paraId="6BE0F205" w14:textId="77777777" w:rsidR="0036185F" w:rsidRPr="00D6340F" w:rsidRDefault="00C605DA" w:rsidP="007E4E67">
      <w:pPr>
        <w:numPr>
          <w:ilvl w:val="0"/>
          <w:numId w:val="38"/>
        </w:numPr>
        <w:ind w:left="284" w:hanging="284"/>
        <w:rPr>
          <w:rFonts w:cs="Arial"/>
          <w:lang w:val="en-GB"/>
        </w:rPr>
      </w:pPr>
      <w:r w:rsidRPr="00D6340F">
        <w:rPr>
          <w:rFonts w:cs="Arial"/>
          <w:lang w:val="en-GB"/>
        </w:rPr>
        <w:t>post radio-active iodine.</w:t>
      </w:r>
    </w:p>
    <w:p w14:paraId="2FB191F8" w14:textId="77777777" w:rsidR="00C605DA" w:rsidRPr="00D6340F" w:rsidRDefault="00C605DA" w:rsidP="00C605DA">
      <w:pPr>
        <w:rPr>
          <w:rFonts w:cs="Arial"/>
          <w:lang w:val="en-GB"/>
        </w:rPr>
      </w:pPr>
      <w:r w:rsidRPr="00D6340F">
        <w:rPr>
          <w:rFonts w:cs="Arial"/>
          <w:lang w:val="en-GB"/>
        </w:rPr>
        <w:t>Secondary hypothyroidism (less than 1% of cases) may be due to any cause of anterior hypopituitarism.</w:t>
      </w:r>
    </w:p>
    <w:p w14:paraId="4A399D27" w14:textId="77777777" w:rsidR="00C605DA" w:rsidRPr="00D6340F" w:rsidRDefault="00C605DA" w:rsidP="00C605DA">
      <w:pPr>
        <w:rPr>
          <w:rFonts w:cs="Arial"/>
          <w:sz w:val="14"/>
          <w:lang w:val="en-GB"/>
        </w:rPr>
      </w:pPr>
    </w:p>
    <w:p w14:paraId="1F4EB4A4" w14:textId="77777777" w:rsidR="00C605DA" w:rsidRPr="00D6340F" w:rsidRDefault="00C605DA" w:rsidP="00C605DA">
      <w:pPr>
        <w:pStyle w:val="Heading6"/>
        <w:rPr>
          <w:rFonts w:cs="Arial"/>
        </w:rPr>
      </w:pPr>
      <w:r w:rsidRPr="00D6340F">
        <w:rPr>
          <w:rFonts w:cs="Arial"/>
        </w:rPr>
        <w:lastRenderedPageBreak/>
        <w:t>Investigations</w:t>
      </w:r>
    </w:p>
    <w:p w14:paraId="2974B865" w14:textId="3A0923AF" w:rsidR="007B1AF8" w:rsidRDefault="00C605DA" w:rsidP="007B1AF8">
      <w:pPr>
        <w:rPr>
          <w:rFonts w:cs="Arial"/>
          <w:lang w:val="en-GB"/>
        </w:rPr>
      </w:pPr>
      <w:r w:rsidRPr="00D6340F">
        <w:rPr>
          <w:rFonts w:cs="Arial"/>
          <w:lang w:val="en-GB"/>
        </w:rPr>
        <w:t>Thyroid stimulating hormone (TSH) and thyroxine (T</w:t>
      </w:r>
      <w:r w:rsidRPr="00D6340F">
        <w:rPr>
          <w:rFonts w:cs="Arial"/>
          <w:vertAlign w:val="subscript"/>
          <w:lang w:val="en-GB"/>
        </w:rPr>
        <w:t>4</w:t>
      </w:r>
      <w:r w:rsidRPr="00D6340F">
        <w:rPr>
          <w:rFonts w:cs="Arial"/>
          <w:lang w:val="en-GB"/>
        </w:rPr>
        <w:t>) initially.</w:t>
      </w:r>
      <w:r w:rsidR="007B1AF8" w:rsidRPr="00D6340F">
        <w:rPr>
          <w:rFonts w:cs="Arial"/>
          <w:lang w:val="en-GB"/>
        </w:rPr>
        <w:t xml:space="preserve"> In primary hypothyroidism TSH is elevated and T</w:t>
      </w:r>
      <w:r w:rsidR="00943DA4" w:rsidRPr="00D6340F">
        <w:rPr>
          <w:rFonts w:cs="Arial"/>
          <w:vertAlign w:val="subscript"/>
          <w:lang w:val="en-GB"/>
        </w:rPr>
        <w:t>4</w:t>
      </w:r>
      <w:r w:rsidR="007B1AF8" w:rsidRPr="00D6340F">
        <w:rPr>
          <w:rFonts w:cs="Arial"/>
          <w:lang w:val="en-GB"/>
        </w:rPr>
        <w:t xml:space="preserve"> is low.</w:t>
      </w:r>
      <w:r w:rsidR="00E066CB">
        <w:rPr>
          <w:rFonts w:cs="Arial"/>
          <w:lang w:val="en-GB"/>
        </w:rPr>
        <w:t xml:space="preserve"> </w:t>
      </w:r>
      <w:r w:rsidR="007B1AF8" w:rsidRPr="00D6340F">
        <w:rPr>
          <w:rFonts w:cs="Arial"/>
          <w:lang w:val="en-GB"/>
        </w:rPr>
        <w:t>If TSH is normal or slightly elevated and T</w:t>
      </w:r>
      <w:r w:rsidR="007B1AF8" w:rsidRPr="00D6340F">
        <w:rPr>
          <w:rFonts w:cs="Arial"/>
          <w:vertAlign w:val="subscript"/>
          <w:lang w:val="en-GB"/>
        </w:rPr>
        <w:t>4</w:t>
      </w:r>
      <w:r w:rsidR="007B1AF8" w:rsidRPr="00D6340F">
        <w:rPr>
          <w:rFonts w:cs="Arial"/>
          <w:lang w:val="en-GB"/>
        </w:rPr>
        <w:t xml:space="preserve"> is low this suggests hypopituitarism: take blood for cortisol and ACTH, give hydrocortisone replacement before starting levothyroxine and investigate for causes of hypopituitarism.</w:t>
      </w:r>
    </w:p>
    <w:p w14:paraId="0BAABD01" w14:textId="77777777" w:rsidR="00C02EBC" w:rsidRPr="00D6340F" w:rsidRDefault="00C02EBC" w:rsidP="007B1AF8">
      <w:pPr>
        <w:rPr>
          <w:rFonts w:cs="Arial"/>
          <w:lang w:val="en-GB"/>
        </w:rPr>
      </w:pPr>
    </w:p>
    <w:p w14:paraId="7DD2B2BC" w14:textId="77777777" w:rsidR="00C605DA" w:rsidRPr="00D6340F" w:rsidRDefault="00C605DA" w:rsidP="00C605DA">
      <w:pPr>
        <w:pStyle w:val="Heading5"/>
        <w:rPr>
          <w:rFonts w:cs="Arial"/>
          <w:lang w:val="en-GB"/>
        </w:rPr>
      </w:pPr>
      <w:r w:rsidRPr="00D6340F">
        <w:rPr>
          <w:rFonts w:cs="Arial"/>
          <w:lang w:val="en-GB"/>
        </w:rPr>
        <w:t>MEDICINE TREATMENT</w:t>
      </w:r>
    </w:p>
    <w:p w14:paraId="171FD168" w14:textId="666FB843" w:rsidR="00C605DA" w:rsidRPr="00D6340F" w:rsidRDefault="00C605DA" w:rsidP="008D12B0">
      <w:pPr>
        <w:pStyle w:val="ep4"/>
        <w:tabs>
          <w:tab w:val="clear" w:pos="360"/>
          <w:tab w:val="num" w:pos="284"/>
        </w:tabs>
        <w:ind w:left="360" w:hanging="360"/>
        <w:rPr>
          <w:lang w:val="en-GB"/>
        </w:rPr>
      </w:pPr>
      <w:r w:rsidRPr="00D6340F">
        <w:rPr>
          <w:lang w:val="en-GB"/>
        </w:rPr>
        <w:t>Levothyroxine, oral, 100 mcg</w:t>
      </w:r>
      <w:r w:rsidR="00F05D50" w:rsidRPr="00D6340F">
        <w:rPr>
          <w:lang w:val="en-GB"/>
        </w:rPr>
        <w:t xml:space="preserve"> </w:t>
      </w:r>
      <w:r w:rsidRPr="00D6340F">
        <w:rPr>
          <w:lang w:val="en-GB"/>
        </w:rPr>
        <w:t>daily.</w:t>
      </w:r>
    </w:p>
    <w:p w14:paraId="3AB1470B" w14:textId="77777777" w:rsidR="0036185F" w:rsidRPr="00D6340F" w:rsidRDefault="00CF1E5F" w:rsidP="007E4E67">
      <w:pPr>
        <w:numPr>
          <w:ilvl w:val="0"/>
          <w:numId w:val="39"/>
        </w:numPr>
        <w:ind w:left="567" w:hanging="283"/>
        <w:rPr>
          <w:rFonts w:cs="Arial"/>
          <w:lang w:val="en-GB"/>
        </w:rPr>
      </w:pPr>
      <w:r w:rsidRPr="00D6340F">
        <w:rPr>
          <w:rFonts w:cs="Arial"/>
          <w:lang w:val="en-GB"/>
        </w:rPr>
        <w:t>If</w:t>
      </w:r>
      <w:r w:rsidR="00C605DA" w:rsidRPr="00D6340F">
        <w:rPr>
          <w:rFonts w:cs="Arial"/>
          <w:lang w:val="en-GB"/>
        </w:rPr>
        <w:t xml:space="preserve"> there is a risk of ischaemic heart disease, start at 25 mcg daily and increase by 25 mcg every </w:t>
      </w:r>
      <w:r w:rsidRPr="00D6340F">
        <w:rPr>
          <w:rFonts w:cs="Arial"/>
          <w:lang w:val="en-GB"/>
        </w:rPr>
        <w:t>4</w:t>
      </w:r>
      <w:r w:rsidR="00C605DA" w:rsidRPr="00D6340F">
        <w:rPr>
          <w:rFonts w:cs="Arial"/>
          <w:lang w:val="en-GB"/>
        </w:rPr>
        <w:t xml:space="preserve"> weeks.</w:t>
      </w:r>
    </w:p>
    <w:p w14:paraId="3DFF36AE" w14:textId="77777777" w:rsidR="00C4050E" w:rsidRPr="00D6340F" w:rsidRDefault="00C4050E" w:rsidP="00C4050E">
      <w:pPr>
        <w:rPr>
          <w:rFonts w:cs="Arial"/>
          <w:sz w:val="10"/>
          <w:lang w:val="en-GB"/>
        </w:rPr>
      </w:pPr>
    </w:p>
    <w:p w14:paraId="02E18835" w14:textId="77777777" w:rsidR="00C605DA" w:rsidRPr="00D6340F" w:rsidRDefault="00C605DA" w:rsidP="00C605DA">
      <w:pPr>
        <w:rPr>
          <w:rFonts w:cs="Arial"/>
          <w:lang w:val="en-GB"/>
        </w:rPr>
      </w:pPr>
      <w:r w:rsidRPr="00D6340F">
        <w:rPr>
          <w:rFonts w:cs="Arial"/>
          <w:lang w:val="en-GB"/>
        </w:rPr>
        <w:t>Check TSH and T</w:t>
      </w:r>
      <w:r w:rsidRPr="00D6340F">
        <w:rPr>
          <w:rFonts w:cs="Arial"/>
          <w:vertAlign w:val="subscript"/>
          <w:lang w:val="en-GB"/>
        </w:rPr>
        <w:t>4</w:t>
      </w:r>
      <w:r w:rsidRPr="00D6340F">
        <w:rPr>
          <w:rFonts w:cs="Arial"/>
          <w:lang w:val="en-GB"/>
        </w:rPr>
        <w:t xml:space="preserve"> after 2–3 months and adjust dose if required.</w:t>
      </w:r>
    </w:p>
    <w:p w14:paraId="21330850" w14:textId="77777777" w:rsidR="00C605DA" w:rsidRPr="00D6340F" w:rsidRDefault="00C605DA" w:rsidP="00C605DA">
      <w:pPr>
        <w:rPr>
          <w:rFonts w:cs="Arial"/>
          <w:lang w:val="en-GB"/>
        </w:rPr>
      </w:pPr>
      <w:r w:rsidRPr="00D6340F">
        <w:rPr>
          <w:rFonts w:cs="Arial"/>
          <w:lang w:val="en-GB"/>
        </w:rPr>
        <w:t>TSH levels will take several weeks to stabilise. Once stable check T</w:t>
      </w:r>
      <w:r w:rsidRPr="00D6340F">
        <w:rPr>
          <w:rFonts w:cs="Arial"/>
          <w:vertAlign w:val="subscript"/>
          <w:lang w:val="en-GB"/>
        </w:rPr>
        <w:t>4</w:t>
      </w:r>
      <w:r w:rsidRPr="00D6340F">
        <w:rPr>
          <w:rFonts w:cs="Arial"/>
          <w:lang w:val="en-GB"/>
        </w:rPr>
        <w:t xml:space="preserve"> and TSH annually.</w:t>
      </w:r>
    </w:p>
    <w:p w14:paraId="3DD29B3D" w14:textId="77777777" w:rsidR="00C605DA" w:rsidRPr="00D6340F" w:rsidRDefault="00C605DA" w:rsidP="00C605DA">
      <w:pPr>
        <w:rPr>
          <w:rFonts w:cs="Arial"/>
          <w:sz w:val="14"/>
          <w:lang w:val="en-GB"/>
        </w:rPr>
      </w:pPr>
    </w:p>
    <w:p w14:paraId="539A4A27" w14:textId="77777777" w:rsidR="00C605DA" w:rsidRPr="00D6340F" w:rsidRDefault="00C605DA" w:rsidP="00C605DA">
      <w:pPr>
        <w:pStyle w:val="Heading6"/>
        <w:rPr>
          <w:rFonts w:cs="Arial"/>
        </w:rPr>
      </w:pPr>
      <w:r w:rsidRPr="00D6340F">
        <w:rPr>
          <w:rFonts w:cs="Arial"/>
        </w:rPr>
        <w:t>Hypothyroidism in pregnancy</w:t>
      </w:r>
    </w:p>
    <w:p w14:paraId="611B8F96" w14:textId="48EA6754" w:rsidR="00C605DA" w:rsidRPr="00D6340F" w:rsidRDefault="00CF1E5F" w:rsidP="00C605DA">
      <w:pPr>
        <w:rPr>
          <w:rFonts w:cs="Arial"/>
          <w:lang w:val="en-GB"/>
        </w:rPr>
      </w:pPr>
      <w:r w:rsidRPr="00D6340F">
        <w:rPr>
          <w:rFonts w:cs="Arial"/>
          <w:lang w:val="en-GB"/>
        </w:rPr>
        <w:t>About 60% of hypothyroid</w:t>
      </w:r>
      <w:r w:rsidR="001627F3" w:rsidRPr="00D6340F">
        <w:rPr>
          <w:rFonts w:cs="Arial"/>
          <w:lang w:val="en-GB"/>
        </w:rPr>
        <w:t xml:space="preserve"> pregnant </w:t>
      </w:r>
      <w:r w:rsidRPr="00D6340F">
        <w:rPr>
          <w:rFonts w:cs="Arial"/>
          <w:lang w:val="en-GB"/>
        </w:rPr>
        <w:t xml:space="preserve">women need an increase in </w:t>
      </w:r>
      <w:r w:rsidR="008F0353" w:rsidRPr="00D6340F">
        <w:rPr>
          <w:rFonts w:cs="Arial"/>
          <w:lang w:val="en-GB"/>
        </w:rPr>
        <w:t>levothyroxine</w:t>
      </w:r>
      <w:r w:rsidR="00E066CB">
        <w:rPr>
          <w:rFonts w:cs="Arial"/>
          <w:lang w:val="en-GB"/>
        </w:rPr>
        <w:t xml:space="preserve"> </w:t>
      </w:r>
      <w:r w:rsidRPr="00D6340F">
        <w:rPr>
          <w:rFonts w:cs="Arial"/>
          <w:lang w:val="en-GB"/>
        </w:rPr>
        <w:t>therapy in the second and third trimesters.</w:t>
      </w:r>
      <w:r w:rsidR="00E066CB">
        <w:rPr>
          <w:rFonts w:cs="Arial"/>
          <w:lang w:val="en-GB"/>
        </w:rPr>
        <w:t xml:space="preserve"> </w:t>
      </w:r>
      <w:r w:rsidR="00B645FC" w:rsidRPr="00D6340F">
        <w:rPr>
          <w:rFonts w:cs="Arial"/>
          <w:lang w:val="en-GB"/>
        </w:rPr>
        <w:t>Because T</w:t>
      </w:r>
      <w:r w:rsidR="00943DA4" w:rsidRPr="00D6340F">
        <w:rPr>
          <w:rFonts w:cs="Arial"/>
          <w:vertAlign w:val="subscript"/>
          <w:lang w:val="en-GB"/>
        </w:rPr>
        <w:t>4</w:t>
      </w:r>
      <w:r w:rsidR="00B645FC" w:rsidRPr="00D6340F">
        <w:rPr>
          <w:rFonts w:cs="Arial"/>
          <w:lang w:val="en-GB"/>
        </w:rPr>
        <w:t xml:space="preserve"> takes a long time to reach steady state and 1</w:t>
      </w:r>
      <w:r w:rsidR="00B645FC" w:rsidRPr="00D6340F">
        <w:rPr>
          <w:rFonts w:cs="Arial"/>
          <w:vertAlign w:val="superscript"/>
          <w:lang w:val="en-GB"/>
        </w:rPr>
        <w:t>st</w:t>
      </w:r>
      <w:r w:rsidR="00B645FC" w:rsidRPr="00D6340F">
        <w:rPr>
          <w:rFonts w:cs="Arial"/>
          <w:lang w:val="en-GB"/>
        </w:rPr>
        <w:t xml:space="preserve"> trimester hypothyroidism is undesirable for the </w:t>
      </w:r>
      <w:proofErr w:type="spellStart"/>
      <w:r w:rsidR="00B645FC" w:rsidRPr="00D6340F">
        <w:rPr>
          <w:rFonts w:cs="Arial"/>
          <w:lang w:val="en-GB"/>
        </w:rPr>
        <w:t>fetus</w:t>
      </w:r>
      <w:proofErr w:type="spellEnd"/>
      <w:r w:rsidR="00B645FC" w:rsidRPr="00D6340F">
        <w:rPr>
          <w:rFonts w:cs="Arial"/>
          <w:lang w:val="en-GB"/>
        </w:rPr>
        <w:t>, for p</w:t>
      </w:r>
      <w:r w:rsidR="00D60CED" w:rsidRPr="00D6340F">
        <w:rPr>
          <w:rFonts w:cs="Arial"/>
          <w:lang w:val="en-GB"/>
        </w:rPr>
        <w:t>a</w:t>
      </w:r>
      <w:r w:rsidR="00B645FC" w:rsidRPr="00D6340F">
        <w:rPr>
          <w:rFonts w:cs="Arial"/>
          <w:lang w:val="en-GB"/>
        </w:rPr>
        <w:t>t</w:t>
      </w:r>
      <w:r w:rsidR="00D60CED" w:rsidRPr="00D6340F">
        <w:rPr>
          <w:rFonts w:cs="Arial"/>
          <w:lang w:val="en-GB"/>
        </w:rPr>
        <w:t>ient</w:t>
      </w:r>
      <w:r w:rsidR="00B645FC" w:rsidRPr="00D6340F">
        <w:rPr>
          <w:rFonts w:cs="Arial"/>
          <w:lang w:val="en-GB"/>
        </w:rPr>
        <w:t>s with borderline control (TS</w:t>
      </w:r>
      <w:r w:rsidR="00D60CED" w:rsidRPr="00D6340F">
        <w:rPr>
          <w:rFonts w:cs="Arial"/>
          <w:lang w:val="en-GB"/>
        </w:rPr>
        <w:t>H</w:t>
      </w:r>
      <w:r w:rsidR="00B645FC" w:rsidRPr="00D6340F">
        <w:rPr>
          <w:rFonts w:cs="Arial"/>
          <w:lang w:val="en-GB"/>
        </w:rPr>
        <w:t>&gt;1.2</w:t>
      </w:r>
      <w:r w:rsidR="004C3115" w:rsidRPr="00D6340F">
        <w:rPr>
          <w:rFonts w:cs="Arial"/>
          <w:color w:val="auto"/>
          <w:lang w:val="en-GB"/>
        </w:rPr>
        <w:t>mU/</w:t>
      </w:r>
      <w:r w:rsidR="002240B9">
        <w:rPr>
          <w:rFonts w:cs="Arial"/>
          <w:color w:val="auto"/>
          <w:lang w:val="en-GB"/>
        </w:rPr>
        <w:t>L</w:t>
      </w:r>
      <w:r w:rsidR="00B645FC" w:rsidRPr="00D6340F">
        <w:rPr>
          <w:rFonts w:cs="Arial"/>
          <w:color w:val="auto"/>
          <w:lang w:val="en-GB"/>
        </w:rPr>
        <w:t xml:space="preserve">) </w:t>
      </w:r>
      <w:r w:rsidR="00B645FC" w:rsidRPr="00D6340F">
        <w:rPr>
          <w:rFonts w:cs="Arial"/>
          <w:lang w:val="en-GB"/>
        </w:rPr>
        <w:t>it is advisable to increase the pre-pregnancy dose by 30%.</w:t>
      </w:r>
      <w:r w:rsidR="00917115">
        <w:rPr>
          <w:rFonts w:cs="Arial"/>
          <w:lang w:val="en-GB"/>
        </w:rPr>
        <w:t xml:space="preserve"> </w:t>
      </w:r>
      <w:r w:rsidR="00DE4CA9" w:rsidRPr="00D6340F">
        <w:rPr>
          <w:rFonts w:cs="Arial"/>
          <w:lang w:val="en-GB"/>
        </w:rPr>
        <w:t>Check TSH monthly and increase levothyroxine doses to keep serum TSH levels low normal and free T</w:t>
      </w:r>
      <w:r w:rsidR="00DE4CA9" w:rsidRPr="00D6340F">
        <w:rPr>
          <w:rFonts w:cs="Arial"/>
          <w:vertAlign w:val="subscript"/>
          <w:lang w:val="en-GB"/>
        </w:rPr>
        <w:t>4</w:t>
      </w:r>
      <w:r w:rsidR="00DE4CA9" w:rsidRPr="00D6340F">
        <w:rPr>
          <w:rFonts w:cs="Arial"/>
          <w:lang w:val="en-GB"/>
        </w:rPr>
        <w:t xml:space="preserve"> levels in the high-normal</w:t>
      </w:r>
      <w:r w:rsidR="00E066CB">
        <w:rPr>
          <w:rFonts w:cs="Arial"/>
          <w:lang w:val="en-GB"/>
        </w:rPr>
        <w:t xml:space="preserve"> </w:t>
      </w:r>
      <w:r w:rsidR="00DE4CA9" w:rsidRPr="00D6340F">
        <w:rPr>
          <w:rFonts w:cs="Arial"/>
          <w:lang w:val="en-GB"/>
        </w:rPr>
        <w:t>range</w:t>
      </w:r>
      <w:r w:rsidR="00C605DA" w:rsidRPr="00D6340F">
        <w:rPr>
          <w:rFonts w:cs="Arial"/>
          <w:lang w:val="en-GB"/>
        </w:rPr>
        <w:t>. After delivery, revert to pre-conception doses.</w:t>
      </w:r>
    </w:p>
    <w:p w14:paraId="79604A07" w14:textId="77777777" w:rsidR="00D11BB6" w:rsidRPr="00D6340F" w:rsidRDefault="00255CEA" w:rsidP="00D11BB6">
      <w:pPr>
        <w:rPr>
          <w:rFonts w:cs="Arial"/>
          <w:color w:val="auto"/>
          <w:lang w:val="en-GB"/>
        </w:rPr>
      </w:pPr>
      <w:r w:rsidRPr="00D6340F">
        <w:rPr>
          <w:rFonts w:cs="Arial"/>
          <w:b/>
          <w:color w:val="auto"/>
          <w:lang w:val="en-GB"/>
        </w:rPr>
        <w:t>Note:</w:t>
      </w:r>
      <w:r w:rsidRPr="00D6340F">
        <w:rPr>
          <w:rFonts w:cs="Arial"/>
          <w:color w:val="auto"/>
          <w:lang w:val="en-GB"/>
        </w:rPr>
        <w:t xml:space="preserve"> TSH </w:t>
      </w:r>
      <w:r w:rsidR="00C81CB8" w:rsidRPr="00D6340F">
        <w:rPr>
          <w:rFonts w:cs="Arial"/>
          <w:color w:val="auto"/>
          <w:lang w:val="en-GB"/>
        </w:rPr>
        <w:t>and T</w:t>
      </w:r>
      <w:r w:rsidR="00C81CB8" w:rsidRPr="00D6340F">
        <w:rPr>
          <w:rFonts w:cs="Arial"/>
          <w:color w:val="auto"/>
          <w:vertAlign w:val="subscript"/>
          <w:lang w:val="en-GB"/>
        </w:rPr>
        <w:t>4</w:t>
      </w:r>
      <w:r w:rsidR="00F91EF2">
        <w:rPr>
          <w:rFonts w:cs="Arial"/>
          <w:color w:val="auto"/>
          <w:vertAlign w:val="subscript"/>
          <w:lang w:val="en-GB"/>
        </w:rPr>
        <w:t xml:space="preserve"> </w:t>
      </w:r>
      <w:r w:rsidRPr="00D6340F">
        <w:rPr>
          <w:rFonts w:cs="Arial"/>
          <w:color w:val="auto"/>
          <w:lang w:val="en-GB"/>
        </w:rPr>
        <w:t xml:space="preserve">reference range is </w:t>
      </w:r>
      <w:proofErr w:type="gramStart"/>
      <w:r w:rsidRPr="00D6340F">
        <w:rPr>
          <w:rFonts w:cs="Arial"/>
          <w:color w:val="auto"/>
          <w:lang w:val="en-GB"/>
        </w:rPr>
        <w:t>trimester-specific</w:t>
      </w:r>
      <w:proofErr w:type="gramEnd"/>
      <w:r w:rsidR="00C81CB8" w:rsidRPr="00D6340F">
        <w:rPr>
          <w:rFonts w:cs="Arial"/>
          <w:color w:val="auto"/>
          <w:lang w:val="en-GB"/>
        </w:rPr>
        <w:t>.</w:t>
      </w: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FC265C" w:rsidRPr="003A1339" w14:paraId="1A6833D4" w14:textId="77777777" w:rsidTr="00FC265C">
        <w:tc>
          <w:tcPr>
            <w:tcW w:w="1134" w:type="dxa"/>
            <w:shd w:val="clear" w:color="auto" w:fill="auto"/>
          </w:tcPr>
          <w:p w14:paraId="7E04D4E4" w14:textId="77777777" w:rsidR="00FC265C" w:rsidRPr="003A1339" w:rsidRDefault="00FC265C" w:rsidP="00FC265C">
            <w:pPr>
              <w:jc w:val="right"/>
              <w:rPr>
                <w:b/>
                <w:i/>
                <w:sz w:val="16"/>
                <w:lang w:val="en-GB"/>
              </w:rPr>
            </w:pPr>
            <w:proofErr w:type="spellStart"/>
            <w:proofErr w:type="gramStart"/>
            <w:r w:rsidRPr="003A1339">
              <w:rPr>
                <w:i/>
                <w:sz w:val="16"/>
                <w:lang w:val="en-GB"/>
              </w:rPr>
              <w:t>LoE:II</w:t>
            </w:r>
            <w:proofErr w:type="spellEnd"/>
            <w:proofErr w:type="gramEnd"/>
            <w:r w:rsidRPr="003A1339">
              <w:rPr>
                <w:rStyle w:val="EndnoteReference"/>
                <w:i/>
                <w:sz w:val="16"/>
                <w:lang w:val="en-GB"/>
              </w:rPr>
              <w:endnoteReference w:id="34"/>
            </w:r>
          </w:p>
        </w:tc>
      </w:tr>
    </w:tbl>
    <w:p w14:paraId="2A990F61" w14:textId="77777777" w:rsidR="009419BF" w:rsidRPr="00D6340F" w:rsidRDefault="009419BF" w:rsidP="00D11BB6">
      <w:pPr>
        <w:rPr>
          <w:rFonts w:cs="Arial"/>
          <w:lang w:val="en-GB"/>
        </w:rPr>
      </w:pPr>
    </w:p>
    <w:p w14:paraId="4CEFBB07" w14:textId="77777777" w:rsidR="00C81CB8" w:rsidRPr="00D6340F" w:rsidRDefault="00C81CB8" w:rsidP="00D11BB6">
      <w:pPr>
        <w:rPr>
          <w:rFonts w:cs="Arial"/>
          <w:lang w:val="en-GB"/>
        </w:rPr>
      </w:pPr>
    </w:p>
    <w:p w14:paraId="23E6DDA0" w14:textId="77777777" w:rsidR="00D11BB6" w:rsidRPr="00D6340F" w:rsidRDefault="00D11BB6" w:rsidP="00D11BB6">
      <w:pPr>
        <w:pStyle w:val="Heading1"/>
        <w:rPr>
          <w:rFonts w:cs="Arial"/>
          <w:sz w:val="22"/>
          <w:szCs w:val="22"/>
          <w:lang w:val="en-GB"/>
        </w:rPr>
      </w:pPr>
      <w:r w:rsidRPr="00D6340F">
        <w:rPr>
          <w:rFonts w:cs="Arial"/>
          <w:sz w:val="22"/>
          <w:szCs w:val="22"/>
          <w:lang w:val="en-GB"/>
        </w:rPr>
        <w:t>8.12 OSTEOPOROSIS</w:t>
      </w:r>
    </w:p>
    <w:p w14:paraId="6AD1140C" w14:textId="77777777" w:rsidR="00D11BB6" w:rsidRPr="00D6340F" w:rsidRDefault="00904B36" w:rsidP="00C02921">
      <w:pPr>
        <w:pStyle w:val="Heading4"/>
      </w:pPr>
      <w:r>
        <w:t>M80.00-59/M80.80-99/M81.00-69/M81.80-99/M82.00-19/M82.80-89</w:t>
      </w:r>
    </w:p>
    <w:p w14:paraId="71FAF0CA" w14:textId="77777777" w:rsidR="00D11BB6" w:rsidRPr="00D6340F" w:rsidRDefault="00D11BB6" w:rsidP="00D11BB6">
      <w:pPr>
        <w:rPr>
          <w:rFonts w:cs="Arial"/>
          <w:lang w:val="en-GB"/>
        </w:rPr>
      </w:pPr>
    </w:p>
    <w:p w14:paraId="42F46CE5" w14:textId="77777777" w:rsidR="00D11BB6" w:rsidRPr="00D6340F" w:rsidRDefault="00D11BB6" w:rsidP="00D11BB6">
      <w:pPr>
        <w:pStyle w:val="Heading5"/>
        <w:rPr>
          <w:rFonts w:cs="Arial"/>
          <w:lang w:val="en-GB"/>
        </w:rPr>
      </w:pPr>
      <w:r w:rsidRPr="00D6340F">
        <w:rPr>
          <w:rFonts w:cs="Arial"/>
          <w:lang w:val="en-GB"/>
        </w:rPr>
        <w:t>DESCRIPTION</w:t>
      </w:r>
    </w:p>
    <w:p w14:paraId="36025C3E" w14:textId="77777777" w:rsidR="00D11BB6" w:rsidRPr="00D6340F" w:rsidRDefault="00D11BB6" w:rsidP="00D11BB6">
      <w:pPr>
        <w:rPr>
          <w:rFonts w:cs="Arial"/>
          <w:lang w:val="en-GB"/>
        </w:rPr>
      </w:pPr>
      <w:r w:rsidRPr="00D6340F">
        <w:rPr>
          <w:rFonts w:cs="Arial"/>
          <w:lang w:val="en-GB"/>
        </w:rPr>
        <w:t>A disease characterised by low bone mass and micro-architectural bone deterioration leading to bone fragility and increase in fracture risk.</w:t>
      </w:r>
    </w:p>
    <w:p w14:paraId="13998234" w14:textId="77777777" w:rsidR="00FE232C" w:rsidRPr="00D6340F" w:rsidRDefault="00FE232C" w:rsidP="00D11BB6">
      <w:pPr>
        <w:rPr>
          <w:rFonts w:cs="Arial"/>
          <w:lang w:val="en-GB"/>
        </w:rPr>
      </w:pPr>
    </w:p>
    <w:p w14:paraId="0324C9E7" w14:textId="77777777" w:rsidR="00D11BB6" w:rsidRPr="00D6340F" w:rsidRDefault="00D11BB6" w:rsidP="00D11BB6">
      <w:pPr>
        <w:rPr>
          <w:rFonts w:cs="Arial"/>
          <w:b/>
          <w:sz w:val="20"/>
          <w:szCs w:val="20"/>
          <w:lang w:val="en-GB"/>
        </w:rPr>
      </w:pPr>
      <w:r w:rsidRPr="00D6340F">
        <w:rPr>
          <w:rFonts w:cs="Arial"/>
          <w:b/>
          <w:sz w:val="20"/>
          <w:szCs w:val="20"/>
          <w:lang w:val="en-GB"/>
        </w:rPr>
        <w:t>GENERAL MEASURES</w:t>
      </w:r>
    </w:p>
    <w:p w14:paraId="3562618F" w14:textId="77777777" w:rsidR="00D11BB6" w:rsidRPr="00D6340F" w:rsidRDefault="00D11BB6" w:rsidP="00D11BB6">
      <w:pPr>
        <w:rPr>
          <w:rFonts w:cs="Arial"/>
          <w:b/>
          <w:lang w:val="en-GB"/>
        </w:rPr>
      </w:pPr>
      <w:r w:rsidRPr="00D6340F">
        <w:rPr>
          <w:rFonts w:cs="Arial"/>
          <w:b/>
          <w:lang w:val="en-GB"/>
        </w:rPr>
        <w:t>Prevention</w:t>
      </w:r>
    </w:p>
    <w:p w14:paraId="1A457F19" w14:textId="77777777" w:rsidR="00D11BB6" w:rsidRPr="00D6340F" w:rsidRDefault="00D11BB6" w:rsidP="00D11BB6">
      <w:pPr>
        <w:rPr>
          <w:rFonts w:cs="Arial"/>
          <w:lang w:val="en-GB"/>
        </w:rPr>
      </w:pPr>
      <w:r w:rsidRPr="00D6340F">
        <w:rPr>
          <w:rFonts w:cs="Arial"/>
          <w:lang w:val="en-GB"/>
        </w:rPr>
        <w:t>Adequate energy and protein intake.</w:t>
      </w:r>
    </w:p>
    <w:p w14:paraId="7729ABE2" w14:textId="77777777" w:rsidR="00D11BB6" w:rsidRPr="00D6340F" w:rsidRDefault="00D11BB6" w:rsidP="00D11BB6">
      <w:pPr>
        <w:rPr>
          <w:rFonts w:cs="Arial"/>
          <w:lang w:val="en-GB"/>
        </w:rPr>
      </w:pPr>
      <w:r w:rsidRPr="00D6340F">
        <w:rPr>
          <w:rFonts w:cs="Arial"/>
          <w:lang w:val="en-GB"/>
        </w:rPr>
        <w:t>Adequate dietary calcium intake (&gt;1 g/day) particularly in the young, in breastfeeding mothers and in the elderly.</w:t>
      </w:r>
      <w:r w:rsidR="00E066CB">
        <w:rPr>
          <w:rFonts w:cs="Arial"/>
          <w:lang w:val="en-GB"/>
        </w:rPr>
        <w:t xml:space="preserve"> </w:t>
      </w:r>
      <w:r w:rsidR="007511F7" w:rsidRPr="00D6340F">
        <w:rPr>
          <w:rFonts w:cs="Arial"/>
          <w:color w:val="auto"/>
          <w:lang w:val="en-GB"/>
        </w:rPr>
        <w:t>This is preferably obtained from a dietary source.</w:t>
      </w:r>
    </w:p>
    <w:p w14:paraId="14B3FA16" w14:textId="77777777" w:rsidR="00D11BB6" w:rsidRPr="00D6340F" w:rsidRDefault="00D11BB6" w:rsidP="00D11BB6">
      <w:pPr>
        <w:rPr>
          <w:rFonts w:cs="Arial"/>
          <w:lang w:val="en-GB"/>
        </w:rPr>
      </w:pPr>
      <w:r w:rsidRPr="00D6340F">
        <w:rPr>
          <w:rFonts w:cs="Arial"/>
          <w:lang w:val="en-GB"/>
        </w:rPr>
        <w:t xml:space="preserve">Weight bearing exercises, e.g. brisk </w:t>
      </w:r>
      <w:r w:rsidR="00917115" w:rsidRPr="00D6340F">
        <w:rPr>
          <w:rFonts w:cs="Arial"/>
          <w:lang w:val="en-GB"/>
        </w:rPr>
        <w:t>30-minute</w:t>
      </w:r>
      <w:r w:rsidRPr="00D6340F">
        <w:rPr>
          <w:rFonts w:cs="Arial"/>
          <w:lang w:val="en-GB"/>
        </w:rPr>
        <w:t xml:space="preserve"> walk 3 times a week.</w:t>
      </w:r>
    </w:p>
    <w:p w14:paraId="578DD091" w14:textId="77777777" w:rsidR="00D11BB6" w:rsidRPr="00D6340F" w:rsidRDefault="00D11BB6" w:rsidP="00D11BB6">
      <w:pPr>
        <w:rPr>
          <w:rFonts w:cs="Arial"/>
          <w:lang w:val="en-GB"/>
        </w:rPr>
      </w:pPr>
      <w:r w:rsidRPr="00D6340F">
        <w:rPr>
          <w:rFonts w:cs="Arial"/>
          <w:lang w:val="en-GB"/>
        </w:rPr>
        <w:t>Smoking cessation.</w:t>
      </w:r>
    </w:p>
    <w:p w14:paraId="76873BD1" w14:textId="59AB4FB1" w:rsidR="00443C7A" w:rsidRDefault="006A67C7" w:rsidP="00943CB0">
      <w:pPr>
        <w:rPr>
          <w:rFonts w:cs="Arial"/>
          <w:lang w:val="en-GB"/>
        </w:rPr>
      </w:pPr>
      <w:r>
        <w:rPr>
          <w:rFonts w:cs="Arial"/>
          <w:lang w:val="en-GB"/>
        </w:rPr>
        <w:t>Avoid excessive alcohol intake</w:t>
      </w:r>
      <w:r w:rsidR="003A7AC5">
        <w:rPr>
          <w:rFonts w:cs="Arial"/>
          <w:lang w:val="en-GB"/>
        </w:rPr>
        <w:t xml:space="preserve"> </w:t>
      </w:r>
      <w:r w:rsidR="00943CB0">
        <w:rPr>
          <w:rFonts w:cs="Arial"/>
          <w:lang w:val="en-GB"/>
        </w:rPr>
        <w:t xml:space="preserve">- </w:t>
      </w:r>
      <w:r w:rsidR="00943CB0" w:rsidRPr="00943CB0">
        <w:rPr>
          <w:rFonts w:cs="Arial"/>
          <w:lang w:val="en-GB"/>
        </w:rPr>
        <w:t xml:space="preserve">&gt;2 units daily </w:t>
      </w:r>
      <w:proofErr w:type="gramStart"/>
      <w:r w:rsidR="00943CB0" w:rsidRPr="00943CB0">
        <w:rPr>
          <w:rFonts w:cs="Arial"/>
          <w:lang w:val="en-GB"/>
        </w:rPr>
        <w:t>ha</w:t>
      </w:r>
      <w:r w:rsidR="00943CB0">
        <w:rPr>
          <w:rFonts w:cs="Arial"/>
          <w:lang w:val="en-GB"/>
        </w:rPr>
        <w:t>s</w:t>
      </w:r>
      <w:proofErr w:type="gramEnd"/>
      <w:r w:rsidR="003A7AC5">
        <w:rPr>
          <w:rFonts w:cs="Arial"/>
          <w:lang w:val="en-GB"/>
        </w:rPr>
        <w:t xml:space="preserve"> </w:t>
      </w:r>
      <w:r w:rsidR="00943CB0" w:rsidRPr="00943CB0">
        <w:rPr>
          <w:rFonts w:cs="Arial"/>
          <w:lang w:val="en-GB"/>
        </w:rPr>
        <w:t>a 40% increased risk of sustaining any osteoporotic fracture, compared to people wit</w:t>
      </w:r>
      <w:r w:rsidR="00943CB0">
        <w:rPr>
          <w:rFonts w:cs="Arial"/>
          <w:lang w:val="en-GB"/>
        </w:rPr>
        <w:t xml:space="preserve">h moderate or no </w:t>
      </w:r>
      <w:r w:rsidR="00AD7703">
        <w:rPr>
          <w:rFonts w:cs="Arial"/>
          <w:lang w:val="en-GB"/>
        </w:rPr>
        <w:t>alcohol intake.</w:t>
      </w: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443C7A" w:rsidRPr="003A1339" w14:paraId="75EC5095" w14:textId="77777777" w:rsidTr="00443C7A">
        <w:tc>
          <w:tcPr>
            <w:tcW w:w="1134" w:type="dxa"/>
            <w:shd w:val="clear" w:color="auto" w:fill="auto"/>
          </w:tcPr>
          <w:p w14:paraId="3D0EA568" w14:textId="77777777" w:rsidR="00443C7A" w:rsidRPr="003A1339" w:rsidRDefault="00443C7A" w:rsidP="00443C7A">
            <w:pPr>
              <w:jc w:val="right"/>
              <w:rPr>
                <w:b/>
                <w:i/>
                <w:sz w:val="16"/>
                <w:lang w:val="en-GB"/>
              </w:rPr>
            </w:pPr>
            <w:proofErr w:type="spellStart"/>
            <w:proofErr w:type="gramStart"/>
            <w:r w:rsidRPr="003A1339">
              <w:rPr>
                <w:i/>
                <w:sz w:val="16"/>
                <w:lang w:val="en-GB"/>
              </w:rPr>
              <w:t>LoE:I</w:t>
            </w:r>
            <w:r>
              <w:rPr>
                <w:i/>
                <w:sz w:val="16"/>
                <w:lang w:val="en-GB"/>
              </w:rPr>
              <w:t>I</w:t>
            </w:r>
            <w:r w:rsidRPr="003A1339">
              <w:rPr>
                <w:i/>
                <w:sz w:val="16"/>
                <w:lang w:val="en-GB"/>
              </w:rPr>
              <w:t>I</w:t>
            </w:r>
            <w:proofErr w:type="spellEnd"/>
            <w:proofErr w:type="gramEnd"/>
            <w:r w:rsidRPr="003A1339">
              <w:rPr>
                <w:rStyle w:val="EndnoteReference"/>
                <w:i/>
                <w:sz w:val="16"/>
                <w:lang w:val="en-GB"/>
              </w:rPr>
              <w:endnoteReference w:id="35"/>
            </w:r>
          </w:p>
        </w:tc>
      </w:tr>
    </w:tbl>
    <w:p w14:paraId="05DC611D" w14:textId="77777777" w:rsidR="00D11BB6" w:rsidRPr="00D6340F" w:rsidRDefault="00943CB0" w:rsidP="00943CB0">
      <w:pPr>
        <w:rPr>
          <w:rFonts w:cs="Arial"/>
          <w:lang w:val="en-GB"/>
        </w:rPr>
      </w:pPr>
      <w:r>
        <w:rPr>
          <w:rFonts w:cs="Arial"/>
          <w:lang w:val="en-GB"/>
        </w:rPr>
        <w:t>A</w:t>
      </w:r>
      <w:r w:rsidR="00D11BB6" w:rsidRPr="00D6340F">
        <w:rPr>
          <w:rFonts w:cs="Arial"/>
          <w:lang w:val="en-GB"/>
        </w:rPr>
        <w:t>void falls.</w:t>
      </w:r>
    </w:p>
    <w:p w14:paraId="24894B51" w14:textId="77777777" w:rsidR="00D11BB6" w:rsidRPr="00D6340F" w:rsidRDefault="00D11BB6" w:rsidP="00D11BB6">
      <w:pPr>
        <w:pStyle w:val="Heading5"/>
        <w:rPr>
          <w:rFonts w:cs="Arial"/>
          <w:lang w:val="en-GB"/>
        </w:rPr>
      </w:pPr>
      <w:r w:rsidRPr="00D6340F">
        <w:rPr>
          <w:rFonts w:cs="Arial"/>
          <w:lang w:val="en-GB"/>
        </w:rPr>
        <w:lastRenderedPageBreak/>
        <w:t>MEDICINE TREATMENT</w:t>
      </w:r>
    </w:p>
    <w:p w14:paraId="421B20B1" w14:textId="77777777" w:rsidR="00C814EB" w:rsidRPr="00D6340F" w:rsidRDefault="00C814EB" w:rsidP="00C814EB">
      <w:pPr>
        <w:rPr>
          <w:b/>
          <w:lang w:val="en-GB"/>
        </w:rPr>
      </w:pPr>
      <w:r w:rsidRPr="00D6340F">
        <w:rPr>
          <w:b/>
          <w:lang w:val="en-GB"/>
        </w:rPr>
        <w:t>Primary prevention</w:t>
      </w:r>
    </w:p>
    <w:p w14:paraId="25C1FDF8" w14:textId="77777777" w:rsidR="00D11BB6" w:rsidRPr="00D6340F" w:rsidRDefault="00984FEB" w:rsidP="00D11BB6">
      <w:pPr>
        <w:rPr>
          <w:rFonts w:cs="Arial"/>
          <w:lang w:val="en-GB"/>
        </w:rPr>
      </w:pPr>
      <w:r w:rsidRPr="00D6340F">
        <w:rPr>
          <w:rFonts w:cs="Arial"/>
          <w:u w:val="single"/>
          <w:lang w:val="en-GB"/>
        </w:rPr>
        <w:t>I</w:t>
      </w:r>
      <w:r w:rsidR="00D11BB6" w:rsidRPr="00D6340F">
        <w:rPr>
          <w:rFonts w:cs="Arial"/>
          <w:u w:val="single"/>
          <w:lang w:val="en-GB"/>
        </w:rPr>
        <w:t>n institutionalised frail elderly patients</w:t>
      </w:r>
      <w:r w:rsidR="00CF1E5F" w:rsidRPr="00D6340F">
        <w:rPr>
          <w:rFonts w:cs="Arial"/>
          <w:u w:val="single"/>
          <w:lang w:val="en-GB"/>
        </w:rPr>
        <w:t xml:space="preserve">, </w:t>
      </w:r>
      <w:r w:rsidRPr="00D6340F">
        <w:rPr>
          <w:rFonts w:cs="Arial"/>
          <w:u w:val="single"/>
          <w:lang w:val="en-GB"/>
        </w:rPr>
        <w:t xml:space="preserve">supplementation with calcium and vitamin D </w:t>
      </w:r>
      <w:r w:rsidR="00D11BB6" w:rsidRPr="00D6340F">
        <w:rPr>
          <w:rFonts w:cs="Arial"/>
          <w:u w:val="single"/>
          <w:lang w:val="en-GB"/>
        </w:rPr>
        <w:t>may reduce the incidence of hip fractures</w:t>
      </w:r>
      <w:r w:rsidR="00A95F28" w:rsidRPr="00D6340F">
        <w:rPr>
          <w:rFonts w:cs="Arial"/>
          <w:u w:val="single"/>
          <w:lang w:val="en-GB"/>
        </w:rPr>
        <w:t>:</w:t>
      </w:r>
    </w:p>
    <w:p w14:paraId="1E38DA81" w14:textId="77777777" w:rsidR="0036185F" w:rsidRPr="00D6340F" w:rsidRDefault="00D11BB6" w:rsidP="007E4E67">
      <w:pPr>
        <w:numPr>
          <w:ilvl w:val="0"/>
          <w:numId w:val="17"/>
        </w:numPr>
        <w:ind w:left="284" w:hanging="284"/>
        <w:rPr>
          <w:rFonts w:cs="Arial"/>
          <w:lang w:val="en-GB"/>
        </w:rPr>
      </w:pPr>
      <w:r w:rsidRPr="00D6340F">
        <w:rPr>
          <w:rFonts w:cs="Arial"/>
          <w:lang w:val="en-GB"/>
        </w:rPr>
        <w:t>Calcium, elemental, oral, 1 000 mg daily.</w:t>
      </w:r>
    </w:p>
    <w:p w14:paraId="06233E50" w14:textId="77777777" w:rsidR="00D11BB6" w:rsidRPr="00D6340F" w:rsidRDefault="00F275B0" w:rsidP="00D11BB6">
      <w:pPr>
        <w:rPr>
          <w:rFonts w:cs="Arial"/>
          <w:b/>
          <w:lang w:val="en-GB"/>
        </w:rPr>
      </w:pPr>
      <w:r w:rsidRPr="00D6340F">
        <w:rPr>
          <w:rFonts w:cs="Arial"/>
          <w:b/>
          <w:lang w:val="en-GB"/>
        </w:rPr>
        <w:t>AND</w:t>
      </w: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171807" w:rsidRPr="003A1339" w14:paraId="380C8263" w14:textId="77777777" w:rsidTr="00460F74">
        <w:tc>
          <w:tcPr>
            <w:tcW w:w="1134" w:type="dxa"/>
            <w:shd w:val="clear" w:color="auto" w:fill="auto"/>
          </w:tcPr>
          <w:p w14:paraId="111A466D" w14:textId="77777777" w:rsidR="00171807" w:rsidRPr="003A1339" w:rsidRDefault="00171807" w:rsidP="00460F74">
            <w:pPr>
              <w:jc w:val="right"/>
              <w:rPr>
                <w:b/>
                <w:i/>
                <w:sz w:val="16"/>
                <w:lang w:val="en-GB"/>
              </w:rPr>
            </w:pPr>
            <w:proofErr w:type="spellStart"/>
            <w:proofErr w:type="gramStart"/>
            <w:r w:rsidRPr="003A1339">
              <w:rPr>
                <w:i/>
                <w:sz w:val="16"/>
                <w:lang w:val="en-GB"/>
              </w:rPr>
              <w:t>LoE:I</w:t>
            </w:r>
            <w:r>
              <w:rPr>
                <w:i/>
                <w:sz w:val="16"/>
                <w:lang w:val="en-GB"/>
              </w:rPr>
              <w:t>II</w:t>
            </w:r>
            <w:proofErr w:type="spellEnd"/>
            <w:proofErr w:type="gramEnd"/>
            <w:r w:rsidRPr="003A1339">
              <w:rPr>
                <w:rStyle w:val="EndnoteReference"/>
                <w:i/>
                <w:sz w:val="16"/>
                <w:lang w:val="en-GB"/>
              </w:rPr>
              <w:endnoteReference w:id="36"/>
            </w:r>
          </w:p>
        </w:tc>
      </w:tr>
    </w:tbl>
    <w:p w14:paraId="52F2F20C" w14:textId="7BEA4652" w:rsidR="00D11BB6" w:rsidRPr="00D6340F" w:rsidRDefault="00D11BB6" w:rsidP="006C10F3">
      <w:pPr>
        <w:pStyle w:val="ep4"/>
        <w:tabs>
          <w:tab w:val="clear" w:pos="360"/>
          <w:tab w:val="num" w:pos="284"/>
        </w:tabs>
        <w:rPr>
          <w:lang w:val="en-GB"/>
        </w:rPr>
      </w:pPr>
      <w:r w:rsidRPr="00D6340F">
        <w:rPr>
          <w:lang w:val="en-GB"/>
        </w:rPr>
        <w:t>Vitamin D</w:t>
      </w:r>
      <w:r w:rsidR="00E74DFC">
        <w:rPr>
          <w:lang w:val="en-GB"/>
        </w:rPr>
        <w:t xml:space="preserve"> (</w:t>
      </w:r>
      <w:r w:rsidR="00C65E09">
        <w:rPr>
          <w:lang w:val="en-GB"/>
        </w:rPr>
        <w:t>C</w:t>
      </w:r>
      <w:r w:rsidR="00E74DFC">
        <w:rPr>
          <w:lang w:val="en-GB"/>
        </w:rPr>
        <w:t>alciferol)</w:t>
      </w:r>
      <w:r w:rsidRPr="00D6340F">
        <w:rPr>
          <w:lang w:val="en-GB"/>
        </w:rPr>
        <w:t>, oral,</w:t>
      </w:r>
      <w:r w:rsidR="009600E0">
        <w:rPr>
          <w:lang w:val="en-GB"/>
        </w:rPr>
        <w:t xml:space="preserve"> </w:t>
      </w:r>
      <w:r w:rsidR="00171807">
        <w:rPr>
          <w:lang w:val="en-GB"/>
        </w:rPr>
        <w:t xml:space="preserve">800 units daily </w:t>
      </w:r>
      <w:r w:rsidR="00171807" w:rsidRPr="00171807">
        <w:rPr>
          <w:b/>
          <w:lang w:val="en-GB"/>
        </w:rPr>
        <w:t>or</w:t>
      </w:r>
      <w:r w:rsidR="00171807">
        <w:rPr>
          <w:lang w:val="en-GB"/>
        </w:rPr>
        <w:t xml:space="preserve"> </w:t>
      </w:r>
      <w:r w:rsidR="004438F9">
        <w:rPr>
          <w:lang w:val="en-GB"/>
        </w:rPr>
        <w:t xml:space="preserve">50 000 </w:t>
      </w:r>
      <w:r w:rsidR="006045BE" w:rsidRPr="006045BE">
        <w:rPr>
          <w:lang w:val="en-GB"/>
        </w:rPr>
        <w:t xml:space="preserve">of Calciferol every 4 </w:t>
      </w:r>
      <w:r w:rsidR="00086B88" w:rsidRPr="006045BE">
        <w:rPr>
          <w:lang w:val="en-GB"/>
        </w:rPr>
        <w:t>weeks</w:t>
      </w:r>
      <w:r w:rsidR="00086B88" w:rsidRPr="006045BE" w:rsidDel="006045BE">
        <w:rPr>
          <w:lang w:val="en-GB"/>
        </w:rPr>
        <w:t>.</w:t>
      </w:r>
    </w:p>
    <w:p w14:paraId="4D3C8748" w14:textId="77777777" w:rsidR="00984FEB" w:rsidRPr="003F79A6" w:rsidRDefault="00984FEB" w:rsidP="00984FEB">
      <w:pPr>
        <w:pStyle w:val="ep4"/>
        <w:numPr>
          <w:ilvl w:val="0"/>
          <w:numId w:val="0"/>
        </w:numPr>
        <w:ind w:left="284" w:hanging="284"/>
        <w:rPr>
          <w:szCs w:val="18"/>
          <w:lang w:val="en-GB"/>
        </w:rPr>
      </w:pPr>
    </w:p>
    <w:p w14:paraId="261EB597" w14:textId="77777777" w:rsidR="0080739A" w:rsidRPr="00D6340F" w:rsidRDefault="00A95F28" w:rsidP="00CB1840">
      <w:pPr>
        <w:pStyle w:val="ep4"/>
        <w:numPr>
          <w:ilvl w:val="0"/>
          <w:numId w:val="0"/>
        </w:numPr>
        <w:rPr>
          <w:lang w:val="en-GB"/>
        </w:rPr>
      </w:pPr>
      <w:r w:rsidRPr="00D6340F">
        <w:rPr>
          <w:b/>
          <w:lang w:val="en-GB"/>
        </w:rPr>
        <w:t>Note:</w:t>
      </w:r>
      <w:r w:rsidR="00F66C0F" w:rsidRPr="00D6340F">
        <w:rPr>
          <w:b/>
          <w:lang w:val="en-GB"/>
        </w:rPr>
        <w:t xml:space="preserve"> </w:t>
      </w:r>
      <w:r w:rsidR="00984FEB" w:rsidRPr="00D6340F">
        <w:rPr>
          <w:lang w:val="en-GB"/>
        </w:rPr>
        <w:t xml:space="preserve">Routine supplementation with calcium and vitamin D marginally increases the risk of myocardial infarction and stroke and is of unclear </w:t>
      </w: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80739A" w:rsidRPr="003A1339" w14:paraId="5E939C77" w14:textId="77777777" w:rsidTr="002C47D1">
        <w:tc>
          <w:tcPr>
            <w:tcW w:w="1134" w:type="dxa"/>
            <w:shd w:val="clear" w:color="auto" w:fill="auto"/>
          </w:tcPr>
          <w:p w14:paraId="032932EF" w14:textId="77777777" w:rsidR="0080739A" w:rsidRPr="003A1339" w:rsidRDefault="0080739A" w:rsidP="002C47D1">
            <w:pPr>
              <w:jc w:val="right"/>
              <w:rPr>
                <w:b/>
                <w:i/>
                <w:sz w:val="16"/>
                <w:lang w:val="en-GB"/>
              </w:rPr>
            </w:pPr>
            <w:proofErr w:type="spellStart"/>
            <w:proofErr w:type="gramStart"/>
            <w:r w:rsidRPr="003A1339">
              <w:rPr>
                <w:i/>
                <w:sz w:val="16"/>
                <w:lang w:val="en-GB"/>
              </w:rPr>
              <w:t>LoE:I</w:t>
            </w:r>
            <w:proofErr w:type="spellEnd"/>
            <w:proofErr w:type="gramEnd"/>
            <w:r w:rsidRPr="003A1339">
              <w:rPr>
                <w:rStyle w:val="EndnoteReference"/>
                <w:i/>
                <w:sz w:val="16"/>
                <w:lang w:val="en-GB"/>
              </w:rPr>
              <w:endnoteReference w:id="37"/>
            </w:r>
          </w:p>
        </w:tc>
      </w:tr>
    </w:tbl>
    <w:p w14:paraId="5FE6706D" w14:textId="77777777" w:rsidR="00CB1840" w:rsidRPr="00D6340F" w:rsidRDefault="00984FEB" w:rsidP="00CB1840">
      <w:pPr>
        <w:pStyle w:val="ep4"/>
        <w:numPr>
          <w:ilvl w:val="0"/>
          <w:numId w:val="0"/>
        </w:numPr>
        <w:rPr>
          <w:lang w:val="en-GB"/>
        </w:rPr>
      </w:pPr>
      <w:r w:rsidRPr="00D6340F">
        <w:rPr>
          <w:lang w:val="en-GB"/>
        </w:rPr>
        <w:t>benefit in other population</w:t>
      </w:r>
      <w:r w:rsidR="00344836" w:rsidRPr="00D6340F">
        <w:rPr>
          <w:lang w:val="en-GB"/>
        </w:rPr>
        <w:t>s.</w:t>
      </w:r>
    </w:p>
    <w:p w14:paraId="2673E55C" w14:textId="77777777" w:rsidR="00A95F28" w:rsidRPr="00D6340F" w:rsidRDefault="00A95F28" w:rsidP="00CB1840">
      <w:pPr>
        <w:pStyle w:val="ep4"/>
        <w:numPr>
          <w:ilvl w:val="0"/>
          <w:numId w:val="0"/>
        </w:numPr>
        <w:rPr>
          <w:highlight w:val="yellow"/>
          <w:lang w:val="en-GB"/>
        </w:rPr>
      </w:pPr>
    </w:p>
    <w:p w14:paraId="4732B324" w14:textId="77777777" w:rsidR="00C814EB" w:rsidRDefault="00C814EB" w:rsidP="00CB1840">
      <w:pPr>
        <w:pStyle w:val="ep4"/>
        <w:numPr>
          <w:ilvl w:val="0"/>
          <w:numId w:val="0"/>
        </w:numPr>
        <w:rPr>
          <w:b/>
          <w:lang w:val="en-GB"/>
        </w:rPr>
      </w:pPr>
      <w:r w:rsidRPr="00B45F1E">
        <w:rPr>
          <w:b/>
          <w:lang w:val="en-GB"/>
        </w:rPr>
        <w:t>Secondary prevention</w:t>
      </w:r>
    </w:p>
    <w:p w14:paraId="7F0F592C" w14:textId="77777777" w:rsidR="00D11BB6" w:rsidRPr="00A478E8" w:rsidRDefault="00D11BB6" w:rsidP="00D11BB6">
      <w:pPr>
        <w:rPr>
          <w:rStyle w:val="StyleBold"/>
          <w:rFonts w:cs="Arial"/>
          <w:b w:val="0"/>
          <w:u w:val="single"/>
          <w:lang w:val="en-GB"/>
        </w:rPr>
      </w:pPr>
      <w:r w:rsidRPr="00A478E8">
        <w:rPr>
          <w:rStyle w:val="StyleBold"/>
          <w:rFonts w:cs="Arial"/>
          <w:b w:val="0"/>
          <w:u w:val="single"/>
          <w:lang w:val="en-GB"/>
        </w:rPr>
        <w:t xml:space="preserve">Secondary prevention of osteoporotic fracture, including patients on long- term </w:t>
      </w:r>
      <w:r w:rsidR="00422838" w:rsidRPr="00A478E8">
        <w:rPr>
          <w:rStyle w:val="StyleBold"/>
          <w:rFonts w:cs="Arial"/>
          <w:b w:val="0"/>
          <w:u w:val="single"/>
          <w:lang w:val="en-GB"/>
        </w:rPr>
        <w:t>corticosteroids:</w:t>
      </w:r>
    </w:p>
    <w:p w14:paraId="0ADCD8CF" w14:textId="77777777" w:rsidR="00D11BB6" w:rsidRPr="00A478E8" w:rsidRDefault="00CF1E5F" w:rsidP="00D11BB6">
      <w:pPr>
        <w:rPr>
          <w:rFonts w:cs="Arial"/>
          <w:lang w:val="en-GB"/>
        </w:rPr>
      </w:pPr>
      <w:r w:rsidRPr="00A478E8">
        <w:rPr>
          <w:rFonts w:cs="Arial"/>
          <w:lang w:val="en-GB"/>
        </w:rPr>
        <w:t>In severe osteoporosis, i.e.</w:t>
      </w:r>
      <w:r w:rsidR="00D11BB6" w:rsidRPr="00A478E8">
        <w:rPr>
          <w:rFonts w:cs="Arial"/>
          <w:lang w:val="en-GB"/>
        </w:rPr>
        <w:t xml:space="preserve"> patients who have a T-score of –2.5</w:t>
      </w:r>
      <w:r w:rsidRPr="00A478E8">
        <w:rPr>
          <w:rFonts w:cs="Arial"/>
          <w:lang w:val="en-GB"/>
        </w:rPr>
        <w:t xml:space="preserve"> (severe osteoporosis) plus</w:t>
      </w:r>
      <w:r w:rsidR="00D11BB6" w:rsidRPr="00A478E8">
        <w:rPr>
          <w:rFonts w:cs="Arial"/>
          <w:lang w:val="en-GB"/>
        </w:rPr>
        <w:t xml:space="preserve"> an osteoporotic fracture:</w:t>
      </w:r>
    </w:p>
    <w:p w14:paraId="55763F5C" w14:textId="77777777" w:rsidR="004A60B6" w:rsidRPr="00A478E8" w:rsidRDefault="004A60B6" w:rsidP="007E4E67">
      <w:pPr>
        <w:pStyle w:val="ListParagraph"/>
        <w:numPr>
          <w:ilvl w:val="0"/>
          <w:numId w:val="57"/>
        </w:numPr>
        <w:spacing w:line="240" w:lineRule="auto"/>
        <w:ind w:left="284" w:hanging="284"/>
        <w:rPr>
          <w:rFonts w:ascii="Arial" w:hAnsi="Arial" w:cs="Arial"/>
          <w:sz w:val="18"/>
          <w:szCs w:val="18"/>
          <w:lang w:val="en-GB"/>
        </w:rPr>
      </w:pPr>
      <w:r w:rsidRPr="00A478E8">
        <w:rPr>
          <w:rFonts w:ascii="Arial" w:hAnsi="Arial" w:cs="Arial"/>
          <w:sz w:val="18"/>
          <w:szCs w:val="18"/>
          <w:lang w:val="en-GB"/>
        </w:rPr>
        <w:t>Bisphosphonates, e.g.:</w:t>
      </w:r>
    </w:p>
    <w:p w14:paraId="3469952C" w14:textId="77777777" w:rsidR="0036185F" w:rsidRDefault="003A1339" w:rsidP="007E4E67">
      <w:pPr>
        <w:numPr>
          <w:ilvl w:val="0"/>
          <w:numId w:val="17"/>
        </w:numPr>
        <w:ind w:left="284" w:hanging="284"/>
        <w:rPr>
          <w:rFonts w:cs="Arial"/>
          <w:lang w:val="en-GB"/>
        </w:rPr>
      </w:pPr>
      <w:proofErr w:type="spellStart"/>
      <w:r w:rsidRPr="00A478E8">
        <w:rPr>
          <w:rFonts w:cs="Arial"/>
          <w:lang w:val="en-GB"/>
        </w:rPr>
        <w:t>Alendronic</w:t>
      </w:r>
      <w:proofErr w:type="spellEnd"/>
      <w:r w:rsidRPr="00A478E8">
        <w:rPr>
          <w:rFonts w:cs="Arial"/>
          <w:lang w:val="en-GB"/>
        </w:rPr>
        <w:t xml:space="preserve"> acid</w:t>
      </w:r>
      <w:r w:rsidR="00D11BB6" w:rsidRPr="00A478E8">
        <w:rPr>
          <w:rFonts w:cs="Arial"/>
          <w:lang w:val="en-GB"/>
        </w:rPr>
        <w:t xml:space="preserve">, oral, </w:t>
      </w:r>
      <w:r w:rsidR="007163AB">
        <w:rPr>
          <w:rFonts w:cs="Arial"/>
          <w:lang w:val="en-GB"/>
        </w:rPr>
        <w:t xml:space="preserve">70 </w:t>
      </w:r>
      <w:r w:rsidR="00A54060">
        <w:rPr>
          <w:rFonts w:cs="Arial"/>
          <w:lang w:val="en-GB"/>
        </w:rPr>
        <w:t>mg weekly</w:t>
      </w:r>
      <w:r w:rsidR="00BF05F5">
        <w:rPr>
          <w:rFonts w:cs="Arial"/>
          <w:lang w:val="en-GB"/>
        </w:rPr>
        <w:t>,</w:t>
      </w:r>
      <w:r w:rsidR="00290F7D" w:rsidRPr="00A478E8">
        <w:rPr>
          <w:rFonts w:cs="Arial"/>
          <w:lang w:val="en-GB"/>
        </w:rPr>
        <w:t xml:space="preserve"> </w:t>
      </w:r>
      <w:r w:rsidR="00D11BB6" w:rsidRPr="00A478E8">
        <w:rPr>
          <w:rFonts w:cs="Arial"/>
          <w:lang w:val="en-GB"/>
        </w:rPr>
        <w:t>for a maximum duration of 5 years.</w:t>
      </w:r>
    </w:p>
    <w:p w14:paraId="518C9046" w14:textId="77777777" w:rsidR="00EF5F8F" w:rsidRPr="00BF05F5" w:rsidRDefault="00BF05F5" w:rsidP="007E4E67">
      <w:pPr>
        <w:numPr>
          <w:ilvl w:val="0"/>
          <w:numId w:val="39"/>
        </w:numPr>
        <w:ind w:left="567" w:hanging="283"/>
        <w:rPr>
          <w:lang w:val="en-GB"/>
        </w:rPr>
      </w:pPr>
      <w:r w:rsidRPr="00BF05F5">
        <w:rPr>
          <w:lang w:val="en-GB"/>
        </w:rPr>
        <w:t>Taken with a full glass of water, 30 minutes before breakfast – do not lie down.</w:t>
      </w: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A478E8" w:rsidRPr="003A1339" w14:paraId="2AAC8B43" w14:textId="77777777" w:rsidTr="004F04FB">
        <w:tc>
          <w:tcPr>
            <w:tcW w:w="1134" w:type="dxa"/>
            <w:shd w:val="clear" w:color="auto" w:fill="auto"/>
          </w:tcPr>
          <w:p w14:paraId="1887BEB9" w14:textId="77777777" w:rsidR="00A478E8" w:rsidRPr="003A1339" w:rsidRDefault="00A478E8" w:rsidP="007A52FA">
            <w:pPr>
              <w:jc w:val="right"/>
              <w:rPr>
                <w:b/>
                <w:i/>
                <w:sz w:val="16"/>
                <w:lang w:val="en-GB"/>
              </w:rPr>
            </w:pPr>
            <w:proofErr w:type="spellStart"/>
            <w:proofErr w:type="gramStart"/>
            <w:r w:rsidRPr="003A1339">
              <w:rPr>
                <w:i/>
                <w:sz w:val="16"/>
                <w:lang w:val="en-GB"/>
              </w:rPr>
              <w:t>LoE:I</w:t>
            </w:r>
            <w:proofErr w:type="spellEnd"/>
            <w:proofErr w:type="gramEnd"/>
            <w:r w:rsidRPr="003A1339">
              <w:rPr>
                <w:rStyle w:val="EndnoteReference"/>
                <w:i/>
                <w:sz w:val="16"/>
                <w:lang w:val="en-GB"/>
              </w:rPr>
              <w:endnoteReference w:id="38"/>
            </w:r>
          </w:p>
        </w:tc>
      </w:tr>
    </w:tbl>
    <w:p w14:paraId="38674AD4" w14:textId="77777777" w:rsidR="00BF05F5" w:rsidRDefault="00BF05F5" w:rsidP="00D11BB6">
      <w:pPr>
        <w:rPr>
          <w:rFonts w:cs="Arial"/>
          <w:lang w:val="en-GB"/>
        </w:rPr>
      </w:pPr>
    </w:p>
    <w:p w14:paraId="6DAE7769" w14:textId="77777777" w:rsidR="00D11BB6" w:rsidRPr="00D6340F" w:rsidRDefault="00A54060" w:rsidP="00D11BB6">
      <w:pPr>
        <w:rPr>
          <w:rFonts w:cs="Arial"/>
          <w:lang w:val="en-GB"/>
        </w:rPr>
      </w:pPr>
      <w:r>
        <w:rPr>
          <w:rFonts w:cs="Arial"/>
          <w:lang w:val="en-GB"/>
        </w:rPr>
        <w:t>Supplement with</w:t>
      </w:r>
      <w:r w:rsidR="00D11BB6" w:rsidRPr="00D6340F">
        <w:rPr>
          <w:rFonts w:cs="Arial"/>
          <w:lang w:val="en-GB"/>
        </w:rPr>
        <w:t>:</w:t>
      </w:r>
    </w:p>
    <w:p w14:paraId="5927F386" w14:textId="77777777" w:rsidR="0036185F" w:rsidRPr="00D6340F" w:rsidRDefault="00D11BB6" w:rsidP="007E4E67">
      <w:pPr>
        <w:numPr>
          <w:ilvl w:val="0"/>
          <w:numId w:val="17"/>
        </w:numPr>
        <w:ind w:left="284" w:hanging="284"/>
        <w:rPr>
          <w:rFonts w:cs="Arial"/>
          <w:lang w:val="en-GB"/>
        </w:rPr>
      </w:pPr>
      <w:r w:rsidRPr="00D6340F">
        <w:rPr>
          <w:rFonts w:cs="Arial"/>
          <w:lang w:val="en-GB"/>
        </w:rPr>
        <w:t xml:space="preserve">Calcium, elemental, oral, </w:t>
      </w:r>
      <w:r w:rsidR="00CF1E5F" w:rsidRPr="00D6340F">
        <w:rPr>
          <w:rFonts w:cs="Arial"/>
          <w:color w:val="auto"/>
          <w:lang w:val="en-GB"/>
        </w:rPr>
        <w:t>1 000</w:t>
      </w:r>
      <w:r w:rsidRPr="00D6340F">
        <w:rPr>
          <w:rFonts w:cs="Arial"/>
          <w:lang w:val="en-GB"/>
        </w:rPr>
        <w:t>mg daily.</w:t>
      </w:r>
    </w:p>
    <w:p w14:paraId="6CB64999" w14:textId="77777777" w:rsidR="00D11BB6" w:rsidRPr="00D6340F" w:rsidRDefault="005D2D09" w:rsidP="00D11BB6">
      <w:pPr>
        <w:rPr>
          <w:rFonts w:cs="Arial"/>
          <w:b/>
          <w:lang w:val="en-GB"/>
        </w:rPr>
      </w:pPr>
      <w:r w:rsidRPr="00D6340F">
        <w:rPr>
          <w:rFonts w:cs="Arial"/>
          <w:b/>
          <w:lang w:val="en-GB"/>
        </w:rPr>
        <w:t>AND</w:t>
      </w:r>
    </w:p>
    <w:p w14:paraId="28325E55" w14:textId="3E203BAE" w:rsidR="00D11BB6" w:rsidRDefault="00D11BB6" w:rsidP="007E4E67">
      <w:pPr>
        <w:numPr>
          <w:ilvl w:val="0"/>
          <w:numId w:val="17"/>
        </w:numPr>
        <w:ind w:left="284" w:hanging="284"/>
        <w:rPr>
          <w:lang w:val="en-GB"/>
        </w:rPr>
      </w:pPr>
      <w:r w:rsidRPr="00D6340F">
        <w:rPr>
          <w:lang w:val="en-GB"/>
        </w:rPr>
        <w:t>Vitamin D</w:t>
      </w:r>
      <w:r w:rsidR="006A0ED2">
        <w:rPr>
          <w:lang w:val="en-GB"/>
        </w:rPr>
        <w:t xml:space="preserve"> (Calciferol)</w:t>
      </w:r>
      <w:r w:rsidRPr="00D6340F">
        <w:rPr>
          <w:lang w:val="en-GB"/>
        </w:rPr>
        <w:t>, oral,</w:t>
      </w:r>
      <w:r w:rsidR="00C23D57">
        <w:rPr>
          <w:lang w:val="en-GB"/>
        </w:rPr>
        <w:t xml:space="preserve"> </w:t>
      </w:r>
      <w:r w:rsidRPr="00D6340F">
        <w:rPr>
          <w:lang w:val="en-GB"/>
        </w:rPr>
        <w:t>800 units daily.</w:t>
      </w:r>
    </w:p>
    <w:p w14:paraId="2F599E26" w14:textId="77777777" w:rsidR="00C73854" w:rsidRDefault="00C73854" w:rsidP="00A478E8">
      <w:pPr>
        <w:pStyle w:val="ep4"/>
        <w:numPr>
          <w:ilvl w:val="0"/>
          <w:numId w:val="0"/>
        </w:numPr>
        <w:ind w:left="284" w:hanging="284"/>
        <w:rPr>
          <w:lang w:val="en-GB"/>
        </w:rPr>
      </w:pPr>
    </w:p>
    <w:p w14:paraId="1C14E548" w14:textId="77777777" w:rsidR="00D11BB6" w:rsidRPr="00D6340F" w:rsidRDefault="00D11BB6" w:rsidP="00D11BB6">
      <w:pPr>
        <w:pStyle w:val="Heading7"/>
        <w:rPr>
          <w:lang w:val="en-GB"/>
        </w:rPr>
      </w:pPr>
      <w:r w:rsidRPr="00D6340F">
        <w:rPr>
          <w:lang w:val="en-GB"/>
        </w:rPr>
        <w:t xml:space="preserve">Hormone replacement therapy </w:t>
      </w:r>
    </w:p>
    <w:p w14:paraId="68ACCDF3" w14:textId="2D79D772" w:rsidR="00D11BB6" w:rsidRPr="00D6340F" w:rsidRDefault="00D11BB6" w:rsidP="00D11BB6">
      <w:pPr>
        <w:rPr>
          <w:rFonts w:cs="Arial"/>
          <w:lang w:val="en-GB"/>
        </w:rPr>
      </w:pPr>
      <w:r w:rsidRPr="00D6340F">
        <w:rPr>
          <w:rFonts w:cs="Arial"/>
          <w:lang w:val="en-GB"/>
        </w:rPr>
        <w:t xml:space="preserve">See </w:t>
      </w:r>
      <w:r w:rsidR="002840C6">
        <w:rPr>
          <w:rFonts w:cs="Arial"/>
          <w:lang w:val="en-GB"/>
        </w:rPr>
        <w:t>Section</w:t>
      </w:r>
      <w:r w:rsidRPr="00D6340F">
        <w:rPr>
          <w:rFonts w:cs="Arial"/>
          <w:lang w:val="en-GB"/>
        </w:rPr>
        <w:t xml:space="preserve"> 5.12: Menopause and Perimenopausal Syndrome. </w:t>
      </w:r>
    </w:p>
    <w:p w14:paraId="4865D877" w14:textId="77777777" w:rsidR="00D11BB6" w:rsidRPr="00D6340F" w:rsidRDefault="00D11BB6" w:rsidP="001A64CA">
      <w:pPr>
        <w:widowControl w:val="0"/>
        <w:rPr>
          <w:rFonts w:cs="Arial"/>
          <w:lang w:val="en-GB"/>
        </w:rPr>
      </w:pPr>
      <w:r w:rsidRPr="00D6340F">
        <w:rPr>
          <w:rFonts w:cs="Arial"/>
          <w:lang w:val="en-GB"/>
        </w:rPr>
        <w:t>Only indicated early in menopause, if vasomotor symptoms are significant.</w:t>
      </w:r>
    </w:p>
    <w:p w14:paraId="062E2A5F" w14:textId="77777777" w:rsidR="00D11BB6" w:rsidRPr="00D6340F" w:rsidRDefault="00D11BB6" w:rsidP="001A64CA">
      <w:pPr>
        <w:widowControl w:val="0"/>
        <w:rPr>
          <w:rFonts w:cs="Arial"/>
          <w:snapToGrid w:val="0"/>
          <w:lang w:val="en-GB"/>
        </w:rPr>
      </w:pPr>
      <w:r w:rsidRPr="00D6340F">
        <w:rPr>
          <w:rFonts w:cs="Arial"/>
          <w:lang w:val="en-GB"/>
        </w:rPr>
        <w:t>Review contra-indications before initiating therapy.</w:t>
      </w:r>
    </w:p>
    <w:p w14:paraId="341C2986" w14:textId="77777777" w:rsidR="00A95F28" w:rsidRPr="00D6340F" w:rsidRDefault="00A95F28" w:rsidP="00D11BB6">
      <w:pPr>
        <w:pStyle w:val="Heading5"/>
        <w:rPr>
          <w:rFonts w:cs="Arial"/>
          <w:b w:val="0"/>
          <w:sz w:val="18"/>
          <w:lang w:val="en-GB"/>
        </w:rPr>
      </w:pPr>
    </w:p>
    <w:p w14:paraId="3771B732" w14:textId="77777777" w:rsidR="00D11BB6" w:rsidRPr="00D6340F" w:rsidRDefault="00D11BB6" w:rsidP="00A95F28">
      <w:pPr>
        <w:pStyle w:val="Heading5"/>
        <w:keepNext w:val="0"/>
        <w:widowControl w:val="0"/>
        <w:rPr>
          <w:rFonts w:cs="Arial"/>
          <w:lang w:val="en-GB"/>
        </w:rPr>
      </w:pPr>
      <w:r w:rsidRPr="00D6340F">
        <w:rPr>
          <w:rFonts w:cs="Arial"/>
          <w:lang w:val="en-GB"/>
        </w:rPr>
        <w:t xml:space="preserve">REFERRAL </w:t>
      </w:r>
    </w:p>
    <w:p w14:paraId="208DD7E0" w14:textId="77777777" w:rsidR="0036185F" w:rsidRPr="00D6340F" w:rsidRDefault="00D11BB6" w:rsidP="007E4E67">
      <w:pPr>
        <w:pStyle w:val="ep0"/>
        <w:widowControl w:val="0"/>
        <w:numPr>
          <w:ilvl w:val="0"/>
          <w:numId w:val="40"/>
        </w:numPr>
        <w:ind w:left="284" w:hanging="284"/>
        <w:rPr>
          <w:rFonts w:cs="Arial"/>
          <w:strike w:val="0"/>
          <w:lang w:val="en-GB"/>
        </w:rPr>
      </w:pPr>
      <w:r w:rsidRPr="00D6340F">
        <w:rPr>
          <w:rFonts w:cs="Arial"/>
          <w:strike w:val="0"/>
          <w:lang w:val="en-GB"/>
        </w:rPr>
        <w:t>To establish diagnosis (bone densitometry).</w:t>
      </w:r>
    </w:p>
    <w:p w14:paraId="7C9F76A0" w14:textId="77777777" w:rsidR="0036185F" w:rsidRPr="00D6340F" w:rsidRDefault="00D11BB6" w:rsidP="007E4E67">
      <w:pPr>
        <w:pStyle w:val="ep0"/>
        <w:widowControl w:val="0"/>
        <w:numPr>
          <w:ilvl w:val="0"/>
          <w:numId w:val="40"/>
        </w:numPr>
        <w:ind w:left="284" w:hanging="284"/>
        <w:rPr>
          <w:rFonts w:cs="Arial"/>
          <w:strike w:val="0"/>
          <w:lang w:val="en-GB"/>
        </w:rPr>
      </w:pPr>
      <w:bookmarkStart w:id="9" w:name="OLE_LINK1"/>
      <w:r w:rsidRPr="00D6340F">
        <w:rPr>
          <w:rFonts w:cs="Arial"/>
          <w:strike w:val="0"/>
          <w:lang w:val="en-GB"/>
        </w:rPr>
        <w:t>For initial assessment.</w:t>
      </w:r>
    </w:p>
    <w:p w14:paraId="0C96D88E" w14:textId="77777777" w:rsidR="0036185F" w:rsidRPr="00D6340F" w:rsidRDefault="00D11BB6" w:rsidP="007E4E67">
      <w:pPr>
        <w:pStyle w:val="ep0"/>
        <w:widowControl w:val="0"/>
        <w:numPr>
          <w:ilvl w:val="0"/>
          <w:numId w:val="40"/>
        </w:numPr>
        <w:ind w:left="284" w:hanging="284"/>
        <w:rPr>
          <w:rFonts w:cs="Arial"/>
          <w:strike w:val="0"/>
          <w:lang w:val="en-GB"/>
        </w:rPr>
      </w:pPr>
      <w:r w:rsidRPr="00D6340F">
        <w:rPr>
          <w:rFonts w:cs="Arial"/>
          <w:strike w:val="0"/>
          <w:lang w:val="en-GB"/>
        </w:rPr>
        <w:t xml:space="preserve">Initiation </w:t>
      </w:r>
      <w:r w:rsidR="008C6DBC">
        <w:rPr>
          <w:rFonts w:cs="Arial"/>
          <w:strike w:val="0"/>
          <w:lang w:val="en-GB"/>
        </w:rPr>
        <w:t xml:space="preserve">of, </w:t>
      </w:r>
      <w:r w:rsidRPr="00D6340F">
        <w:rPr>
          <w:rFonts w:cs="Arial"/>
          <w:strike w:val="0"/>
          <w:lang w:val="en-GB"/>
        </w:rPr>
        <w:t>and monitoring response to</w:t>
      </w:r>
      <w:r w:rsidR="008C6DBC">
        <w:rPr>
          <w:rFonts w:cs="Arial"/>
          <w:strike w:val="0"/>
          <w:lang w:val="en-GB"/>
        </w:rPr>
        <w:t>,</w:t>
      </w:r>
      <w:r w:rsidRPr="00D6340F">
        <w:rPr>
          <w:rFonts w:cs="Arial"/>
          <w:strike w:val="0"/>
          <w:lang w:val="en-GB"/>
        </w:rPr>
        <w:t xml:space="preserve"> therapy</w:t>
      </w:r>
      <w:r w:rsidR="008C6DBC">
        <w:rPr>
          <w:rFonts w:cs="Arial"/>
          <w:strike w:val="0"/>
          <w:lang w:val="en-GB"/>
        </w:rPr>
        <w:t>,</w:t>
      </w:r>
      <w:r w:rsidRPr="00D6340F">
        <w:rPr>
          <w:rFonts w:cs="Arial"/>
          <w:strike w:val="0"/>
          <w:lang w:val="en-GB"/>
        </w:rPr>
        <w:t xml:space="preserve"> and 18–24 monthly bone mineral density (BMD).</w:t>
      </w:r>
    </w:p>
    <w:p w14:paraId="11FE7FF4" w14:textId="77777777" w:rsidR="0036185F" w:rsidRPr="00D6340F" w:rsidRDefault="00D11BB6" w:rsidP="007E4E67">
      <w:pPr>
        <w:pStyle w:val="ep0"/>
        <w:widowControl w:val="0"/>
        <w:numPr>
          <w:ilvl w:val="0"/>
          <w:numId w:val="40"/>
        </w:numPr>
        <w:ind w:left="284" w:hanging="284"/>
        <w:rPr>
          <w:rFonts w:cs="Arial"/>
          <w:strike w:val="0"/>
          <w:lang w:val="en-GB"/>
        </w:rPr>
      </w:pPr>
      <w:r w:rsidRPr="00D6340F">
        <w:rPr>
          <w:rFonts w:cs="Arial"/>
          <w:strike w:val="0"/>
          <w:lang w:val="en-GB"/>
        </w:rPr>
        <w:t xml:space="preserve">Fractures suspected to be due to osteoporosis for consideration for </w:t>
      </w:r>
      <w:bookmarkEnd w:id="9"/>
      <w:r w:rsidRPr="00D6340F">
        <w:rPr>
          <w:rFonts w:cs="Arial"/>
          <w:strike w:val="0"/>
          <w:lang w:val="en-GB"/>
        </w:rPr>
        <w:t>alendronate</w:t>
      </w:r>
      <w:r w:rsidR="00290F7D">
        <w:rPr>
          <w:rFonts w:cs="Arial"/>
          <w:strike w:val="0"/>
          <w:lang w:val="en-GB"/>
        </w:rPr>
        <w:t>.</w:t>
      </w:r>
    </w:p>
    <w:p w14:paraId="6B7F683D" w14:textId="77777777" w:rsidR="0036185F" w:rsidRDefault="00D11BB6" w:rsidP="007E4E67">
      <w:pPr>
        <w:pStyle w:val="ep0"/>
        <w:widowControl w:val="0"/>
        <w:numPr>
          <w:ilvl w:val="0"/>
          <w:numId w:val="40"/>
        </w:numPr>
        <w:ind w:left="284" w:hanging="284"/>
        <w:rPr>
          <w:rFonts w:cs="Arial"/>
          <w:strike w:val="0"/>
          <w:lang w:val="en-GB"/>
        </w:rPr>
      </w:pPr>
      <w:r w:rsidRPr="00290F7D">
        <w:rPr>
          <w:rFonts w:cs="Arial"/>
          <w:strike w:val="0"/>
          <w:lang w:val="en-GB"/>
        </w:rPr>
        <w:t xml:space="preserve">Patients </w:t>
      </w:r>
      <w:r w:rsidR="00A86729" w:rsidRPr="00290F7D">
        <w:rPr>
          <w:rFonts w:cs="Arial"/>
          <w:strike w:val="0"/>
          <w:lang w:val="en-GB"/>
        </w:rPr>
        <w:t xml:space="preserve">not </w:t>
      </w:r>
      <w:r w:rsidRPr="00290F7D">
        <w:rPr>
          <w:rFonts w:cs="Arial"/>
          <w:strike w:val="0"/>
          <w:lang w:val="en-GB"/>
        </w:rPr>
        <w:t xml:space="preserve">tolerating oral </w:t>
      </w:r>
      <w:r w:rsidR="00764A73" w:rsidRPr="00290F7D">
        <w:rPr>
          <w:rFonts w:cs="Arial"/>
          <w:strike w:val="0"/>
          <w:lang w:val="en-GB"/>
        </w:rPr>
        <w:t>bisphosphonate</w:t>
      </w:r>
      <w:r w:rsidR="00F66C0F" w:rsidRPr="00290F7D">
        <w:rPr>
          <w:rFonts w:cs="Arial"/>
          <w:strike w:val="0"/>
          <w:lang w:val="en-GB"/>
        </w:rPr>
        <w:t>.</w:t>
      </w:r>
    </w:p>
    <w:p w14:paraId="11CED9A2" w14:textId="355BA41E" w:rsidR="00EF5F8F" w:rsidRPr="003A7AC5" w:rsidRDefault="00EF5F8F" w:rsidP="007E4E67">
      <w:pPr>
        <w:pStyle w:val="ep0"/>
        <w:widowControl w:val="0"/>
        <w:numPr>
          <w:ilvl w:val="0"/>
          <w:numId w:val="40"/>
        </w:numPr>
        <w:ind w:left="284" w:hanging="284"/>
        <w:rPr>
          <w:rFonts w:cs="Arial"/>
          <w:strike w:val="0"/>
          <w:lang w:val="en-GB"/>
        </w:rPr>
      </w:pPr>
      <w:r w:rsidRPr="003A7AC5">
        <w:rPr>
          <w:rFonts w:cs="Arial"/>
          <w:strike w:val="0"/>
          <w:lang w:val="en-GB"/>
        </w:rPr>
        <w:t>Patients with e-GFR &lt; 30</w:t>
      </w:r>
      <w:r w:rsidR="00C02EBC">
        <w:rPr>
          <w:rFonts w:cs="Arial"/>
          <w:strike w:val="0"/>
          <w:lang w:val="en-GB"/>
        </w:rPr>
        <w:t xml:space="preserve"> </w:t>
      </w:r>
      <w:r w:rsidRPr="003A7AC5">
        <w:rPr>
          <w:rFonts w:cs="Arial"/>
          <w:strike w:val="0"/>
          <w:lang w:val="en-GB"/>
        </w:rPr>
        <w:t>m</w:t>
      </w:r>
      <w:r w:rsidR="00C02EBC">
        <w:rPr>
          <w:rFonts w:cs="Arial"/>
          <w:strike w:val="0"/>
          <w:lang w:val="en-GB"/>
        </w:rPr>
        <w:t>L</w:t>
      </w:r>
      <w:r w:rsidRPr="003A7AC5">
        <w:rPr>
          <w:rFonts w:cs="Arial"/>
          <w:strike w:val="0"/>
          <w:lang w:val="en-GB"/>
        </w:rPr>
        <w:t>/min</w:t>
      </w:r>
      <w:r w:rsidR="00C02EBC">
        <w:rPr>
          <w:rFonts w:cs="Arial"/>
          <w:strike w:val="0"/>
          <w:lang w:val="en-GB"/>
        </w:rPr>
        <w:t>ute</w:t>
      </w:r>
      <w:r w:rsidRPr="003A7AC5">
        <w:rPr>
          <w:rFonts w:cs="Arial"/>
          <w:strike w:val="0"/>
          <w:lang w:val="en-GB"/>
        </w:rPr>
        <w:t>.</w:t>
      </w:r>
    </w:p>
    <w:p w14:paraId="477FDDDD" w14:textId="7C03D1AA" w:rsidR="00F94AA5" w:rsidRDefault="00F94AA5" w:rsidP="007511F7">
      <w:pPr>
        <w:pStyle w:val="ep0"/>
        <w:rPr>
          <w:rFonts w:cs="Arial"/>
          <w:strike w:val="0"/>
          <w:lang w:val="en-GB"/>
        </w:rPr>
      </w:pPr>
    </w:p>
    <w:p w14:paraId="398F725A" w14:textId="77777777" w:rsidR="00C77771" w:rsidRPr="00D6340F" w:rsidRDefault="00C77771" w:rsidP="007511F7">
      <w:pPr>
        <w:pStyle w:val="ep0"/>
        <w:rPr>
          <w:rFonts w:cs="Arial"/>
          <w:strike w:val="0"/>
          <w:lang w:val="en-GB"/>
        </w:rPr>
      </w:pPr>
    </w:p>
    <w:p w14:paraId="0F6F421A" w14:textId="77777777" w:rsidR="00D11BB6" w:rsidRPr="00D6340F" w:rsidRDefault="00D11BB6" w:rsidP="00D11BB6">
      <w:pPr>
        <w:pStyle w:val="Heading1"/>
        <w:rPr>
          <w:rFonts w:cs="Arial"/>
          <w:lang w:val="en-GB"/>
        </w:rPr>
      </w:pPr>
      <w:r w:rsidRPr="00D6340F">
        <w:rPr>
          <w:rFonts w:cs="Arial"/>
          <w:lang w:val="en-GB"/>
        </w:rPr>
        <w:lastRenderedPageBreak/>
        <w:t xml:space="preserve">8.13 OSTEOMALACIA/RICKETS </w:t>
      </w:r>
    </w:p>
    <w:p w14:paraId="3A47989E" w14:textId="77777777" w:rsidR="00D11BB6" w:rsidRPr="00D6340F" w:rsidRDefault="00D11BB6" w:rsidP="00C02921">
      <w:pPr>
        <w:pStyle w:val="Heading4"/>
      </w:pPr>
      <w:r w:rsidRPr="00D6340F">
        <w:t>M83.</w:t>
      </w:r>
      <w:r w:rsidR="00904B36">
        <w:t>00-59/M83.80-99/E55.0</w:t>
      </w:r>
    </w:p>
    <w:p w14:paraId="67B6AF93" w14:textId="77777777" w:rsidR="00D11BB6" w:rsidRPr="00D6340F" w:rsidRDefault="00D11BB6" w:rsidP="00D11BB6">
      <w:pPr>
        <w:rPr>
          <w:rFonts w:cs="Arial"/>
          <w:sz w:val="16"/>
          <w:lang w:val="en-GB"/>
        </w:rPr>
      </w:pPr>
    </w:p>
    <w:p w14:paraId="667A93DC" w14:textId="77777777" w:rsidR="00D11BB6" w:rsidRPr="00D6340F" w:rsidRDefault="00D11BB6" w:rsidP="00D11BB6">
      <w:pPr>
        <w:pStyle w:val="Heading5"/>
        <w:rPr>
          <w:rFonts w:cs="Arial"/>
          <w:lang w:val="en-GB"/>
        </w:rPr>
      </w:pPr>
      <w:r w:rsidRPr="00D6340F">
        <w:rPr>
          <w:rFonts w:cs="Arial"/>
          <w:lang w:val="en-GB"/>
        </w:rPr>
        <w:t>DESCRIPTION</w:t>
      </w:r>
    </w:p>
    <w:p w14:paraId="078749A0" w14:textId="77777777" w:rsidR="00D11BB6" w:rsidRPr="00D6340F" w:rsidRDefault="00D11BB6" w:rsidP="00D11BB6">
      <w:pPr>
        <w:rPr>
          <w:rFonts w:cs="Arial"/>
          <w:lang w:val="en-GB"/>
        </w:rPr>
      </w:pPr>
      <w:r w:rsidRPr="00D6340F">
        <w:rPr>
          <w:rFonts w:cs="Arial"/>
          <w:lang w:val="en-GB"/>
        </w:rPr>
        <w:t>A disorder of mineralisation of newly synthesised bone matrix.</w:t>
      </w:r>
    </w:p>
    <w:p w14:paraId="6C202569" w14:textId="77777777" w:rsidR="00DC2B15" w:rsidRDefault="00DC2B15" w:rsidP="00D11BB6">
      <w:pPr>
        <w:pStyle w:val="Heading5"/>
        <w:rPr>
          <w:rFonts w:cs="Arial"/>
          <w:lang w:val="en-GB"/>
        </w:rPr>
      </w:pPr>
    </w:p>
    <w:p w14:paraId="28482661" w14:textId="77777777" w:rsidR="00D11BB6" w:rsidRPr="00D6340F" w:rsidRDefault="00D11BB6" w:rsidP="00D11BB6">
      <w:pPr>
        <w:pStyle w:val="Heading5"/>
        <w:rPr>
          <w:rFonts w:cs="Arial"/>
          <w:lang w:val="en-GB"/>
        </w:rPr>
      </w:pPr>
      <w:r w:rsidRPr="00D6340F">
        <w:rPr>
          <w:rFonts w:cs="Arial"/>
          <w:lang w:val="en-GB"/>
        </w:rPr>
        <w:t>REFERRAL</w:t>
      </w:r>
    </w:p>
    <w:p w14:paraId="72F52D2E" w14:textId="77777777" w:rsidR="00D11BB6" w:rsidRDefault="00D11BB6" w:rsidP="005534A6">
      <w:pPr>
        <w:pStyle w:val="ep0"/>
        <w:ind w:left="0"/>
        <w:rPr>
          <w:rFonts w:cs="Arial"/>
          <w:strike w:val="0"/>
          <w:lang w:val="en-GB"/>
        </w:rPr>
      </w:pPr>
      <w:r w:rsidRPr="00D6340F">
        <w:rPr>
          <w:rFonts w:cs="Arial"/>
          <w:strike w:val="0"/>
          <w:lang w:val="en-GB"/>
        </w:rPr>
        <w:t>All</w:t>
      </w:r>
      <w:r w:rsidR="00A86729" w:rsidRPr="00D6340F">
        <w:rPr>
          <w:rFonts w:cs="Arial"/>
          <w:strike w:val="0"/>
          <w:lang w:val="en-GB"/>
        </w:rPr>
        <w:t xml:space="preserve"> patients</w:t>
      </w:r>
      <w:r w:rsidR="004575B1">
        <w:rPr>
          <w:rFonts w:cs="Arial"/>
          <w:strike w:val="0"/>
          <w:lang w:val="en-GB"/>
        </w:rPr>
        <w:t>.</w:t>
      </w:r>
    </w:p>
    <w:p w14:paraId="42D324AA" w14:textId="77777777" w:rsidR="00CC1CF6" w:rsidRPr="00C2649C" w:rsidRDefault="00CC1CF6" w:rsidP="005534A6">
      <w:pPr>
        <w:pStyle w:val="ep0"/>
        <w:ind w:left="0"/>
        <w:rPr>
          <w:rFonts w:cs="Arial"/>
          <w:strike w:val="0"/>
          <w:sz w:val="16"/>
          <w:lang w:val="en-GB"/>
        </w:rPr>
      </w:pPr>
    </w:p>
    <w:p w14:paraId="3932576A" w14:textId="77777777" w:rsidR="00D11BB6" w:rsidRPr="00D6340F" w:rsidRDefault="00D11BB6" w:rsidP="00D11BB6">
      <w:pPr>
        <w:pStyle w:val="Heading1"/>
        <w:rPr>
          <w:rFonts w:cs="Arial"/>
          <w:lang w:val="en-GB"/>
        </w:rPr>
      </w:pPr>
      <w:r w:rsidRPr="00D6340F">
        <w:rPr>
          <w:rFonts w:cs="Arial"/>
          <w:lang w:val="en-GB"/>
        </w:rPr>
        <w:t>8.14 PAGET’S disease</w:t>
      </w:r>
    </w:p>
    <w:p w14:paraId="5B504630" w14:textId="77777777" w:rsidR="00D11BB6" w:rsidRPr="00D6340F" w:rsidRDefault="00D11BB6" w:rsidP="00C02921">
      <w:pPr>
        <w:pStyle w:val="Heading4"/>
      </w:pPr>
      <w:r w:rsidRPr="00D6340F">
        <w:t>m88.</w:t>
      </w:r>
      <w:r w:rsidR="00904B36">
        <w:t>08/M88.80-99</w:t>
      </w:r>
    </w:p>
    <w:p w14:paraId="31A1809F" w14:textId="77777777" w:rsidR="00D11BB6" w:rsidRPr="00C2649C" w:rsidRDefault="00D11BB6" w:rsidP="00D11BB6">
      <w:pPr>
        <w:rPr>
          <w:rFonts w:cs="Arial"/>
          <w:sz w:val="16"/>
          <w:lang w:val="en-GB"/>
        </w:rPr>
      </w:pPr>
    </w:p>
    <w:p w14:paraId="1BD01DCB" w14:textId="77777777" w:rsidR="00D11BB6" w:rsidRPr="00D6340F" w:rsidRDefault="00D11BB6" w:rsidP="003A7AC5">
      <w:pPr>
        <w:pStyle w:val="Heading5"/>
        <w:keepNext w:val="0"/>
        <w:widowControl w:val="0"/>
        <w:rPr>
          <w:rFonts w:cs="Arial"/>
          <w:lang w:val="en-GB"/>
        </w:rPr>
      </w:pPr>
      <w:r w:rsidRPr="00D6340F">
        <w:rPr>
          <w:rFonts w:cs="Arial"/>
          <w:lang w:val="en-GB"/>
        </w:rPr>
        <w:t>DESCRIPTION</w:t>
      </w:r>
    </w:p>
    <w:p w14:paraId="1A13B9E8" w14:textId="77777777" w:rsidR="00D11BB6" w:rsidRDefault="00D11BB6" w:rsidP="003A7AC5">
      <w:pPr>
        <w:widowControl w:val="0"/>
        <w:rPr>
          <w:rFonts w:cs="Arial"/>
          <w:lang w:val="en-GB"/>
        </w:rPr>
      </w:pPr>
      <w:r w:rsidRPr="00D6340F">
        <w:rPr>
          <w:rFonts w:cs="Arial"/>
          <w:lang w:val="en-GB"/>
        </w:rPr>
        <w:t>Bone disease characterised by localised uncontrolled formation of highly active osteoclasts leading to an increase in bone resorption followed by chaotic increase in bone formation.</w:t>
      </w:r>
    </w:p>
    <w:p w14:paraId="01CFC5DD" w14:textId="77777777" w:rsidR="003A7AC5" w:rsidRPr="00C2649C" w:rsidRDefault="003A7AC5" w:rsidP="00D11BB6">
      <w:pPr>
        <w:rPr>
          <w:rFonts w:cs="Arial"/>
          <w:sz w:val="16"/>
          <w:lang w:val="en-GB"/>
        </w:rPr>
      </w:pPr>
    </w:p>
    <w:p w14:paraId="1AE654D4" w14:textId="77777777" w:rsidR="00D11BB6" w:rsidRPr="00D6340F" w:rsidRDefault="00D11BB6" w:rsidP="00D11BB6">
      <w:pPr>
        <w:rPr>
          <w:rFonts w:cs="Arial"/>
          <w:b/>
          <w:sz w:val="20"/>
          <w:szCs w:val="20"/>
          <w:lang w:val="en-GB"/>
        </w:rPr>
      </w:pPr>
      <w:r w:rsidRPr="00D6340F">
        <w:rPr>
          <w:rFonts w:cs="Arial"/>
          <w:b/>
          <w:sz w:val="20"/>
          <w:szCs w:val="20"/>
          <w:lang w:val="en-GB"/>
        </w:rPr>
        <w:t>GENERAL MEASURES</w:t>
      </w:r>
    </w:p>
    <w:p w14:paraId="1150FC92" w14:textId="77777777" w:rsidR="00C85E50" w:rsidRDefault="00D11BB6" w:rsidP="006A7E1A">
      <w:pPr>
        <w:widowControl w:val="0"/>
        <w:rPr>
          <w:rFonts w:cs="Arial"/>
          <w:color w:val="auto"/>
          <w:lang w:val="en-GB"/>
        </w:rPr>
      </w:pPr>
      <w:r w:rsidRPr="00D6340F">
        <w:rPr>
          <w:rFonts w:cs="Arial"/>
          <w:lang w:val="en-GB"/>
        </w:rPr>
        <w:t xml:space="preserve">Most cases are mild and </w:t>
      </w:r>
      <w:proofErr w:type="gramStart"/>
      <w:r w:rsidRPr="00D6340F">
        <w:rPr>
          <w:rFonts w:cs="Arial"/>
          <w:lang w:val="en-GB"/>
        </w:rPr>
        <w:t>asymptomatic</w:t>
      </w:r>
      <w:proofErr w:type="gramEnd"/>
      <w:r w:rsidRPr="00D6340F">
        <w:rPr>
          <w:rFonts w:cs="Arial"/>
          <w:lang w:val="en-GB"/>
        </w:rPr>
        <w:t xml:space="preserve"> and no treatment is required.</w:t>
      </w:r>
      <w:r w:rsidR="004B127A">
        <w:rPr>
          <w:rFonts w:cs="Arial"/>
          <w:lang w:val="en-GB"/>
        </w:rPr>
        <w:t xml:space="preserve"> </w:t>
      </w:r>
      <w:r w:rsidR="00345213" w:rsidRPr="00D6340F">
        <w:rPr>
          <w:rFonts w:cs="Arial"/>
          <w:color w:val="auto"/>
          <w:lang w:val="en-GB"/>
        </w:rPr>
        <w:t>The</w:t>
      </w:r>
      <w:r w:rsidR="004B127A">
        <w:rPr>
          <w:rFonts w:cs="Arial"/>
          <w:color w:val="auto"/>
          <w:lang w:val="en-GB"/>
        </w:rPr>
        <w:t xml:space="preserve"> </w:t>
      </w:r>
      <w:r w:rsidR="00345213" w:rsidRPr="00D6340F">
        <w:rPr>
          <w:rFonts w:cs="Arial"/>
          <w:color w:val="auto"/>
          <w:lang w:val="en-GB"/>
        </w:rPr>
        <w:t xml:space="preserve">diagnosis is supported </w:t>
      </w:r>
      <w:r w:rsidRPr="00D6340F">
        <w:rPr>
          <w:rFonts w:cs="Arial"/>
          <w:color w:val="auto"/>
          <w:lang w:val="en-GB"/>
        </w:rPr>
        <w:t xml:space="preserve">by isolated high alkaline phosphatase </w:t>
      </w:r>
      <w:r w:rsidR="00345213" w:rsidRPr="00D6340F">
        <w:rPr>
          <w:rFonts w:cs="Arial"/>
          <w:color w:val="auto"/>
          <w:lang w:val="en-GB"/>
        </w:rPr>
        <w:t>and</w:t>
      </w:r>
      <w:r w:rsidR="004B127A">
        <w:rPr>
          <w:rFonts w:cs="Arial"/>
          <w:color w:val="auto"/>
          <w:lang w:val="en-GB"/>
        </w:rPr>
        <w:t xml:space="preserve"> </w:t>
      </w:r>
      <w:r w:rsidRPr="00D6340F">
        <w:rPr>
          <w:rFonts w:cs="Arial"/>
          <w:color w:val="auto"/>
          <w:lang w:val="en-GB"/>
        </w:rPr>
        <w:t>typical</w:t>
      </w:r>
      <w:r w:rsidR="004B127A">
        <w:rPr>
          <w:rFonts w:cs="Arial"/>
          <w:color w:val="auto"/>
          <w:lang w:val="en-GB"/>
        </w:rPr>
        <w:t xml:space="preserve"> </w:t>
      </w:r>
      <w:r w:rsidR="00C85B49" w:rsidRPr="006331C8">
        <w:rPr>
          <w:rFonts w:cs="Arial"/>
          <w:color w:val="4F6228" w:themeColor="accent3" w:themeShade="80"/>
          <w:lang w:val="en-GB"/>
        </w:rPr>
        <w:t>CXR</w:t>
      </w:r>
      <w:r w:rsidRPr="006331C8">
        <w:rPr>
          <w:rFonts w:cs="Arial"/>
          <w:color w:val="auto"/>
          <w:lang w:val="en-GB"/>
        </w:rPr>
        <w:t xml:space="preserve"> </w:t>
      </w:r>
      <w:r w:rsidR="003F79A6" w:rsidRPr="00C23D57">
        <w:rPr>
          <w:rFonts w:cs="Arial"/>
          <w:color w:val="auto"/>
          <w:lang w:val="en-GB"/>
        </w:rPr>
        <w:t xml:space="preserve">radiological </w:t>
      </w:r>
      <w:r w:rsidRPr="00D6340F">
        <w:rPr>
          <w:rFonts w:cs="Arial"/>
          <w:color w:val="auto"/>
          <w:lang w:val="en-GB"/>
        </w:rPr>
        <w:t>changes.</w:t>
      </w:r>
    </w:p>
    <w:p w14:paraId="6AF63651" w14:textId="77777777" w:rsidR="00C85E50" w:rsidRPr="00C23D57" w:rsidRDefault="00C85E50" w:rsidP="006A7E1A">
      <w:pPr>
        <w:widowControl w:val="0"/>
        <w:rPr>
          <w:rFonts w:cs="Arial"/>
          <w:color w:val="auto"/>
          <w:sz w:val="4"/>
          <w:szCs w:val="4"/>
          <w:lang w:val="en-GB"/>
        </w:rPr>
      </w:pPr>
    </w:p>
    <w:p w14:paraId="028EB3FF" w14:textId="77777777" w:rsidR="00D11BB6" w:rsidRPr="00D6340F" w:rsidRDefault="00D11BB6" w:rsidP="00D11BB6">
      <w:pPr>
        <w:rPr>
          <w:rFonts w:cs="Arial"/>
          <w:lang w:val="en-GB"/>
        </w:rPr>
      </w:pPr>
      <w:r w:rsidRPr="00D6340F">
        <w:rPr>
          <w:rFonts w:cs="Arial"/>
          <w:lang w:val="en-GB"/>
        </w:rPr>
        <w:t>Avoid high calcium diet when immobile as hypercalcaemia may occur with immobilisation.</w:t>
      </w:r>
    </w:p>
    <w:p w14:paraId="379BE6C6" w14:textId="77777777" w:rsidR="00D11BB6" w:rsidRPr="00C23D57" w:rsidRDefault="00D11BB6" w:rsidP="00D11BB6">
      <w:pPr>
        <w:rPr>
          <w:rFonts w:cs="Arial"/>
          <w:sz w:val="4"/>
          <w:szCs w:val="4"/>
          <w:lang w:val="en-GB"/>
        </w:rPr>
      </w:pPr>
    </w:p>
    <w:p w14:paraId="72F1090E" w14:textId="77777777" w:rsidR="00D11BB6" w:rsidRPr="00D6340F" w:rsidRDefault="00D11BB6" w:rsidP="00D11BB6">
      <w:pPr>
        <w:rPr>
          <w:rFonts w:cs="Arial"/>
          <w:lang w:val="en-GB"/>
        </w:rPr>
      </w:pPr>
      <w:r w:rsidRPr="00D6340F">
        <w:rPr>
          <w:rFonts w:cs="Arial"/>
          <w:lang w:val="en-GB"/>
        </w:rPr>
        <w:t>Differentiate bone pain of Paget’s, especially at night, from arthritic pain in joints near deformed bone, e.g. hip and knee joints, as well as pain resulting from fracture or complicating osteosarcoma.</w:t>
      </w:r>
    </w:p>
    <w:p w14:paraId="23F547BD" w14:textId="77777777" w:rsidR="00D11BB6" w:rsidRPr="00C2649C" w:rsidRDefault="00D11BB6" w:rsidP="00D11BB6">
      <w:pPr>
        <w:rPr>
          <w:rFonts w:cs="Arial"/>
          <w:sz w:val="16"/>
          <w:lang w:val="en-GB"/>
        </w:rPr>
      </w:pPr>
    </w:p>
    <w:p w14:paraId="13CDD5A2" w14:textId="77777777" w:rsidR="00D11BB6" w:rsidRPr="00D6340F" w:rsidRDefault="00D11BB6" w:rsidP="00D11BB6">
      <w:pPr>
        <w:rPr>
          <w:rFonts w:cs="Arial"/>
          <w:b/>
          <w:sz w:val="20"/>
          <w:szCs w:val="20"/>
          <w:lang w:val="en-GB"/>
        </w:rPr>
      </w:pPr>
      <w:r w:rsidRPr="00D6340F">
        <w:rPr>
          <w:rFonts w:cs="Arial"/>
          <w:b/>
          <w:sz w:val="20"/>
          <w:szCs w:val="20"/>
          <w:lang w:val="en-GB"/>
        </w:rPr>
        <w:t>MEDICINE TREATMENT</w:t>
      </w:r>
    </w:p>
    <w:p w14:paraId="5A8975A0" w14:textId="77777777" w:rsidR="00D11BB6" w:rsidRDefault="00D11BB6" w:rsidP="00D11BB6">
      <w:pPr>
        <w:rPr>
          <w:rFonts w:cs="Arial"/>
          <w:lang w:val="en-GB"/>
        </w:rPr>
      </w:pPr>
      <w:r w:rsidRPr="00D6340F">
        <w:rPr>
          <w:rFonts w:cs="Arial"/>
          <w:lang w:val="en-GB"/>
        </w:rPr>
        <w:t xml:space="preserve">For </w:t>
      </w:r>
      <w:r w:rsidRPr="00D6340F">
        <w:rPr>
          <w:rFonts w:cs="Arial"/>
          <w:color w:val="auto"/>
          <w:lang w:val="en-GB"/>
        </w:rPr>
        <w:t xml:space="preserve">arthritic </w:t>
      </w:r>
      <w:r w:rsidRPr="00D6340F">
        <w:rPr>
          <w:rFonts w:cs="Arial"/>
          <w:lang w:val="en-GB"/>
        </w:rPr>
        <w:t>pain:</w:t>
      </w:r>
    </w:p>
    <w:p w14:paraId="667269CB" w14:textId="423148FD" w:rsidR="008454E9" w:rsidRPr="00BF05F5" w:rsidRDefault="00BF05F5" w:rsidP="007E4E67">
      <w:pPr>
        <w:pStyle w:val="ListParagraph"/>
        <w:numPr>
          <w:ilvl w:val="0"/>
          <w:numId w:val="57"/>
        </w:numPr>
        <w:spacing w:line="240" w:lineRule="auto"/>
        <w:ind w:left="284" w:hanging="284"/>
        <w:rPr>
          <w:rFonts w:ascii="Arial" w:hAnsi="Arial" w:cs="Arial"/>
          <w:sz w:val="18"/>
          <w:szCs w:val="18"/>
          <w:lang w:val="en-GB"/>
        </w:rPr>
      </w:pPr>
      <w:r w:rsidRPr="00BF05F5">
        <w:rPr>
          <w:rFonts w:ascii="Arial" w:hAnsi="Arial" w:cs="Arial"/>
          <w:sz w:val="18"/>
          <w:szCs w:val="18"/>
          <w:lang w:val="en-GB"/>
        </w:rPr>
        <w:t>NSAID, e.g.:</w:t>
      </w:r>
    </w:p>
    <w:p w14:paraId="4E517573" w14:textId="77777777" w:rsidR="00D11BB6" w:rsidRDefault="00D11BB6" w:rsidP="00C23D57">
      <w:pPr>
        <w:pStyle w:val="ep4"/>
        <w:tabs>
          <w:tab w:val="clear" w:pos="360"/>
          <w:tab w:val="num" w:pos="284"/>
        </w:tabs>
        <w:rPr>
          <w:lang w:val="en-GB" w:eastAsia="en-ZA"/>
        </w:rPr>
      </w:pPr>
      <w:r w:rsidRPr="00D6340F">
        <w:rPr>
          <w:lang w:val="en-GB" w:eastAsia="en-ZA"/>
        </w:rPr>
        <w:t>Ibuprofen, oral, 400 mg 8 hourly with meals.</w:t>
      </w:r>
    </w:p>
    <w:p w14:paraId="26139B6A" w14:textId="77777777" w:rsidR="00DC4E19" w:rsidRPr="00C2649C" w:rsidRDefault="00DC4E19" w:rsidP="004A116B">
      <w:pPr>
        <w:rPr>
          <w:rFonts w:cs="Arial"/>
          <w:sz w:val="16"/>
          <w:lang w:val="en-GB"/>
        </w:rPr>
      </w:pPr>
    </w:p>
    <w:p w14:paraId="593DF4CB" w14:textId="77777777" w:rsidR="00D11BB6" w:rsidRPr="00D6340F" w:rsidRDefault="00D11BB6" w:rsidP="00D11BB6">
      <w:pPr>
        <w:pStyle w:val="Heading5"/>
        <w:rPr>
          <w:rFonts w:cs="Arial"/>
          <w:lang w:val="en-GB"/>
        </w:rPr>
      </w:pPr>
      <w:r w:rsidRPr="00D6340F">
        <w:rPr>
          <w:rFonts w:cs="Arial"/>
          <w:bCs/>
          <w:lang w:val="en-GB"/>
        </w:rPr>
        <w:t>REFERRA</w:t>
      </w:r>
      <w:r w:rsidRPr="00D6340F">
        <w:rPr>
          <w:rFonts w:cs="Arial"/>
          <w:lang w:val="en-GB"/>
        </w:rPr>
        <w:t>L</w:t>
      </w:r>
    </w:p>
    <w:p w14:paraId="38E4EDEF" w14:textId="77777777" w:rsidR="00601A42" w:rsidRPr="00EF5F8F" w:rsidRDefault="00CF1E5F" w:rsidP="00D11BB6">
      <w:pPr>
        <w:rPr>
          <w:rFonts w:cs="Arial"/>
          <w:color w:val="4F6228" w:themeColor="accent3" w:themeShade="80"/>
        </w:rPr>
      </w:pPr>
      <w:r w:rsidRPr="00D6340F">
        <w:rPr>
          <w:rFonts w:cs="Arial"/>
          <w:color w:val="auto"/>
          <w:lang w:val="en-GB"/>
        </w:rPr>
        <w:t>All</w:t>
      </w:r>
      <w:r w:rsidR="00A86729" w:rsidRPr="00D6340F">
        <w:rPr>
          <w:rFonts w:cs="Arial"/>
          <w:color w:val="auto"/>
          <w:lang w:val="en-GB"/>
        </w:rPr>
        <w:t xml:space="preserve"> patients.</w:t>
      </w:r>
    </w:p>
    <w:p w14:paraId="4188A9AA" w14:textId="77777777" w:rsidR="00FA4726" w:rsidRPr="00C2649C" w:rsidRDefault="00FA4726" w:rsidP="00D11BB6">
      <w:pPr>
        <w:rPr>
          <w:rFonts w:cs="Arial"/>
          <w:color w:val="auto"/>
          <w:sz w:val="16"/>
          <w:lang w:val="en-GB"/>
        </w:rPr>
      </w:pPr>
    </w:p>
    <w:p w14:paraId="32E1AF4F" w14:textId="77777777" w:rsidR="00CC1CF6" w:rsidRPr="00C2649C" w:rsidRDefault="00CC1CF6" w:rsidP="00D11BB6">
      <w:pPr>
        <w:rPr>
          <w:rFonts w:cs="Arial"/>
          <w:color w:val="auto"/>
          <w:sz w:val="16"/>
          <w:lang w:val="en-GB"/>
        </w:rPr>
      </w:pPr>
    </w:p>
    <w:p w14:paraId="170F274B" w14:textId="77777777" w:rsidR="00C605DA" w:rsidRPr="00D6340F" w:rsidRDefault="00C605DA" w:rsidP="00C605DA">
      <w:pPr>
        <w:pStyle w:val="Heading1"/>
        <w:rPr>
          <w:rFonts w:cs="Arial"/>
          <w:sz w:val="22"/>
          <w:lang w:val="en-GB"/>
        </w:rPr>
      </w:pPr>
      <w:r w:rsidRPr="00D6340F">
        <w:rPr>
          <w:rFonts w:cs="Arial"/>
          <w:sz w:val="22"/>
          <w:lang w:val="en-GB"/>
        </w:rPr>
        <w:t>8.15 PITUITARY DISORDERS</w:t>
      </w:r>
    </w:p>
    <w:p w14:paraId="3B632790" w14:textId="6DD11FCD" w:rsidR="00C605DA" w:rsidRPr="00C77771" w:rsidRDefault="00C77771" w:rsidP="00C605DA">
      <w:pPr>
        <w:rPr>
          <w:rFonts w:cs="Arial"/>
          <w:lang w:val="en-GB"/>
        </w:rPr>
      </w:pPr>
      <w:r w:rsidRPr="00C77771">
        <w:rPr>
          <w:rFonts w:cs="Arial"/>
          <w:lang w:val="en-GB"/>
        </w:rPr>
        <w:t xml:space="preserve">Includes prolactinoma, anterior hypothyroid </w:t>
      </w:r>
      <w:r w:rsidRPr="00C77771">
        <w:t>hypopituitarism and diabetes insipidus.</w:t>
      </w:r>
    </w:p>
    <w:p w14:paraId="38F20102" w14:textId="77777777" w:rsidR="00C77771" w:rsidRPr="00C2649C" w:rsidRDefault="00C77771" w:rsidP="00C605DA">
      <w:pPr>
        <w:rPr>
          <w:rFonts w:cs="Arial"/>
          <w:sz w:val="16"/>
          <w:lang w:val="en-GB"/>
        </w:rPr>
      </w:pPr>
    </w:p>
    <w:p w14:paraId="65F18572" w14:textId="77777777" w:rsidR="00C605DA" w:rsidRPr="00D6340F" w:rsidRDefault="00C605DA" w:rsidP="00110944">
      <w:pPr>
        <w:pStyle w:val="Heading2"/>
      </w:pPr>
      <w:r w:rsidRPr="00D6340F">
        <w:t>8.15.1 Prolactinoma</w:t>
      </w:r>
    </w:p>
    <w:p w14:paraId="7D9940D9" w14:textId="77777777" w:rsidR="00C605DA" w:rsidRPr="00D6340F" w:rsidRDefault="00C605DA" w:rsidP="00C02921">
      <w:pPr>
        <w:pStyle w:val="Heading4"/>
      </w:pPr>
      <w:r w:rsidRPr="00D6340F">
        <w:t>d35.2</w:t>
      </w:r>
      <w:r w:rsidR="00904B36">
        <w:t xml:space="preserve"> + (M8271/0)</w:t>
      </w:r>
    </w:p>
    <w:p w14:paraId="7B59CE3F" w14:textId="77777777" w:rsidR="00C605DA" w:rsidRPr="00C2649C" w:rsidRDefault="00C605DA" w:rsidP="00C605DA">
      <w:pPr>
        <w:rPr>
          <w:rFonts w:cs="Arial"/>
          <w:sz w:val="16"/>
          <w:lang w:val="en-GB"/>
        </w:rPr>
      </w:pPr>
    </w:p>
    <w:p w14:paraId="3F4A4C2F" w14:textId="77777777" w:rsidR="00C605DA" w:rsidRPr="00D6340F" w:rsidRDefault="00C605DA" w:rsidP="00C605DA">
      <w:pPr>
        <w:pStyle w:val="Heading5"/>
        <w:rPr>
          <w:rFonts w:cs="Arial"/>
          <w:lang w:val="en-GB"/>
        </w:rPr>
      </w:pPr>
      <w:r w:rsidRPr="00D6340F">
        <w:rPr>
          <w:rFonts w:cs="Arial"/>
          <w:lang w:val="en-GB"/>
        </w:rPr>
        <w:t>DESCRIPTION</w:t>
      </w:r>
    </w:p>
    <w:p w14:paraId="2059864F" w14:textId="77777777" w:rsidR="00C605DA" w:rsidRPr="00D6340F" w:rsidRDefault="00C605DA" w:rsidP="00C605DA">
      <w:pPr>
        <w:rPr>
          <w:rFonts w:cs="Arial"/>
          <w:color w:val="FF0000"/>
          <w:lang w:val="en-GB"/>
        </w:rPr>
      </w:pPr>
      <w:r w:rsidRPr="00D6340F">
        <w:rPr>
          <w:rFonts w:cs="Arial"/>
          <w:lang w:val="en-GB"/>
        </w:rPr>
        <w:t>Prolactinoma is the most common functioning pituitary tumour.</w:t>
      </w:r>
    </w:p>
    <w:p w14:paraId="14AB4EBB" w14:textId="77777777" w:rsidR="00C605DA" w:rsidRPr="00D6340F" w:rsidRDefault="00C605DA" w:rsidP="00C605DA">
      <w:pPr>
        <w:pStyle w:val="Heading5"/>
        <w:rPr>
          <w:rFonts w:cs="Arial"/>
          <w:lang w:val="en-GB"/>
        </w:rPr>
      </w:pPr>
      <w:r w:rsidRPr="00D6340F">
        <w:rPr>
          <w:rFonts w:cs="Arial"/>
          <w:lang w:val="en-GB"/>
        </w:rPr>
        <w:lastRenderedPageBreak/>
        <w:t>Investigations</w:t>
      </w:r>
    </w:p>
    <w:p w14:paraId="0AF81EC6" w14:textId="74BC084D" w:rsidR="00C605DA" w:rsidRPr="00D6340F" w:rsidRDefault="007857C5" w:rsidP="00C605DA">
      <w:pPr>
        <w:pStyle w:val="ep0"/>
        <w:ind w:left="0"/>
        <w:rPr>
          <w:rFonts w:cs="Arial"/>
          <w:strike w:val="0"/>
          <w:lang w:val="en-GB"/>
        </w:rPr>
      </w:pPr>
      <w:r w:rsidRPr="00D6340F">
        <w:rPr>
          <w:rFonts w:cs="Arial"/>
          <w:strike w:val="0"/>
          <w:lang w:val="en-GB"/>
        </w:rPr>
        <w:t xml:space="preserve">Serum prolactin, </w:t>
      </w:r>
      <w:r w:rsidR="00037411" w:rsidRPr="00037411">
        <w:rPr>
          <w:rFonts w:cs="Arial"/>
          <w:strike w:val="0"/>
          <w:lang w:val="en-GB"/>
        </w:rPr>
        <w:t>β-</w:t>
      </w:r>
      <w:proofErr w:type="spellStart"/>
      <w:r w:rsidR="00037411" w:rsidRPr="00037411">
        <w:rPr>
          <w:rFonts w:cs="Arial"/>
          <w:strike w:val="0"/>
          <w:lang w:val="en-GB"/>
        </w:rPr>
        <w:t>hCG</w:t>
      </w:r>
      <w:proofErr w:type="spellEnd"/>
      <w:r w:rsidR="00037411">
        <w:rPr>
          <w:rFonts w:cs="Arial"/>
          <w:strike w:val="0"/>
          <w:lang w:val="en-GB"/>
        </w:rPr>
        <w:t>.</w:t>
      </w:r>
    </w:p>
    <w:p w14:paraId="6BC1464D" w14:textId="77777777" w:rsidR="00C605DA" w:rsidRPr="00BF05F5" w:rsidRDefault="00C605DA" w:rsidP="00C605DA">
      <w:pPr>
        <w:rPr>
          <w:rFonts w:cs="Arial"/>
          <w:sz w:val="6"/>
          <w:szCs w:val="10"/>
          <w:lang w:val="en-GB"/>
        </w:rPr>
      </w:pPr>
    </w:p>
    <w:p w14:paraId="70B2F6E6" w14:textId="77777777" w:rsidR="00C605DA" w:rsidRPr="00D6340F" w:rsidRDefault="00C605DA" w:rsidP="00C605DA">
      <w:pPr>
        <w:pStyle w:val="Heading7"/>
        <w:rPr>
          <w:color w:val="auto"/>
          <w:lang w:val="en-GB"/>
        </w:rPr>
      </w:pPr>
      <w:r w:rsidRPr="00D6340F">
        <w:rPr>
          <w:color w:val="auto"/>
          <w:lang w:val="en-GB"/>
        </w:rPr>
        <w:t xml:space="preserve">Note: </w:t>
      </w:r>
    </w:p>
    <w:p w14:paraId="1CB6CA5F" w14:textId="77777777" w:rsidR="00C605DA" w:rsidRPr="00D6340F" w:rsidRDefault="00C605DA" w:rsidP="007E4E67">
      <w:pPr>
        <w:pStyle w:val="ep0"/>
        <w:numPr>
          <w:ilvl w:val="0"/>
          <w:numId w:val="43"/>
        </w:numPr>
        <w:ind w:left="284" w:hanging="284"/>
        <w:rPr>
          <w:rFonts w:cs="Arial"/>
          <w:strike w:val="0"/>
          <w:lang w:val="en-GB"/>
        </w:rPr>
      </w:pPr>
      <w:r w:rsidRPr="00D6340F">
        <w:rPr>
          <w:rFonts w:cs="Arial"/>
          <w:strike w:val="0"/>
          <w:lang w:val="en-GB"/>
        </w:rPr>
        <w:t>There are numerous causes of hyperprolactinaemia other than a prolactinoma</w:t>
      </w:r>
      <w:r w:rsidR="00CF1E5F" w:rsidRPr="00D6340F">
        <w:rPr>
          <w:rFonts w:cs="Arial"/>
          <w:strike w:val="0"/>
          <w:lang w:val="en-GB"/>
        </w:rPr>
        <w:t>,</w:t>
      </w:r>
      <w:r w:rsidR="007857C5" w:rsidRPr="00D6340F">
        <w:rPr>
          <w:rFonts w:cs="Arial"/>
          <w:strike w:val="0"/>
          <w:lang w:val="en-GB"/>
        </w:rPr>
        <w:t xml:space="preserve"> so secondary causes must be excluded</w:t>
      </w:r>
      <w:r w:rsidRPr="00D6340F">
        <w:rPr>
          <w:rFonts w:cs="Arial"/>
          <w:strike w:val="0"/>
          <w:lang w:val="en-GB"/>
        </w:rPr>
        <w:t xml:space="preserve"> e.g. </w:t>
      </w:r>
      <w:r w:rsidR="007857C5" w:rsidRPr="00D6340F">
        <w:rPr>
          <w:rFonts w:cs="Arial"/>
          <w:strike w:val="0"/>
          <w:lang w:val="en-GB"/>
        </w:rPr>
        <w:t xml:space="preserve">pregnancy, </w:t>
      </w:r>
      <w:r w:rsidR="00C14B74" w:rsidRPr="00D6340F">
        <w:rPr>
          <w:rFonts w:cs="Arial"/>
          <w:strike w:val="0"/>
          <w:lang w:val="en-GB"/>
        </w:rPr>
        <w:t>medicines</w:t>
      </w:r>
      <w:r w:rsidRPr="00D6340F">
        <w:rPr>
          <w:rFonts w:cs="Arial"/>
          <w:strike w:val="0"/>
          <w:lang w:val="en-GB"/>
        </w:rPr>
        <w:t>, physiological, hypothyroidism, chronic renal failure and tumours.</w:t>
      </w:r>
    </w:p>
    <w:p w14:paraId="2B7E58E2" w14:textId="77777777" w:rsidR="00C605DA" w:rsidRPr="00D6340F" w:rsidRDefault="007511F7" w:rsidP="007E4E67">
      <w:pPr>
        <w:pStyle w:val="ep0"/>
        <w:numPr>
          <w:ilvl w:val="0"/>
          <w:numId w:val="43"/>
        </w:numPr>
        <w:ind w:left="284" w:hanging="284"/>
        <w:rPr>
          <w:rFonts w:cs="Arial"/>
          <w:strike w:val="0"/>
          <w:lang w:val="en-GB"/>
        </w:rPr>
      </w:pPr>
      <w:r w:rsidRPr="00D6340F">
        <w:rPr>
          <w:rFonts w:cs="Arial"/>
          <w:strike w:val="0"/>
          <w:lang w:val="en-GB"/>
        </w:rPr>
        <w:t>In patients with prolactinoma, s</w:t>
      </w:r>
      <w:r w:rsidR="00C605DA" w:rsidRPr="00D6340F">
        <w:rPr>
          <w:rFonts w:cs="Arial"/>
          <w:strike w:val="0"/>
          <w:lang w:val="en-GB"/>
        </w:rPr>
        <w:t>erum prolactin levels are usually elevated ≥4 times the upper limit of the normal reference range for the laboratory method used</w:t>
      </w:r>
      <w:r w:rsidR="00943F6A" w:rsidRPr="00D6340F">
        <w:rPr>
          <w:rFonts w:cs="Arial"/>
          <w:strike w:val="0"/>
          <w:lang w:val="en-GB"/>
        </w:rPr>
        <w:t xml:space="preserve">. </w:t>
      </w:r>
      <w:r w:rsidRPr="00D6340F">
        <w:rPr>
          <w:rFonts w:cs="Arial"/>
          <w:strike w:val="0"/>
          <w:lang w:val="en-GB"/>
        </w:rPr>
        <w:t>Lesser degree of elevation of serum prolactin</w:t>
      </w:r>
      <w:r w:rsidR="00C605DA" w:rsidRPr="00D6340F">
        <w:rPr>
          <w:rFonts w:cs="Arial"/>
          <w:strike w:val="0"/>
          <w:lang w:val="en-GB"/>
        </w:rPr>
        <w:t xml:space="preserve"> may also be found in </w:t>
      </w:r>
      <w:r w:rsidRPr="00D6340F">
        <w:rPr>
          <w:rFonts w:cs="Arial"/>
          <w:strike w:val="0"/>
          <w:lang w:val="en-GB"/>
        </w:rPr>
        <w:t xml:space="preserve">patients with </w:t>
      </w:r>
      <w:r w:rsidR="00C605DA" w:rsidRPr="00D6340F">
        <w:rPr>
          <w:rFonts w:cs="Arial"/>
          <w:strike w:val="0"/>
          <w:lang w:val="en-GB"/>
        </w:rPr>
        <w:t xml:space="preserve">other pituitary tumours </w:t>
      </w:r>
      <w:r w:rsidRPr="00D6340F">
        <w:rPr>
          <w:rFonts w:cs="Arial"/>
          <w:strike w:val="0"/>
          <w:lang w:val="en-GB"/>
        </w:rPr>
        <w:t xml:space="preserve">associated </w:t>
      </w:r>
      <w:r w:rsidR="00C605DA" w:rsidRPr="00D6340F">
        <w:rPr>
          <w:rFonts w:cs="Arial"/>
          <w:strike w:val="0"/>
          <w:lang w:val="en-GB"/>
        </w:rPr>
        <w:t xml:space="preserve">with </w:t>
      </w:r>
      <w:r w:rsidRPr="00D6340F">
        <w:rPr>
          <w:rFonts w:cs="Arial"/>
          <w:strike w:val="0"/>
          <w:lang w:val="en-GB"/>
        </w:rPr>
        <w:t>pitu</w:t>
      </w:r>
      <w:r w:rsidR="009450C1" w:rsidRPr="00D6340F">
        <w:rPr>
          <w:rFonts w:cs="Arial"/>
          <w:strike w:val="0"/>
          <w:lang w:val="en-GB"/>
        </w:rPr>
        <w:t>it</w:t>
      </w:r>
      <w:r w:rsidRPr="00D6340F">
        <w:rPr>
          <w:rFonts w:cs="Arial"/>
          <w:strike w:val="0"/>
          <w:lang w:val="en-GB"/>
        </w:rPr>
        <w:t xml:space="preserve">ary </w:t>
      </w:r>
      <w:r w:rsidR="00C605DA" w:rsidRPr="00D6340F">
        <w:rPr>
          <w:rFonts w:cs="Arial"/>
          <w:strike w:val="0"/>
          <w:lang w:val="en-GB"/>
        </w:rPr>
        <w:t>stalk compression</w:t>
      </w:r>
      <w:r w:rsidR="00763499" w:rsidRPr="00D6340F">
        <w:rPr>
          <w:rFonts w:cs="Arial"/>
          <w:strike w:val="0"/>
          <w:lang w:val="en-GB"/>
        </w:rPr>
        <w:t>.</w:t>
      </w:r>
    </w:p>
    <w:p w14:paraId="29249CB0" w14:textId="77777777" w:rsidR="00C605DA" w:rsidRPr="00D6340F" w:rsidRDefault="00C605DA" w:rsidP="00C605DA">
      <w:pPr>
        <w:rPr>
          <w:rFonts w:cs="Arial"/>
          <w:lang w:val="en-GB"/>
        </w:rPr>
      </w:pPr>
    </w:p>
    <w:p w14:paraId="7C9BC375" w14:textId="77777777" w:rsidR="00C605DA" w:rsidRPr="00D6340F" w:rsidRDefault="00C605DA" w:rsidP="00C605DA">
      <w:pPr>
        <w:pStyle w:val="Heading5"/>
        <w:rPr>
          <w:rFonts w:cs="Arial"/>
          <w:lang w:val="en-GB"/>
        </w:rPr>
      </w:pPr>
      <w:r w:rsidRPr="00D6340F">
        <w:rPr>
          <w:rFonts w:cs="Arial"/>
          <w:lang w:val="en-GB"/>
        </w:rPr>
        <w:t>MEDICINE TREATMENT</w:t>
      </w:r>
    </w:p>
    <w:p w14:paraId="7EA65031" w14:textId="77777777" w:rsidR="00C605DA" w:rsidRPr="00D6340F" w:rsidRDefault="00C605DA" w:rsidP="00C605DA">
      <w:pPr>
        <w:rPr>
          <w:rFonts w:cs="Arial"/>
          <w:lang w:val="en-GB"/>
        </w:rPr>
      </w:pPr>
      <w:r w:rsidRPr="00D6340F">
        <w:rPr>
          <w:rFonts w:cs="Arial"/>
          <w:lang w:val="en-GB"/>
        </w:rPr>
        <w:t>Dopamine agonist therapy is the treatment of choice.</w:t>
      </w:r>
    </w:p>
    <w:p w14:paraId="4D5F6F32" w14:textId="77777777" w:rsidR="00C605DA" w:rsidRPr="00D6340F" w:rsidRDefault="00C605DA" w:rsidP="00C23D57">
      <w:pPr>
        <w:pStyle w:val="ep4"/>
        <w:tabs>
          <w:tab w:val="clear" w:pos="360"/>
          <w:tab w:val="num" w:pos="284"/>
        </w:tabs>
        <w:rPr>
          <w:lang w:val="en-GB"/>
        </w:rPr>
      </w:pPr>
      <w:r w:rsidRPr="00D6340F">
        <w:rPr>
          <w:lang w:val="en-GB"/>
        </w:rPr>
        <w:t>Bromocriptine, oral, 1.25 mg at bedtime with a snack.</w:t>
      </w:r>
    </w:p>
    <w:p w14:paraId="6139B3B1" w14:textId="77777777" w:rsidR="0036185F" w:rsidRPr="00D6340F" w:rsidRDefault="00C605DA" w:rsidP="007E4E67">
      <w:pPr>
        <w:numPr>
          <w:ilvl w:val="0"/>
          <w:numId w:val="41"/>
        </w:numPr>
        <w:ind w:left="567" w:hanging="283"/>
        <w:rPr>
          <w:rFonts w:cs="Arial"/>
          <w:lang w:val="en-GB"/>
        </w:rPr>
      </w:pPr>
      <w:r w:rsidRPr="00D6340F">
        <w:rPr>
          <w:rFonts w:cs="Arial"/>
          <w:lang w:val="en-GB"/>
        </w:rPr>
        <w:t>Initial maintenance dose: increase dose to 2.5 mg 12 hourly with food and check prolactin 4 weeks later.</w:t>
      </w:r>
    </w:p>
    <w:p w14:paraId="7DAF8808" w14:textId="77777777" w:rsidR="0036185F" w:rsidRPr="00D6340F" w:rsidRDefault="00C605DA" w:rsidP="007E4E67">
      <w:pPr>
        <w:numPr>
          <w:ilvl w:val="0"/>
          <w:numId w:val="41"/>
        </w:numPr>
        <w:ind w:left="567" w:hanging="283"/>
        <w:rPr>
          <w:rFonts w:cs="Arial"/>
          <w:lang w:val="en-GB"/>
        </w:rPr>
      </w:pPr>
      <w:r w:rsidRPr="00D6340F">
        <w:rPr>
          <w:rFonts w:cs="Arial"/>
          <w:lang w:val="en-GB"/>
        </w:rPr>
        <w:t xml:space="preserve">Higher doses may be needed. </w:t>
      </w:r>
    </w:p>
    <w:p w14:paraId="520288FA" w14:textId="77777777" w:rsidR="0036185F" w:rsidRPr="00D6340F" w:rsidRDefault="00C605DA" w:rsidP="007E4E67">
      <w:pPr>
        <w:numPr>
          <w:ilvl w:val="0"/>
          <w:numId w:val="41"/>
        </w:numPr>
        <w:ind w:left="567" w:hanging="283"/>
        <w:rPr>
          <w:rFonts w:cs="Arial"/>
          <w:lang w:val="en-GB"/>
        </w:rPr>
      </w:pPr>
      <w:r w:rsidRPr="00D6340F">
        <w:rPr>
          <w:rFonts w:cs="Arial"/>
          <w:lang w:val="en-GB"/>
        </w:rPr>
        <w:t>GIT side effects are minimised by giving doses with food.</w:t>
      </w:r>
    </w:p>
    <w:p w14:paraId="464DB237" w14:textId="77777777" w:rsidR="0036185F" w:rsidRPr="00D6340F" w:rsidRDefault="00C605DA" w:rsidP="007E4E67">
      <w:pPr>
        <w:numPr>
          <w:ilvl w:val="0"/>
          <w:numId w:val="41"/>
        </w:numPr>
        <w:ind w:left="567" w:hanging="283"/>
        <w:rPr>
          <w:rFonts w:cs="Arial"/>
          <w:iCs/>
          <w:lang w:val="en-GB"/>
        </w:rPr>
      </w:pPr>
      <w:r w:rsidRPr="00D6340F">
        <w:rPr>
          <w:rFonts w:cs="Arial"/>
          <w:lang w:val="en-GB"/>
        </w:rPr>
        <w:t>If total dose of 10 mg does not normalise prolactin, refer.</w:t>
      </w:r>
    </w:p>
    <w:p w14:paraId="2DBAC831" w14:textId="77777777" w:rsidR="00C23D57" w:rsidRPr="00C23D57" w:rsidRDefault="00C23D57" w:rsidP="00C605DA">
      <w:pPr>
        <w:rPr>
          <w:rFonts w:cs="Arial"/>
          <w:szCs w:val="20"/>
          <w:lang w:val="en-GB"/>
        </w:rPr>
      </w:pPr>
    </w:p>
    <w:p w14:paraId="719EBBF7" w14:textId="77777777" w:rsidR="00C605DA" w:rsidRPr="00D6340F" w:rsidRDefault="00C605DA" w:rsidP="00C605DA">
      <w:pPr>
        <w:rPr>
          <w:rFonts w:cs="Arial"/>
          <w:b/>
          <w:sz w:val="20"/>
          <w:szCs w:val="20"/>
          <w:lang w:val="en-GB"/>
        </w:rPr>
      </w:pPr>
      <w:r w:rsidRPr="00D6340F">
        <w:rPr>
          <w:rFonts w:cs="Arial"/>
          <w:b/>
          <w:sz w:val="20"/>
          <w:szCs w:val="20"/>
          <w:lang w:val="en-GB"/>
        </w:rPr>
        <w:t>REFERRAL</w:t>
      </w:r>
    </w:p>
    <w:p w14:paraId="719DED76" w14:textId="77777777" w:rsidR="0036185F" w:rsidRPr="00D6340F" w:rsidRDefault="00CF1E5F" w:rsidP="007E4E67">
      <w:pPr>
        <w:pStyle w:val="ep0"/>
        <w:numPr>
          <w:ilvl w:val="0"/>
          <w:numId w:val="43"/>
        </w:numPr>
        <w:ind w:left="284" w:hanging="284"/>
        <w:rPr>
          <w:rFonts w:cs="Arial"/>
          <w:strike w:val="0"/>
          <w:lang w:val="en-GB"/>
        </w:rPr>
      </w:pPr>
      <w:r w:rsidRPr="00D6340F">
        <w:rPr>
          <w:rFonts w:cs="Arial"/>
          <w:strike w:val="0"/>
          <w:lang w:val="en-GB"/>
        </w:rPr>
        <w:t>All tumours, once causes of secondary hyperprolactinaemia have been sought and excluded.</w:t>
      </w:r>
    </w:p>
    <w:p w14:paraId="52ABB616" w14:textId="77777777" w:rsidR="0036185F" w:rsidRDefault="00C605DA" w:rsidP="007E4E67">
      <w:pPr>
        <w:pStyle w:val="ep0"/>
        <w:numPr>
          <w:ilvl w:val="0"/>
          <w:numId w:val="43"/>
        </w:numPr>
        <w:ind w:left="284" w:hanging="284"/>
        <w:rPr>
          <w:rFonts w:cs="Arial"/>
          <w:strike w:val="0"/>
          <w:lang w:val="en-GB"/>
        </w:rPr>
      </w:pPr>
      <w:r w:rsidRPr="00D6340F">
        <w:rPr>
          <w:rFonts w:cs="Arial"/>
          <w:strike w:val="0"/>
          <w:lang w:val="en-GB"/>
        </w:rPr>
        <w:t>Intolerance to bromocriptine.</w:t>
      </w:r>
    </w:p>
    <w:p w14:paraId="20754B54" w14:textId="77777777" w:rsidR="00E355DA" w:rsidRPr="003D2DE8" w:rsidRDefault="00E355DA" w:rsidP="007E4E67">
      <w:pPr>
        <w:pStyle w:val="ep0"/>
        <w:numPr>
          <w:ilvl w:val="0"/>
          <w:numId w:val="43"/>
        </w:numPr>
        <w:ind w:left="284" w:hanging="284"/>
        <w:rPr>
          <w:rFonts w:cs="Arial"/>
          <w:strike w:val="0"/>
          <w:szCs w:val="18"/>
          <w:lang w:val="en-GB"/>
        </w:rPr>
      </w:pPr>
      <w:r w:rsidRPr="003D2DE8">
        <w:rPr>
          <w:rFonts w:cs="Arial"/>
          <w:strike w:val="0"/>
          <w:szCs w:val="18"/>
          <w:lang w:val="en-GB"/>
        </w:rPr>
        <w:t>Unexplained hyperprolactinemia.</w:t>
      </w:r>
    </w:p>
    <w:p w14:paraId="4ED7871E" w14:textId="77777777" w:rsidR="00E355DA" w:rsidRPr="00D6340F" w:rsidRDefault="00E355DA" w:rsidP="0008054E">
      <w:pPr>
        <w:pStyle w:val="ep0"/>
        <w:ind w:left="0"/>
        <w:rPr>
          <w:rFonts w:cs="Arial"/>
          <w:strike w:val="0"/>
          <w:lang w:val="en-GB"/>
        </w:rPr>
      </w:pPr>
    </w:p>
    <w:p w14:paraId="3D676D2E" w14:textId="77777777" w:rsidR="00C605DA" w:rsidRPr="00D6340F" w:rsidRDefault="00C605DA" w:rsidP="00C605DA">
      <w:pPr>
        <w:pStyle w:val="Heading5"/>
        <w:rPr>
          <w:rFonts w:cs="Arial"/>
          <w:lang w:val="en-GB"/>
        </w:rPr>
      </w:pPr>
      <w:r w:rsidRPr="00D6340F">
        <w:rPr>
          <w:rFonts w:cs="Arial"/>
          <w:lang w:val="en-GB"/>
        </w:rPr>
        <w:t xml:space="preserve">Urgent </w:t>
      </w:r>
    </w:p>
    <w:p w14:paraId="43D44B09" w14:textId="77777777" w:rsidR="0036185F" w:rsidRPr="00A478E8" w:rsidRDefault="00740852" w:rsidP="007E4E67">
      <w:pPr>
        <w:pStyle w:val="Styleep0Bold"/>
        <w:numPr>
          <w:ilvl w:val="0"/>
          <w:numId w:val="42"/>
        </w:numPr>
        <w:ind w:left="284" w:hanging="284"/>
        <w:rPr>
          <w:rFonts w:cs="Arial"/>
          <w:b w:val="0"/>
          <w:strike w:val="0"/>
          <w:lang w:val="en-GB"/>
        </w:rPr>
      </w:pPr>
      <w:r w:rsidRPr="00C23D57">
        <w:rPr>
          <w:rFonts w:cs="Arial"/>
          <w:b w:val="0"/>
          <w:strike w:val="0"/>
          <w:lang w:val="en-GB"/>
        </w:rPr>
        <w:t>Any</w:t>
      </w:r>
      <w:r w:rsidRPr="00C23D57">
        <w:rPr>
          <w:rFonts w:cs="Arial"/>
          <w:strike w:val="0"/>
          <w:color w:val="4F6228" w:themeColor="accent3" w:themeShade="80"/>
          <w:lang w:val="en-GB"/>
        </w:rPr>
        <w:t xml:space="preserve"> </w:t>
      </w:r>
      <w:r w:rsidRPr="00A478E8">
        <w:rPr>
          <w:rFonts w:cs="Arial"/>
          <w:b w:val="0"/>
          <w:strike w:val="0"/>
          <w:lang w:val="en-GB"/>
        </w:rPr>
        <w:t>v</w:t>
      </w:r>
      <w:r w:rsidR="00C14B74" w:rsidRPr="00A478E8">
        <w:rPr>
          <w:rFonts w:cs="Arial"/>
          <w:b w:val="0"/>
          <w:strike w:val="0"/>
          <w:lang w:val="en-GB"/>
        </w:rPr>
        <w:t>isual disturbances</w:t>
      </w:r>
      <w:r w:rsidRPr="00A478E8">
        <w:rPr>
          <w:rFonts w:cs="Arial"/>
          <w:b w:val="0"/>
          <w:strike w:val="0"/>
          <w:lang w:val="en-GB"/>
        </w:rPr>
        <w:t xml:space="preserve">, </w:t>
      </w:r>
      <w:r w:rsidRPr="00A478E8">
        <w:rPr>
          <w:rFonts w:cs="Arial"/>
          <w:strike w:val="0"/>
          <w:u w:val="single"/>
          <w:lang w:val="en-GB"/>
        </w:rPr>
        <w:t>especially those</w:t>
      </w:r>
      <w:r w:rsidR="00C14B74" w:rsidRPr="00A478E8">
        <w:rPr>
          <w:rFonts w:cs="Arial"/>
          <w:b w:val="0"/>
          <w:strike w:val="0"/>
          <w:lang w:val="en-GB"/>
        </w:rPr>
        <w:t xml:space="preserve"> suggesting c</w:t>
      </w:r>
      <w:r w:rsidR="00CF1E5F" w:rsidRPr="00A478E8">
        <w:rPr>
          <w:rFonts w:cs="Arial"/>
          <w:b w:val="0"/>
          <w:strike w:val="0"/>
          <w:lang w:val="en-GB"/>
        </w:rPr>
        <w:t>ompression of</w:t>
      </w:r>
      <w:r w:rsidR="004B127A" w:rsidRPr="00A478E8">
        <w:rPr>
          <w:rFonts w:cs="Arial"/>
          <w:b w:val="0"/>
          <w:strike w:val="0"/>
          <w:lang w:val="en-GB"/>
        </w:rPr>
        <w:t xml:space="preserve"> </w:t>
      </w:r>
      <w:r w:rsidR="00C605DA" w:rsidRPr="00A478E8">
        <w:rPr>
          <w:rFonts w:cs="Arial"/>
          <w:b w:val="0"/>
          <w:strike w:val="0"/>
          <w:lang w:val="en-GB"/>
        </w:rPr>
        <w:t>optic chiasm.</w:t>
      </w:r>
    </w:p>
    <w:p w14:paraId="424F837E" w14:textId="77777777" w:rsidR="0036185F" w:rsidRPr="00D6340F" w:rsidRDefault="00C605DA" w:rsidP="007E4E67">
      <w:pPr>
        <w:pStyle w:val="Styleep0Bold"/>
        <w:numPr>
          <w:ilvl w:val="0"/>
          <w:numId w:val="42"/>
        </w:numPr>
        <w:ind w:left="284" w:hanging="284"/>
        <w:rPr>
          <w:rFonts w:cs="Arial"/>
          <w:b w:val="0"/>
          <w:strike w:val="0"/>
          <w:lang w:val="en-GB"/>
        </w:rPr>
      </w:pPr>
      <w:r w:rsidRPr="00A478E8">
        <w:rPr>
          <w:rFonts w:cs="Arial"/>
          <w:b w:val="0"/>
          <w:strike w:val="0"/>
          <w:lang w:val="en-GB"/>
        </w:rPr>
        <w:t>Pituitary apoplexy.</w:t>
      </w:r>
      <w:r w:rsidRPr="00D6340F">
        <w:rPr>
          <w:rFonts w:cs="Arial"/>
          <w:b w:val="0"/>
          <w:strike w:val="0"/>
          <w:lang w:val="en-GB"/>
        </w:rPr>
        <w:t xml:space="preserve"> </w:t>
      </w:r>
    </w:p>
    <w:p w14:paraId="7F744FD6" w14:textId="77777777" w:rsidR="00601A42" w:rsidRPr="00D6340F" w:rsidRDefault="00601A42" w:rsidP="00C605DA">
      <w:pPr>
        <w:rPr>
          <w:rFonts w:cs="Arial"/>
          <w:lang w:val="en-GB"/>
        </w:rPr>
      </w:pPr>
    </w:p>
    <w:p w14:paraId="2C27C77E" w14:textId="77777777" w:rsidR="00C605DA" w:rsidRPr="00D6340F" w:rsidRDefault="00C605DA" w:rsidP="00110944">
      <w:pPr>
        <w:pStyle w:val="Heading2"/>
      </w:pPr>
      <w:r w:rsidRPr="00D6340F">
        <w:t>8.15.2 Anterior hypopituitarism</w:t>
      </w:r>
    </w:p>
    <w:p w14:paraId="0D1D0544" w14:textId="77777777" w:rsidR="00C605DA" w:rsidRPr="00D6340F" w:rsidRDefault="00C605DA" w:rsidP="00C02921">
      <w:pPr>
        <w:pStyle w:val="Heading4"/>
      </w:pPr>
      <w:r w:rsidRPr="00D6340F">
        <w:t>e23.0</w:t>
      </w:r>
      <w:r w:rsidR="00904B36">
        <w:t>-3/E28.3/E29.1</w:t>
      </w:r>
    </w:p>
    <w:p w14:paraId="2D5FC909" w14:textId="77777777" w:rsidR="00C605DA" w:rsidRPr="00D6340F" w:rsidRDefault="00C605DA" w:rsidP="00C605DA">
      <w:pPr>
        <w:rPr>
          <w:rFonts w:cs="Arial"/>
          <w:lang w:val="en-GB"/>
        </w:rPr>
      </w:pPr>
    </w:p>
    <w:p w14:paraId="4EB0351C" w14:textId="77777777" w:rsidR="00C605DA" w:rsidRPr="00D6340F" w:rsidRDefault="00C605DA" w:rsidP="001A64CA">
      <w:pPr>
        <w:pStyle w:val="Heading5"/>
        <w:keepNext w:val="0"/>
        <w:widowControl w:val="0"/>
        <w:rPr>
          <w:rFonts w:cs="Arial"/>
          <w:lang w:val="en-GB"/>
        </w:rPr>
      </w:pPr>
      <w:r w:rsidRPr="00D6340F">
        <w:rPr>
          <w:rFonts w:cs="Arial"/>
          <w:lang w:val="en-GB"/>
        </w:rPr>
        <w:t>DESCRIPTION</w:t>
      </w:r>
    </w:p>
    <w:p w14:paraId="58F26104" w14:textId="77777777" w:rsidR="00C605DA" w:rsidRPr="00D6340F" w:rsidRDefault="00C605DA" w:rsidP="001A64CA">
      <w:pPr>
        <w:widowControl w:val="0"/>
        <w:rPr>
          <w:rFonts w:cs="Arial"/>
          <w:lang w:val="en-GB"/>
        </w:rPr>
      </w:pPr>
      <w:r w:rsidRPr="00D6340F">
        <w:rPr>
          <w:rFonts w:cs="Arial"/>
          <w:lang w:val="en-GB"/>
        </w:rPr>
        <w:t>Absent or diminished secretion of one or more anterior pituitary hormones due to primary damage of the anterior pituitary gland</w:t>
      </w:r>
      <w:r w:rsidR="00DC2B15">
        <w:rPr>
          <w:rFonts w:cs="Arial"/>
          <w:lang w:val="en-GB"/>
        </w:rPr>
        <w:t>,</w:t>
      </w:r>
      <w:r w:rsidRPr="00D6340F">
        <w:rPr>
          <w:rFonts w:cs="Arial"/>
          <w:lang w:val="en-GB"/>
        </w:rPr>
        <w:t xml:space="preserve"> or secondary to hypothalamic dysfunction, which may result in hypothyroidism and/or hypoadrenalism and/or hypogonadism or growth retardation in children.</w:t>
      </w:r>
    </w:p>
    <w:p w14:paraId="51AB346A" w14:textId="29D104EB" w:rsidR="006331C8" w:rsidRPr="00D6340F" w:rsidRDefault="006331C8" w:rsidP="00C605DA">
      <w:pPr>
        <w:rPr>
          <w:rFonts w:cs="Arial"/>
          <w:lang w:val="en-GB"/>
        </w:rPr>
      </w:pPr>
    </w:p>
    <w:p w14:paraId="169BAC0A" w14:textId="77777777" w:rsidR="00C605DA" w:rsidRPr="00D6340F" w:rsidRDefault="00C605DA" w:rsidP="00C605DA">
      <w:pPr>
        <w:rPr>
          <w:rFonts w:cs="Arial"/>
          <w:b/>
          <w:sz w:val="20"/>
          <w:szCs w:val="20"/>
          <w:lang w:val="en-GB"/>
        </w:rPr>
      </w:pPr>
      <w:r w:rsidRPr="00D6340F">
        <w:rPr>
          <w:rFonts w:cs="Arial"/>
          <w:b/>
          <w:sz w:val="20"/>
          <w:szCs w:val="20"/>
          <w:lang w:val="en-GB"/>
        </w:rPr>
        <w:t>GENERAL MEASURES</w:t>
      </w:r>
    </w:p>
    <w:p w14:paraId="6D23BACC" w14:textId="77777777" w:rsidR="00BF05F5" w:rsidRDefault="00C605DA" w:rsidP="006331C8">
      <w:pPr>
        <w:widowControl w:val="0"/>
        <w:rPr>
          <w:rFonts w:cs="Arial"/>
          <w:lang w:val="en-GB"/>
        </w:rPr>
      </w:pPr>
      <w:r w:rsidRPr="00D6340F">
        <w:rPr>
          <w:rFonts w:cs="Arial"/>
          <w:lang w:val="en-GB"/>
        </w:rPr>
        <w:t>Surgery is required for large tumours, pituitary apoplexy, and hormone secreting tumours (</w:t>
      </w:r>
      <w:r w:rsidR="003364F9" w:rsidRPr="00D6340F">
        <w:rPr>
          <w:rFonts w:cs="Arial"/>
          <w:lang w:val="en-GB"/>
        </w:rPr>
        <w:t xml:space="preserve">except for most patients with </w:t>
      </w:r>
      <w:r w:rsidRPr="00D6340F">
        <w:rPr>
          <w:rFonts w:cs="Arial"/>
          <w:lang w:val="en-GB"/>
        </w:rPr>
        <w:t>prolactinoma</w:t>
      </w:r>
      <w:r w:rsidR="003364F9" w:rsidRPr="00D6340F">
        <w:rPr>
          <w:rFonts w:cs="Arial"/>
          <w:lang w:val="en-GB"/>
        </w:rPr>
        <w:t xml:space="preserve">s, who generally </w:t>
      </w:r>
      <w:r w:rsidR="003364F9" w:rsidRPr="00D6340F">
        <w:rPr>
          <w:rFonts w:cs="Arial"/>
          <w:lang w:val="en-GB"/>
        </w:rPr>
        <w:lastRenderedPageBreak/>
        <w:t>respond well to medical therapy</w:t>
      </w:r>
      <w:r w:rsidRPr="00D6340F">
        <w:rPr>
          <w:rFonts w:cs="Arial"/>
          <w:lang w:val="en-GB"/>
        </w:rPr>
        <w:t xml:space="preserve">). </w:t>
      </w:r>
    </w:p>
    <w:p w14:paraId="0EC202AC" w14:textId="77777777" w:rsidR="00C605DA" w:rsidRPr="00D6340F" w:rsidRDefault="00C605DA" w:rsidP="006331C8">
      <w:pPr>
        <w:widowControl w:val="0"/>
        <w:rPr>
          <w:rFonts w:cs="Arial"/>
          <w:lang w:val="en-GB"/>
        </w:rPr>
      </w:pPr>
      <w:r w:rsidRPr="00D6340F">
        <w:rPr>
          <w:rFonts w:cs="Arial"/>
          <w:lang w:val="en-GB"/>
        </w:rPr>
        <w:t>Radiotherapy may be required in selected patients</w:t>
      </w:r>
      <w:r w:rsidR="00BF05F5">
        <w:rPr>
          <w:rFonts w:cs="Arial"/>
          <w:lang w:val="en-GB"/>
        </w:rPr>
        <w:t>.</w:t>
      </w:r>
    </w:p>
    <w:p w14:paraId="43ED3CF4" w14:textId="77777777" w:rsidR="00C605DA" w:rsidRPr="00D6340F" w:rsidRDefault="00C605DA" w:rsidP="006331C8">
      <w:pPr>
        <w:widowControl w:val="0"/>
        <w:rPr>
          <w:rFonts w:cs="Arial"/>
          <w:lang w:val="en-GB"/>
        </w:rPr>
      </w:pPr>
      <w:r w:rsidRPr="00D6340F">
        <w:rPr>
          <w:rFonts w:cs="Arial"/>
          <w:lang w:val="en-GB"/>
        </w:rPr>
        <w:t>A notification bracelet is needed.</w:t>
      </w:r>
    </w:p>
    <w:p w14:paraId="7F482684" w14:textId="77777777" w:rsidR="00BF05F5" w:rsidRDefault="00BF05F5" w:rsidP="00C605DA">
      <w:pPr>
        <w:rPr>
          <w:rFonts w:cs="Arial"/>
          <w:lang w:val="en-GB"/>
        </w:rPr>
      </w:pPr>
    </w:p>
    <w:p w14:paraId="0DFA99E8" w14:textId="77777777" w:rsidR="00C605DA" w:rsidRPr="00D6340F" w:rsidRDefault="00C605DA" w:rsidP="00C605DA">
      <w:pPr>
        <w:rPr>
          <w:rFonts w:cs="Arial"/>
          <w:b/>
          <w:sz w:val="20"/>
          <w:szCs w:val="20"/>
          <w:lang w:val="en-GB"/>
        </w:rPr>
      </w:pPr>
      <w:r w:rsidRPr="00D6340F">
        <w:rPr>
          <w:rFonts w:cs="Arial"/>
          <w:b/>
          <w:sz w:val="20"/>
          <w:szCs w:val="20"/>
          <w:lang w:val="en-GB"/>
        </w:rPr>
        <w:t>MEDICINE TREATMENT</w:t>
      </w:r>
    </w:p>
    <w:p w14:paraId="61EF07CF" w14:textId="77777777" w:rsidR="00C605DA" w:rsidRPr="00D6340F" w:rsidRDefault="00C605DA" w:rsidP="00C605DA">
      <w:pPr>
        <w:pStyle w:val="Heading6"/>
        <w:rPr>
          <w:rFonts w:cs="Arial"/>
        </w:rPr>
      </w:pPr>
      <w:r w:rsidRPr="00D6340F">
        <w:rPr>
          <w:rFonts w:cs="Arial"/>
        </w:rPr>
        <w:t>Acute crisis</w:t>
      </w:r>
    </w:p>
    <w:p w14:paraId="2A0B88B0" w14:textId="766B0194" w:rsidR="00C605DA" w:rsidRDefault="00C605DA" w:rsidP="00C605DA">
      <w:pPr>
        <w:rPr>
          <w:rFonts w:cs="Arial"/>
          <w:lang w:val="en-GB"/>
        </w:rPr>
      </w:pPr>
      <w:r w:rsidRPr="00D6340F">
        <w:rPr>
          <w:rFonts w:cs="Arial"/>
          <w:lang w:val="en-GB"/>
        </w:rPr>
        <w:t xml:space="preserve">Treat as for </w:t>
      </w:r>
      <w:r w:rsidR="00024282" w:rsidRPr="00D6340F">
        <w:rPr>
          <w:rFonts w:cs="Arial"/>
          <w:lang w:val="en-GB"/>
        </w:rPr>
        <w:t xml:space="preserve">acute </w:t>
      </w:r>
      <w:r w:rsidRPr="00D6340F">
        <w:rPr>
          <w:rFonts w:cs="Arial"/>
          <w:lang w:val="en-GB"/>
        </w:rPr>
        <w:t xml:space="preserve">crisis in </w:t>
      </w:r>
      <w:r w:rsidR="002840C6">
        <w:rPr>
          <w:rFonts w:cs="Arial"/>
          <w:lang w:val="en-GB"/>
        </w:rPr>
        <w:t>Section</w:t>
      </w:r>
      <w:r w:rsidR="00024282" w:rsidRPr="00D6340F">
        <w:rPr>
          <w:rFonts w:cs="Arial"/>
          <w:lang w:val="en-GB"/>
        </w:rPr>
        <w:t xml:space="preserve"> </w:t>
      </w:r>
      <w:r w:rsidRPr="00D6340F">
        <w:rPr>
          <w:rFonts w:cs="Arial"/>
          <w:lang w:val="en-GB"/>
        </w:rPr>
        <w:t>8.2: Adrenal Insufficiency (Addison’s Disease)</w:t>
      </w:r>
      <w:r w:rsidR="00543719" w:rsidRPr="00D6340F">
        <w:rPr>
          <w:rFonts w:cs="Arial"/>
          <w:lang w:val="en-GB"/>
        </w:rPr>
        <w:t>.</w:t>
      </w:r>
    </w:p>
    <w:p w14:paraId="17877E6A" w14:textId="77777777" w:rsidR="00BF05F5" w:rsidRPr="00BF05F5" w:rsidRDefault="00BF05F5" w:rsidP="00C605DA">
      <w:pPr>
        <w:rPr>
          <w:rFonts w:cs="Arial"/>
          <w:sz w:val="10"/>
          <w:szCs w:val="10"/>
          <w:lang w:val="en-GB"/>
        </w:rPr>
      </w:pPr>
    </w:p>
    <w:p w14:paraId="44095E02" w14:textId="77777777" w:rsidR="00C605DA" w:rsidRPr="00D6340F" w:rsidRDefault="00C605DA" w:rsidP="00C605DA">
      <w:pPr>
        <w:pStyle w:val="Heading6"/>
        <w:rPr>
          <w:rFonts w:cs="Arial"/>
          <w:bCs/>
        </w:rPr>
      </w:pPr>
      <w:r w:rsidRPr="00D6340F">
        <w:rPr>
          <w:rFonts w:cs="Arial"/>
        </w:rPr>
        <w:t xml:space="preserve">Chronic </w:t>
      </w:r>
    </w:p>
    <w:p w14:paraId="366840BA" w14:textId="65AABD65" w:rsidR="00C605DA" w:rsidRPr="00D6340F" w:rsidRDefault="00C605DA" w:rsidP="00C605DA">
      <w:pPr>
        <w:rPr>
          <w:rFonts w:cs="Arial"/>
          <w:strike/>
          <w:lang w:val="en-GB"/>
        </w:rPr>
      </w:pPr>
      <w:r w:rsidRPr="00D6340F">
        <w:rPr>
          <w:rFonts w:cs="Arial"/>
          <w:lang w:val="en-GB"/>
        </w:rPr>
        <w:t xml:space="preserve">See </w:t>
      </w:r>
      <w:r w:rsidR="002840C6">
        <w:rPr>
          <w:rFonts w:cs="Arial"/>
          <w:lang w:val="en-GB"/>
        </w:rPr>
        <w:t>Section</w:t>
      </w:r>
      <w:r w:rsidRPr="00D6340F">
        <w:rPr>
          <w:rFonts w:cs="Arial"/>
          <w:lang w:val="en-GB"/>
        </w:rPr>
        <w:t xml:space="preserve"> 8.2: Adrenal Insufficiency (Addison’s Disease)</w:t>
      </w:r>
      <w:r w:rsidR="00DF1586" w:rsidRPr="00D6340F">
        <w:rPr>
          <w:rFonts w:cs="Arial"/>
          <w:lang w:val="en-GB"/>
        </w:rPr>
        <w:t>.</w:t>
      </w:r>
    </w:p>
    <w:p w14:paraId="5887FCC8" w14:textId="77777777" w:rsidR="00C605DA" w:rsidRPr="00BF05F5" w:rsidRDefault="00C605DA" w:rsidP="00C605DA">
      <w:pPr>
        <w:rPr>
          <w:rFonts w:cs="Arial"/>
          <w:sz w:val="10"/>
          <w:szCs w:val="10"/>
          <w:lang w:val="en-GB"/>
        </w:rPr>
      </w:pPr>
    </w:p>
    <w:p w14:paraId="73F95CFE" w14:textId="77777777" w:rsidR="00C605DA" w:rsidRPr="00D6340F" w:rsidRDefault="00C605DA" w:rsidP="00C605DA">
      <w:pPr>
        <w:pStyle w:val="Heading6"/>
        <w:rPr>
          <w:rFonts w:cs="Arial"/>
          <w:iCs/>
        </w:rPr>
      </w:pPr>
      <w:r w:rsidRPr="00D6340F">
        <w:rPr>
          <w:rFonts w:cs="Arial"/>
        </w:rPr>
        <w:t>Hypoadrenalism</w:t>
      </w:r>
    </w:p>
    <w:p w14:paraId="40718265" w14:textId="017BC1DE" w:rsidR="00C605DA" w:rsidRPr="00D6340F" w:rsidRDefault="00C605DA" w:rsidP="00C605DA">
      <w:pPr>
        <w:rPr>
          <w:rFonts w:cs="Arial"/>
          <w:lang w:val="en-GB"/>
        </w:rPr>
      </w:pPr>
      <w:r w:rsidRPr="00D6340F">
        <w:rPr>
          <w:rFonts w:cs="Arial"/>
          <w:lang w:val="en-GB"/>
        </w:rPr>
        <w:t xml:space="preserve">See </w:t>
      </w:r>
      <w:r w:rsidR="002840C6">
        <w:rPr>
          <w:rFonts w:cs="Arial"/>
          <w:lang w:val="en-GB"/>
        </w:rPr>
        <w:t>Section</w:t>
      </w:r>
      <w:r w:rsidRPr="00D6340F">
        <w:rPr>
          <w:rFonts w:cs="Arial"/>
          <w:lang w:val="en-GB"/>
        </w:rPr>
        <w:t xml:space="preserve"> 8.2: Adrenal Insufficiency (Addison’s disease) and 8.11: Hypothyroidism.</w:t>
      </w:r>
    </w:p>
    <w:p w14:paraId="5DA43BEC" w14:textId="77777777" w:rsidR="00C605DA" w:rsidRPr="00BF05F5" w:rsidRDefault="00C605DA" w:rsidP="00C605DA">
      <w:pPr>
        <w:rPr>
          <w:rFonts w:cs="Arial"/>
          <w:sz w:val="10"/>
          <w:szCs w:val="10"/>
          <w:lang w:val="en-GB"/>
        </w:rPr>
      </w:pPr>
    </w:p>
    <w:p w14:paraId="009BC7C5" w14:textId="77777777" w:rsidR="00C605DA" w:rsidRPr="00D6340F" w:rsidRDefault="00C605DA" w:rsidP="00C605DA">
      <w:pPr>
        <w:pStyle w:val="Heading6"/>
        <w:rPr>
          <w:rFonts w:cs="Arial"/>
          <w:iCs/>
        </w:rPr>
      </w:pPr>
      <w:r w:rsidRPr="00D6340F">
        <w:rPr>
          <w:rFonts w:cs="Arial"/>
        </w:rPr>
        <w:t>Hypothyroidism</w:t>
      </w:r>
    </w:p>
    <w:p w14:paraId="734B8DC8" w14:textId="531CCB3B" w:rsidR="00C605DA" w:rsidRPr="00D6340F" w:rsidRDefault="00C605DA" w:rsidP="00C605DA">
      <w:pPr>
        <w:rPr>
          <w:rFonts w:cs="Arial"/>
          <w:lang w:val="en-GB"/>
        </w:rPr>
      </w:pPr>
      <w:r w:rsidRPr="00D6340F">
        <w:rPr>
          <w:rFonts w:cs="Arial"/>
          <w:lang w:val="en-GB"/>
        </w:rPr>
        <w:t xml:space="preserve">See </w:t>
      </w:r>
      <w:r w:rsidR="002840C6">
        <w:rPr>
          <w:rFonts w:cs="Arial"/>
          <w:lang w:val="en-GB"/>
        </w:rPr>
        <w:t>Section</w:t>
      </w:r>
      <w:r w:rsidRPr="00D6340F">
        <w:rPr>
          <w:rFonts w:cs="Arial"/>
          <w:lang w:val="en-GB"/>
        </w:rPr>
        <w:t xml:space="preserve"> 8.11: Hypothyroidism.</w:t>
      </w:r>
    </w:p>
    <w:p w14:paraId="348B1ADC" w14:textId="77777777" w:rsidR="00C605DA" w:rsidRPr="00BF05F5" w:rsidRDefault="00C605DA" w:rsidP="00C605DA">
      <w:pPr>
        <w:rPr>
          <w:rFonts w:cs="Arial"/>
          <w:sz w:val="10"/>
          <w:szCs w:val="10"/>
          <w:lang w:val="en-GB"/>
        </w:rPr>
      </w:pPr>
    </w:p>
    <w:p w14:paraId="579229D6" w14:textId="77777777" w:rsidR="00C605DA" w:rsidRPr="00D6340F" w:rsidRDefault="00C605DA" w:rsidP="00C605DA">
      <w:pPr>
        <w:pStyle w:val="Heading6"/>
        <w:rPr>
          <w:rFonts w:cs="Arial"/>
        </w:rPr>
      </w:pPr>
      <w:r w:rsidRPr="00D6340F">
        <w:rPr>
          <w:rFonts w:cs="Arial"/>
        </w:rPr>
        <w:t>Hypogonadism</w:t>
      </w:r>
    </w:p>
    <w:p w14:paraId="1D5BCE43" w14:textId="77777777" w:rsidR="00C605DA" w:rsidRPr="00D6340F" w:rsidRDefault="00C605DA" w:rsidP="00C605DA">
      <w:pPr>
        <w:rPr>
          <w:rFonts w:cs="Arial"/>
          <w:spacing w:val="-4"/>
          <w:lang w:val="en-GB"/>
        </w:rPr>
      </w:pPr>
      <w:r w:rsidRPr="00D6340F">
        <w:rPr>
          <w:rFonts w:cs="Arial"/>
          <w:spacing w:val="-4"/>
          <w:lang w:val="en-GB"/>
        </w:rPr>
        <w:t>Individualise dosage and need for replacement according to age, symptoms, etc.</w:t>
      </w:r>
    </w:p>
    <w:p w14:paraId="660499CF" w14:textId="77777777" w:rsidR="00C605DA" w:rsidRPr="00D6340F" w:rsidRDefault="00C605DA" w:rsidP="00C605DA">
      <w:pPr>
        <w:pStyle w:val="Heading7"/>
        <w:rPr>
          <w:b w:val="0"/>
          <w:sz w:val="10"/>
          <w:szCs w:val="16"/>
          <w:lang w:val="en-GB"/>
        </w:rPr>
      </w:pPr>
    </w:p>
    <w:p w14:paraId="598D8040" w14:textId="77777777" w:rsidR="00C605DA" w:rsidRPr="00D6340F" w:rsidRDefault="00C605DA" w:rsidP="00C605DA">
      <w:pPr>
        <w:pStyle w:val="Heading7"/>
        <w:rPr>
          <w:b w:val="0"/>
          <w:u w:val="single"/>
          <w:lang w:val="en-GB"/>
        </w:rPr>
      </w:pPr>
      <w:r w:rsidRPr="00D6340F">
        <w:rPr>
          <w:b w:val="0"/>
          <w:u w:val="single"/>
          <w:lang w:val="en-GB"/>
        </w:rPr>
        <w:t>Women:</w:t>
      </w:r>
    </w:p>
    <w:p w14:paraId="247E003A" w14:textId="22E55F21" w:rsidR="00C605DA" w:rsidRPr="00D6340F" w:rsidRDefault="00C605DA" w:rsidP="00C605DA">
      <w:pPr>
        <w:rPr>
          <w:rFonts w:cs="Arial"/>
          <w:lang w:val="en-GB"/>
        </w:rPr>
      </w:pPr>
      <w:r w:rsidRPr="00D6340F">
        <w:rPr>
          <w:rFonts w:cs="Arial"/>
          <w:lang w:val="en-GB"/>
        </w:rPr>
        <w:t>As for postmenopausal HT</w:t>
      </w:r>
      <w:r w:rsidR="00C85B49" w:rsidRPr="00D6340F">
        <w:rPr>
          <w:rFonts w:cs="Arial"/>
          <w:lang w:val="en-GB"/>
        </w:rPr>
        <w:t>, s</w:t>
      </w:r>
      <w:r w:rsidRPr="00D6340F">
        <w:rPr>
          <w:rFonts w:cs="Arial"/>
          <w:lang w:val="en-GB"/>
        </w:rPr>
        <w:t xml:space="preserve">ee </w:t>
      </w:r>
      <w:r w:rsidR="002840C6">
        <w:rPr>
          <w:rFonts w:cs="Arial"/>
          <w:lang w:val="en-GB"/>
        </w:rPr>
        <w:t>Section</w:t>
      </w:r>
      <w:r w:rsidRPr="00D6340F">
        <w:rPr>
          <w:rFonts w:cs="Arial"/>
          <w:lang w:val="en-GB"/>
        </w:rPr>
        <w:t xml:space="preserve"> </w:t>
      </w:r>
      <w:r w:rsidR="00C85B49" w:rsidRPr="00D6340F">
        <w:rPr>
          <w:rFonts w:cs="Arial"/>
          <w:lang w:val="en-GB"/>
        </w:rPr>
        <w:t>5.12: Menopause and perimenopausal syndrome.</w:t>
      </w:r>
    </w:p>
    <w:p w14:paraId="10DB76E8" w14:textId="77777777" w:rsidR="00C605DA" w:rsidRPr="00D6340F" w:rsidRDefault="00C605DA" w:rsidP="00C605DA">
      <w:pPr>
        <w:pStyle w:val="Heading7"/>
        <w:rPr>
          <w:b w:val="0"/>
          <w:sz w:val="10"/>
          <w:szCs w:val="16"/>
          <w:lang w:val="en-GB"/>
        </w:rPr>
      </w:pPr>
    </w:p>
    <w:p w14:paraId="4E6D60D9" w14:textId="77777777" w:rsidR="00C605DA" w:rsidRPr="00D6340F" w:rsidRDefault="00C605DA" w:rsidP="00C605DA">
      <w:pPr>
        <w:pStyle w:val="Heading7"/>
        <w:rPr>
          <w:b w:val="0"/>
          <w:u w:val="single"/>
          <w:lang w:val="en-GB"/>
        </w:rPr>
      </w:pPr>
      <w:r w:rsidRPr="00D6340F">
        <w:rPr>
          <w:b w:val="0"/>
          <w:u w:val="single"/>
          <w:lang w:val="en-GB"/>
        </w:rPr>
        <w:t>Men:</w:t>
      </w:r>
    </w:p>
    <w:p w14:paraId="55293202" w14:textId="353B910C" w:rsidR="00CF1E5F" w:rsidRPr="00D6340F" w:rsidRDefault="00CF1E5F" w:rsidP="00CF1E5F">
      <w:pPr>
        <w:pStyle w:val="ep4"/>
        <w:rPr>
          <w:lang w:val="en-GB"/>
        </w:rPr>
      </w:pPr>
      <w:r w:rsidRPr="00D6340F">
        <w:rPr>
          <w:lang w:val="en-GB"/>
        </w:rPr>
        <w:t>Testosterone</w:t>
      </w:r>
      <w:r w:rsidR="006A0ED2">
        <w:rPr>
          <w:lang w:val="en-GB"/>
        </w:rPr>
        <w:t xml:space="preserve"> cypionate</w:t>
      </w:r>
      <w:r w:rsidRPr="00D6340F">
        <w:rPr>
          <w:lang w:val="en-GB"/>
        </w:rPr>
        <w:t>, IM, 200–300 mg every 3–4 weeks</w:t>
      </w:r>
      <w:r w:rsidR="00DF1586" w:rsidRPr="00D6340F">
        <w:rPr>
          <w:lang w:val="en-GB"/>
        </w:rPr>
        <w:t>.</w:t>
      </w:r>
    </w:p>
    <w:p w14:paraId="28705404" w14:textId="32593431" w:rsidR="00C605DA" w:rsidRPr="00D6340F" w:rsidRDefault="00CF1E5F" w:rsidP="00C605DA">
      <w:pPr>
        <w:rPr>
          <w:rFonts w:cs="Arial"/>
          <w:lang w:val="en-GB"/>
        </w:rPr>
      </w:pPr>
      <w:r w:rsidRPr="00D6340F">
        <w:rPr>
          <w:rFonts w:cs="Arial"/>
          <w:lang w:val="en-GB"/>
        </w:rPr>
        <w:t xml:space="preserve">See </w:t>
      </w:r>
      <w:r w:rsidR="002840C6">
        <w:rPr>
          <w:rFonts w:cs="Arial"/>
          <w:lang w:val="en-GB"/>
        </w:rPr>
        <w:t>Section</w:t>
      </w:r>
      <w:r w:rsidRPr="00D6340F">
        <w:rPr>
          <w:rFonts w:cs="Arial"/>
          <w:lang w:val="en-GB"/>
        </w:rPr>
        <w:t xml:space="preserve"> 8.3:</w:t>
      </w:r>
      <w:r w:rsidR="00850446">
        <w:rPr>
          <w:rFonts w:cs="Arial"/>
          <w:lang w:val="en-GB"/>
        </w:rPr>
        <w:t xml:space="preserve"> </w:t>
      </w:r>
      <w:r w:rsidR="002F6E91" w:rsidRPr="00D6340F">
        <w:rPr>
          <w:rFonts w:cs="Arial"/>
          <w:lang w:val="en-GB"/>
        </w:rPr>
        <w:t>Androgen deficiency</w:t>
      </w:r>
      <w:r w:rsidR="00DF1586" w:rsidRPr="00D6340F">
        <w:rPr>
          <w:rFonts w:cs="Arial"/>
          <w:lang w:val="en-GB"/>
        </w:rPr>
        <w:t>.</w:t>
      </w:r>
    </w:p>
    <w:p w14:paraId="7853D665" w14:textId="77777777" w:rsidR="00C51AAD" w:rsidRPr="00D6340F" w:rsidRDefault="00C51AAD" w:rsidP="00763499">
      <w:pPr>
        <w:pStyle w:val="Heading5"/>
        <w:rPr>
          <w:rFonts w:cs="Arial"/>
          <w:b w:val="0"/>
          <w:sz w:val="18"/>
          <w:lang w:val="en-GB"/>
        </w:rPr>
      </w:pPr>
    </w:p>
    <w:p w14:paraId="4354E2B1" w14:textId="77777777" w:rsidR="00763499" w:rsidRPr="00D6340F" w:rsidRDefault="00C605DA" w:rsidP="00763499">
      <w:pPr>
        <w:pStyle w:val="Heading5"/>
        <w:rPr>
          <w:rFonts w:cs="Arial"/>
          <w:lang w:val="en-GB"/>
        </w:rPr>
      </w:pPr>
      <w:r w:rsidRPr="00D6340F">
        <w:rPr>
          <w:rFonts w:cs="Arial"/>
          <w:lang w:val="en-GB"/>
        </w:rPr>
        <w:t>REFERRAL</w:t>
      </w:r>
    </w:p>
    <w:p w14:paraId="2A897FD6" w14:textId="77777777" w:rsidR="00C605DA" w:rsidRPr="00D6340F" w:rsidRDefault="00C605DA" w:rsidP="00763499">
      <w:pPr>
        <w:pStyle w:val="Heading5"/>
        <w:rPr>
          <w:rFonts w:cs="Arial"/>
          <w:sz w:val="18"/>
          <w:szCs w:val="18"/>
          <w:lang w:val="en-GB"/>
        </w:rPr>
      </w:pPr>
      <w:r w:rsidRPr="00D6340F">
        <w:rPr>
          <w:rFonts w:cs="Arial"/>
          <w:b w:val="0"/>
          <w:sz w:val="18"/>
          <w:szCs w:val="18"/>
          <w:lang w:val="en-GB"/>
        </w:rPr>
        <w:t>All diagnosed patients for initial assessment.</w:t>
      </w:r>
    </w:p>
    <w:p w14:paraId="77F9FEEB" w14:textId="77777777" w:rsidR="00C605DA" w:rsidRPr="00D6340F" w:rsidRDefault="00C605DA" w:rsidP="00C605DA">
      <w:pPr>
        <w:rPr>
          <w:rFonts w:cs="Arial"/>
          <w:sz w:val="16"/>
          <w:szCs w:val="16"/>
          <w:lang w:val="en-GB"/>
        </w:rPr>
      </w:pPr>
    </w:p>
    <w:p w14:paraId="4CB576D4" w14:textId="77777777" w:rsidR="00C605DA" w:rsidRPr="00D6340F" w:rsidRDefault="00C605DA" w:rsidP="00110944">
      <w:pPr>
        <w:pStyle w:val="Heading2"/>
      </w:pPr>
      <w:r w:rsidRPr="00D6340F">
        <w:t xml:space="preserve">8.15.3 </w:t>
      </w:r>
      <w:r w:rsidR="003B6D93">
        <w:tab/>
      </w:r>
      <w:r w:rsidRPr="008454E9">
        <w:t>Diabetes insipidus (Posterior hypopituita</w:t>
      </w:r>
      <w:r w:rsidR="008454E9">
        <w:t>-</w:t>
      </w:r>
      <w:r w:rsidRPr="008454E9">
        <w:t>rism)</w:t>
      </w:r>
    </w:p>
    <w:p w14:paraId="689C8DC9" w14:textId="77777777" w:rsidR="00C605DA" w:rsidRPr="00D6340F" w:rsidRDefault="00C605DA" w:rsidP="00C02921">
      <w:pPr>
        <w:pStyle w:val="Heading4"/>
      </w:pPr>
      <w:r w:rsidRPr="00D6340F">
        <w:t>E23.2</w:t>
      </w:r>
    </w:p>
    <w:p w14:paraId="58F85200" w14:textId="77777777" w:rsidR="00C605DA" w:rsidRPr="00D6340F" w:rsidRDefault="00C605DA" w:rsidP="00C605DA">
      <w:pPr>
        <w:rPr>
          <w:rFonts w:cs="Arial"/>
          <w:lang w:val="en-GB"/>
        </w:rPr>
      </w:pPr>
    </w:p>
    <w:p w14:paraId="496EBF1D" w14:textId="77777777" w:rsidR="00C605DA" w:rsidRPr="00D6340F" w:rsidRDefault="00C605DA" w:rsidP="00C605DA">
      <w:pPr>
        <w:pStyle w:val="Heading5"/>
        <w:rPr>
          <w:rFonts w:cs="Arial"/>
          <w:lang w:val="en-GB"/>
        </w:rPr>
      </w:pPr>
      <w:r w:rsidRPr="00D6340F">
        <w:rPr>
          <w:rFonts w:cs="Arial"/>
          <w:lang w:val="en-GB"/>
        </w:rPr>
        <w:t>DESCRIPTION</w:t>
      </w:r>
    </w:p>
    <w:p w14:paraId="38A691B4" w14:textId="77777777" w:rsidR="00C605DA" w:rsidRPr="00D6340F" w:rsidRDefault="00C605DA" w:rsidP="00C605DA">
      <w:pPr>
        <w:rPr>
          <w:rFonts w:cs="Arial"/>
          <w:lang w:val="en-GB"/>
        </w:rPr>
      </w:pPr>
      <w:r w:rsidRPr="00D6340F">
        <w:rPr>
          <w:rFonts w:cs="Arial"/>
          <w:lang w:val="en-GB"/>
        </w:rPr>
        <w:t>Damage to the posterior pituitary leading to deficient production of antidiuretic hormone.</w:t>
      </w:r>
      <w:r w:rsidR="004B127A">
        <w:rPr>
          <w:rFonts w:cs="Arial"/>
          <w:lang w:val="en-GB"/>
        </w:rPr>
        <w:t xml:space="preserve"> </w:t>
      </w:r>
      <w:r w:rsidRPr="00D6340F">
        <w:rPr>
          <w:rFonts w:cs="Arial"/>
          <w:lang w:val="en-GB"/>
        </w:rPr>
        <w:t xml:space="preserve">Characterised by the passage of </w:t>
      </w:r>
      <w:r w:rsidR="002F6E91" w:rsidRPr="00D6340F">
        <w:rPr>
          <w:rFonts w:cs="Arial"/>
          <w:color w:val="auto"/>
          <w:lang w:val="en-GB"/>
        </w:rPr>
        <w:t>large</w:t>
      </w:r>
      <w:r w:rsidRPr="00D6340F">
        <w:rPr>
          <w:rFonts w:cs="Arial"/>
          <w:color w:val="auto"/>
          <w:lang w:val="en-GB"/>
        </w:rPr>
        <w:t xml:space="preserve"> amounts of dilute urine</w:t>
      </w:r>
      <w:r w:rsidR="002F6E91" w:rsidRPr="00D6340F">
        <w:rPr>
          <w:rFonts w:cs="Arial"/>
          <w:color w:val="auto"/>
          <w:lang w:val="en-GB"/>
        </w:rPr>
        <w:t>, usually &gt;2.5 litres daily</w:t>
      </w:r>
      <w:r w:rsidRPr="00D6340F">
        <w:rPr>
          <w:rFonts w:cs="Arial"/>
          <w:color w:val="auto"/>
          <w:lang w:val="en-GB"/>
        </w:rPr>
        <w:t>.</w:t>
      </w:r>
    </w:p>
    <w:p w14:paraId="69307BE2" w14:textId="77777777" w:rsidR="00C605DA" w:rsidRPr="00D6340F" w:rsidRDefault="00C605DA" w:rsidP="00C605DA">
      <w:pPr>
        <w:rPr>
          <w:rFonts w:cs="Arial"/>
          <w:lang w:val="en-GB"/>
        </w:rPr>
      </w:pPr>
      <w:r w:rsidRPr="00D6340F">
        <w:rPr>
          <w:rFonts w:cs="Arial"/>
          <w:lang w:val="en-GB"/>
        </w:rPr>
        <w:t xml:space="preserve">Causes include head trauma and </w:t>
      </w:r>
      <w:proofErr w:type="gramStart"/>
      <w:r w:rsidRPr="00D6340F">
        <w:rPr>
          <w:rFonts w:cs="Arial"/>
          <w:lang w:val="en-GB"/>
        </w:rPr>
        <w:t>neurosurgery</w:t>
      </w:r>
      <w:proofErr w:type="gramEnd"/>
      <w:r w:rsidRPr="00D6340F">
        <w:rPr>
          <w:rFonts w:cs="Arial"/>
          <w:lang w:val="en-GB"/>
        </w:rPr>
        <w:t xml:space="preserve"> but most cases are idiopathic.</w:t>
      </w:r>
    </w:p>
    <w:p w14:paraId="040D709C" w14:textId="77777777" w:rsidR="00B645FC" w:rsidRPr="00D6340F" w:rsidRDefault="00B645FC" w:rsidP="00B645FC">
      <w:pPr>
        <w:rPr>
          <w:rFonts w:cs="Arial"/>
          <w:b/>
          <w:color w:val="auto"/>
          <w:lang w:val="en-GB"/>
        </w:rPr>
      </w:pPr>
      <w:r w:rsidRPr="00D6340F">
        <w:rPr>
          <w:rFonts w:cs="Arial"/>
          <w:b/>
          <w:color w:val="auto"/>
          <w:lang w:val="en-GB"/>
        </w:rPr>
        <w:t>Consultation with a specialist is recommended.</w:t>
      </w:r>
    </w:p>
    <w:p w14:paraId="12A5CC8B" w14:textId="77777777" w:rsidR="00C605DA" w:rsidRPr="00D6340F" w:rsidRDefault="00C605DA" w:rsidP="00C605DA">
      <w:pPr>
        <w:pStyle w:val="epb"/>
        <w:rPr>
          <w:rFonts w:cs="Arial"/>
          <w:b w:val="0"/>
          <w:lang w:val="en-GB"/>
        </w:rPr>
      </w:pPr>
    </w:p>
    <w:p w14:paraId="7DA4A8FD" w14:textId="77777777" w:rsidR="00C605DA" w:rsidRPr="00D6340F" w:rsidRDefault="00C605DA" w:rsidP="00C605DA">
      <w:pPr>
        <w:pStyle w:val="epb"/>
        <w:rPr>
          <w:rFonts w:cs="Arial"/>
          <w:sz w:val="20"/>
          <w:lang w:val="en-GB"/>
        </w:rPr>
      </w:pPr>
      <w:r w:rsidRPr="00D6340F">
        <w:rPr>
          <w:rFonts w:cs="Arial"/>
          <w:sz w:val="20"/>
          <w:lang w:val="en-GB"/>
        </w:rPr>
        <w:t>general measures</w:t>
      </w:r>
    </w:p>
    <w:p w14:paraId="30F3F077" w14:textId="77777777" w:rsidR="00C605DA" w:rsidRPr="00D6340F" w:rsidRDefault="00C605DA" w:rsidP="00C605DA">
      <w:pPr>
        <w:rPr>
          <w:rFonts w:cs="Arial"/>
          <w:lang w:val="en-GB"/>
        </w:rPr>
      </w:pPr>
      <w:r w:rsidRPr="00D6340F">
        <w:rPr>
          <w:rFonts w:cs="Arial"/>
          <w:lang w:val="en-GB"/>
        </w:rPr>
        <w:t>Rehydration with water or hypotonic fluids.</w:t>
      </w:r>
    </w:p>
    <w:p w14:paraId="195CD721" w14:textId="1502A1F3" w:rsidR="00C605DA" w:rsidRDefault="00C605DA" w:rsidP="00C605DA">
      <w:pPr>
        <w:rPr>
          <w:rFonts w:cs="Arial"/>
          <w:lang w:val="en-GB"/>
        </w:rPr>
      </w:pPr>
    </w:p>
    <w:p w14:paraId="210BA240" w14:textId="77777777" w:rsidR="00834249" w:rsidRDefault="00834249" w:rsidP="00C605DA">
      <w:pPr>
        <w:rPr>
          <w:rFonts w:cs="Arial"/>
          <w:lang w:val="en-GB"/>
        </w:rPr>
      </w:pPr>
    </w:p>
    <w:p w14:paraId="19B5D4EC" w14:textId="77777777" w:rsidR="00C605DA" w:rsidRPr="00D6340F" w:rsidRDefault="00C605DA" w:rsidP="00C605DA">
      <w:pPr>
        <w:rPr>
          <w:rFonts w:cs="Arial"/>
          <w:b/>
          <w:sz w:val="20"/>
          <w:szCs w:val="20"/>
          <w:lang w:val="en-GB"/>
        </w:rPr>
      </w:pPr>
      <w:r w:rsidRPr="00D6340F">
        <w:rPr>
          <w:rFonts w:cs="Arial"/>
          <w:b/>
          <w:sz w:val="20"/>
          <w:szCs w:val="20"/>
          <w:lang w:val="en-GB"/>
        </w:rPr>
        <w:lastRenderedPageBreak/>
        <w:t>MEDICINE TREATMENT</w:t>
      </w:r>
    </w:p>
    <w:p w14:paraId="6FB62398" w14:textId="77777777" w:rsidR="00A70AB7" w:rsidRPr="00D6340F" w:rsidRDefault="00A70AB7" w:rsidP="00A70AB7">
      <w:pPr>
        <w:pStyle w:val="Heading7"/>
        <w:rPr>
          <w:b w:val="0"/>
          <w:u w:val="single"/>
          <w:lang w:val="en-GB"/>
        </w:rPr>
      </w:pPr>
      <w:r w:rsidRPr="00D6340F">
        <w:rPr>
          <w:b w:val="0"/>
          <w:bCs/>
          <w:u w:val="single"/>
          <w:lang w:val="en-GB"/>
        </w:rPr>
        <w:t>Postoperative or acutely ill patients:</w:t>
      </w:r>
    </w:p>
    <w:p w14:paraId="39807176" w14:textId="77777777" w:rsidR="00A70AB7" w:rsidRPr="00D6340F" w:rsidRDefault="00A70AB7" w:rsidP="00937C6D">
      <w:pPr>
        <w:pStyle w:val="ep4"/>
        <w:tabs>
          <w:tab w:val="clear" w:pos="360"/>
          <w:tab w:val="num" w:pos="284"/>
        </w:tabs>
        <w:rPr>
          <w:bCs w:val="0"/>
          <w:lang w:val="en-GB" w:eastAsia="en-ZA"/>
        </w:rPr>
      </w:pPr>
      <w:r w:rsidRPr="00D6340F">
        <w:rPr>
          <w:bCs w:val="0"/>
          <w:lang w:val="en-GB" w:eastAsia="en-ZA"/>
        </w:rPr>
        <w:t>Desmopressin, IV/SC, 2</w:t>
      </w:r>
      <w:r w:rsidR="00937C6D" w:rsidRPr="00D6340F">
        <w:rPr>
          <w:bCs w:val="0"/>
          <w:lang w:val="en-GB" w:eastAsia="en-ZA"/>
        </w:rPr>
        <w:t>–</w:t>
      </w:r>
      <w:r w:rsidRPr="00D6340F">
        <w:rPr>
          <w:bCs w:val="0"/>
          <w:lang w:val="en-GB" w:eastAsia="en-ZA"/>
        </w:rPr>
        <w:t>4 mcg daily, either as a single dose or in 2 divided doses.</w:t>
      </w:r>
    </w:p>
    <w:p w14:paraId="0F8D7D6F" w14:textId="77777777" w:rsidR="00A70AB7" w:rsidRPr="00D6340F" w:rsidRDefault="00A70AB7" w:rsidP="00A70AB7">
      <w:pPr>
        <w:pStyle w:val="Heading7"/>
        <w:rPr>
          <w:lang w:val="en-GB"/>
        </w:rPr>
      </w:pPr>
      <w:r w:rsidRPr="00D6340F">
        <w:rPr>
          <w:bCs/>
          <w:lang w:val="en-GB"/>
        </w:rPr>
        <w:t>OR</w:t>
      </w:r>
    </w:p>
    <w:p w14:paraId="4211BC54" w14:textId="77777777" w:rsidR="00A70AB7" w:rsidRPr="00D6340F" w:rsidRDefault="00A70AB7" w:rsidP="00937C6D">
      <w:pPr>
        <w:pStyle w:val="ep4"/>
        <w:tabs>
          <w:tab w:val="clear" w:pos="360"/>
          <w:tab w:val="num" w:pos="284"/>
        </w:tabs>
        <w:rPr>
          <w:bCs w:val="0"/>
          <w:lang w:val="en-GB" w:eastAsia="en-ZA"/>
        </w:rPr>
      </w:pPr>
      <w:r w:rsidRPr="00D6340F">
        <w:rPr>
          <w:bCs w:val="0"/>
          <w:lang w:val="en-GB" w:eastAsia="en-ZA"/>
        </w:rPr>
        <w:t>Desmopressin, nasal spray, 10</w:t>
      </w:r>
      <w:r w:rsidR="00937C6D" w:rsidRPr="00D6340F">
        <w:rPr>
          <w:bCs w:val="0"/>
          <w:lang w:val="en-GB" w:eastAsia="en-ZA"/>
        </w:rPr>
        <w:t>–</w:t>
      </w:r>
      <w:r w:rsidRPr="00D6340F">
        <w:rPr>
          <w:bCs w:val="0"/>
          <w:lang w:val="en-GB" w:eastAsia="en-ZA"/>
        </w:rPr>
        <w:t>40 mcg daily, either as a single dose or in 2–3 divided doses.</w:t>
      </w:r>
    </w:p>
    <w:p w14:paraId="3D72B46A" w14:textId="77777777" w:rsidR="00A70AB7" w:rsidRPr="00D6340F" w:rsidRDefault="00A70AB7" w:rsidP="00A70AB7">
      <w:pPr>
        <w:pStyle w:val="Heading7"/>
        <w:rPr>
          <w:lang w:val="en-GB"/>
        </w:rPr>
      </w:pPr>
      <w:r w:rsidRPr="00D6340F">
        <w:rPr>
          <w:bCs/>
          <w:lang w:val="en-GB"/>
        </w:rPr>
        <w:t>OR</w:t>
      </w:r>
    </w:p>
    <w:p w14:paraId="74800E70" w14:textId="77777777" w:rsidR="00A70AB7" w:rsidRPr="00D6340F" w:rsidRDefault="00A70AB7" w:rsidP="007E4E67">
      <w:pPr>
        <w:pStyle w:val="Heading7"/>
        <w:numPr>
          <w:ilvl w:val="0"/>
          <w:numId w:val="58"/>
        </w:numPr>
        <w:tabs>
          <w:tab w:val="clear" w:pos="360"/>
          <w:tab w:val="left" w:pos="284"/>
        </w:tabs>
        <w:ind w:left="284" w:hanging="284"/>
        <w:rPr>
          <w:b w:val="0"/>
          <w:lang w:val="en-GB"/>
        </w:rPr>
      </w:pPr>
      <w:r w:rsidRPr="00D6340F">
        <w:rPr>
          <w:b w:val="0"/>
          <w:lang w:val="en-GB"/>
        </w:rPr>
        <w:t>Desmopressin, oral, 0.05 mg, 8–12 hourly. </w:t>
      </w:r>
    </w:p>
    <w:p w14:paraId="6FB6C6E9" w14:textId="77777777" w:rsidR="00A70AB7" w:rsidRPr="00D6340F" w:rsidRDefault="00A70AB7" w:rsidP="007E4E67">
      <w:pPr>
        <w:numPr>
          <w:ilvl w:val="0"/>
          <w:numId w:val="41"/>
        </w:numPr>
        <w:ind w:left="567" w:hanging="283"/>
        <w:rPr>
          <w:rFonts w:cs="Arial"/>
          <w:bCs w:val="0"/>
          <w:szCs w:val="20"/>
          <w:lang w:val="en-GB" w:eastAsia="en-ZA"/>
        </w:rPr>
      </w:pPr>
      <w:r w:rsidRPr="00D6340F">
        <w:rPr>
          <w:rFonts w:cs="Arial"/>
          <w:bCs w:val="0"/>
          <w:szCs w:val="20"/>
          <w:lang w:val="en-GB" w:eastAsia="en-ZA"/>
        </w:rPr>
        <w:t>Optimal dose: 0.1–0.8 mg daily. </w:t>
      </w:r>
    </w:p>
    <w:p w14:paraId="51F9CBF5" w14:textId="77777777" w:rsidR="00A70AB7" w:rsidRPr="00D6340F" w:rsidRDefault="00A70AB7" w:rsidP="007E4E67">
      <w:pPr>
        <w:numPr>
          <w:ilvl w:val="0"/>
          <w:numId w:val="41"/>
        </w:numPr>
        <w:ind w:left="567" w:hanging="283"/>
        <w:rPr>
          <w:rFonts w:cs="Arial"/>
          <w:bCs w:val="0"/>
          <w:szCs w:val="20"/>
          <w:lang w:val="en-GB" w:eastAsia="en-ZA"/>
        </w:rPr>
      </w:pPr>
      <w:r w:rsidRPr="00D6340F">
        <w:rPr>
          <w:rFonts w:cs="Arial"/>
          <w:bCs w:val="0"/>
          <w:szCs w:val="20"/>
          <w:lang w:val="en-GB" w:eastAsia="en-ZA"/>
        </w:rPr>
        <w:t>Adjust dose according to response to a maximum of 1.2 mg daily in divided doses. </w:t>
      </w:r>
    </w:p>
    <w:p w14:paraId="771264D2" w14:textId="77777777" w:rsidR="00A70AB7" w:rsidRPr="00290F7D" w:rsidRDefault="00A70AB7" w:rsidP="00A70AB7">
      <w:pPr>
        <w:pStyle w:val="Heading7"/>
        <w:rPr>
          <w:b w:val="0"/>
          <w:sz w:val="16"/>
          <w:lang w:val="en-GB"/>
        </w:rPr>
      </w:pPr>
      <w:r w:rsidRPr="00D6340F">
        <w:rPr>
          <w:lang w:val="en-GB"/>
        </w:rPr>
        <w:t> </w:t>
      </w:r>
    </w:p>
    <w:p w14:paraId="17B2BEEF" w14:textId="77777777" w:rsidR="00A70AB7" w:rsidRPr="00D6340F" w:rsidRDefault="00A70AB7" w:rsidP="00A70AB7">
      <w:pPr>
        <w:pStyle w:val="Heading7"/>
        <w:rPr>
          <w:b w:val="0"/>
          <w:lang w:val="en-GB"/>
        </w:rPr>
      </w:pPr>
      <w:r w:rsidRPr="00D6340F">
        <w:rPr>
          <w:b w:val="0"/>
          <w:lang w:val="en-GB"/>
        </w:rPr>
        <w:t xml:space="preserve">If patient has a normal thirst mechanism, and does not receive IV fluids for other purposes: </w:t>
      </w:r>
    </w:p>
    <w:p w14:paraId="3F538701" w14:textId="77777777" w:rsidR="00A70AB7" w:rsidRPr="00D6340F" w:rsidRDefault="00A70AB7" w:rsidP="007E4E67">
      <w:pPr>
        <w:pStyle w:val="ep0"/>
        <w:numPr>
          <w:ilvl w:val="0"/>
          <w:numId w:val="43"/>
        </w:numPr>
        <w:ind w:left="284" w:hanging="284"/>
        <w:rPr>
          <w:rFonts w:cs="Arial"/>
          <w:strike w:val="0"/>
          <w:szCs w:val="20"/>
          <w:lang w:val="en-GB" w:eastAsia="en-ZA"/>
        </w:rPr>
      </w:pPr>
      <w:r w:rsidRPr="00D6340F">
        <w:rPr>
          <w:rFonts w:cs="Arial"/>
          <w:strike w:val="0"/>
          <w:szCs w:val="20"/>
          <w:lang w:val="en-GB" w:eastAsia="en-ZA"/>
        </w:rPr>
        <w:t>oral, intranasal, or IV/SC dosing can be used; and</w:t>
      </w:r>
    </w:p>
    <w:p w14:paraId="026F0357" w14:textId="77777777" w:rsidR="00A70AB7" w:rsidRPr="00D6340F" w:rsidRDefault="00A70AB7" w:rsidP="007E4E67">
      <w:pPr>
        <w:pStyle w:val="ep0"/>
        <w:numPr>
          <w:ilvl w:val="0"/>
          <w:numId w:val="43"/>
        </w:numPr>
        <w:ind w:left="284" w:hanging="284"/>
        <w:rPr>
          <w:rFonts w:cs="Arial"/>
          <w:strike w:val="0"/>
          <w:szCs w:val="20"/>
          <w:lang w:val="en-GB" w:eastAsia="en-ZA"/>
        </w:rPr>
      </w:pPr>
      <w:r w:rsidRPr="00D6340F">
        <w:rPr>
          <w:rFonts w:cs="Arial"/>
          <w:strike w:val="0"/>
          <w:szCs w:val="20"/>
          <w:lang w:val="en-GB" w:eastAsia="en-ZA"/>
        </w:rPr>
        <w:t>keep urine osmolality at 450</w:t>
      </w:r>
      <w:r w:rsidR="00937C6D" w:rsidRPr="00D6340F">
        <w:rPr>
          <w:rFonts w:cs="Arial"/>
          <w:strike w:val="0"/>
          <w:szCs w:val="20"/>
          <w:lang w:val="en-GB" w:eastAsia="en-ZA"/>
        </w:rPr>
        <w:t>–</w:t>
      </w:r>
      <w:r w:rsidRPr="00D6340F">
        <w:rPr>
          <w:rFonts w:cs="Arial"/>
          <w:strike w:val="0"/>
          <w:szCs w:val="20"/>
          <w:lang w:val="en-GB" w:eastAsia="en-ZA"/>
        </w:rPr>
        <w:t xml:space="preserve">600 </w:t>
      </w:r>
      <w:proofErr w:type="spellStart"/>
      <w:r w:rsidRPr="00D6340F">
        <w:rPr>
          <w:rFonts w:cs="Arial"/>
          <w:strike w:val="0"/>
          <w:szCs w:val="20"/>
          <w:lang w:val="en-GB" w:eastAsia="en-ZA"/>
        </w:rPr>
        <w:t>mOsm</w:t>
      </w:r>
      <w:proofErr w:type="spellEnd"/>
      <w:r w:rsidRPr="00D6340F">
        <w:rPr>
          <w:rFonts w:cs="Arial"/>
          <w:strike w:val="0"/>
          <w:szCs w:val="20"/>
          <w:lang w:val="en-GB" w:eastAsia="en-ZA"/>
        </w:rPr>
        <w:t>/kg.</w:t>
      </w:r>
    </w:p>
    <w:p w14:paraId="77DFC923" w14:textId="77777777" w:rsidR="00A70AB7" w:rsidRPr="00290F7D" w:rsidRDefault="00A70AB7" w:rsidP="00A70AB7">
      <w:pPr>
        <w:pStyle w:val="Heading7"/>
        <w:rPr>
          <w:b w:val="0"/>
          <w:sz w:val="16"/>
          <w:lang w:val="en-GB"/>
        </w:rPr>
      </w:pPr>
      <w:r w:rsidRPr="00D6340F">
        <w:rPr>
          <w:lang w:val="en-GB"/>
        </w:rPr>
        <w:t> </w:t>
      </w:r>
    </w:p>
    <w:p w14:paraId="5F344E2F" w14:textId="77777777" w:rsidR="00A70AB7" w:rsidRPr="00D6340F" w:rsidRDefault="00A70AB7" w:rsidP="00A70AB7">
      <w:pPr>
        <w:pStyle w:val="Heading7"/>
        <w:rPr>
          <w:b w:val="0"/>
          <w:lang w:val="en-GB"/>
        </w:rPr>
      </w:pPr>
      <w:r w:rsidRPr="00D6340F">
        <w:rPr>
          <w:b w:val="0"/>
          <w:lang w:val="en-GB"/>
        </w:rPr>
        <w:t xml:space="preserve">If patient requires IV fluids and/or is unable to regulate total fluid intake by thirst mechanism: </w:t>
      </w:r>
    </w:p>
    <w:p w14:paraId="74A84566" w14:textId="77777777" w:rsidR="00A70AB7" w:rsidRPr="00D6340F" w:rsidRDefault="00A70AB7" w:rsidP="007E4E67">
      <w:pPr>
        <w:pStyle w:val="ep0"/>
        <w:numPr>
          <w:ilvl w:val="0"/>
          <w:numId w:val="43"/>
        </w:numPr>
        <w:ind w:left="284" w:hanging="284"/>
        <w:rPr>
          <w:rFonts w:cs="Arial"/>
          <w:strike w:val="0"/>
          <w:szCs w:val="20"/>
          <w:lang w:val="en-GB" w:eastAsia="en-ZA"/>
        </w:rPr>
      </w:pPr>
      <w:r w:rsidRPr="00D6340F">
        <w:rPr>
          <w:rFonts w:cs="Arial"/>
          <w:strike w:val="0"/>
          <w:szCs w:val="20"/>
          <w:lang w:val="en-GB" w:eastAsia="en-ZA"/>
        </w:rPr>
        <w:t>IV dosing is preferred; and</w:t>
      </w:r>
    </w:p>
    <w:p w14:paraId="767B6292" w14:textId="77777777" w:rsidR="00A70AB7" w:rsidRPr="00D6340F" w:rsidRDefault="00A70AB7" w:rsidP="007E4E67">
      <w:pPr>
        <w:pStyle w:val="ep0"/>
        <w:numPr>
          <w:ilvl w:val="0"/>
          <w:numId w:val="43"/>
        </w:numPr>
        <w:ind w:left="284" w:hanging="284"/>
        <w:rPr>
          <w:rFonts w:cs="Arial"/>
          <w:strike w:val="0"/>
          <w:szCs w:val="20"/>
          <w:lang w:val="en-GB" w:eastAsia="en-ZA"/>
        </w:rPr>
      </w:pPr>
      <w:r w:rsidRPr="00D6340F">
        <w:rPr>
          <w:rFonts w:cs="Arial"/>
          <w:strike w:val="0"/>
          <w:szCs w:val="20"/>
          <w:lang w:val="en-GB" w:eastAsia="en-ZA"/>
        </w:rPr>
        <w:t>continually adjust the level of antidiuresis to maintain hydration and plasma sodium within the normal.</w:t>
      </w:r>
    </w:p>
    <w:p w14:paraId="76817971" w14:textId="77777777" w:rsidR="00A70AB7" w:rsidRPr="00D6340F" w:rsidRDefault="00A70AB7" w:rsidP="00A70AB7">
      <w:pPr>
        <w:pStyle w:val="Heading7"/>
        <w:rPr>
          <w:lang w:val="en-GB"/>
        </w:rPr>
      </w:pPr>
    </w:p>
    <w:p w14:paraId="601CCE5F" w14:textId="77777777" w:rsidR="00A70AB7" w:rsidRPr="00D6340F" w:rsidRDefault="00A70AB7" w:rsidP="00A70AB7">
      <w:pPr>
        <w:pStyle w:val="Heading7"/>
        <w:rPr>
          <w:b w:val="0"/>
          <w:u w:val="single"/>
          <w:lang w:val="en-GB"/>
        </w:rPr>
      </w:pPr>
      <w:r w:rsidRPr="00D6340F">
        <w:rPr>
          <w:b w:val="0"/>
          <w:bCs/>
          <w:u w:val="single"/>
          <w:lang w:val="en-GB"/>
        </w:rPr>
        <w:t>Replacement therapy:</w:t>
      </w:r>
    </w:p>
    <w:p w14:paraId="4C26091F" w14:textId="77777777" w:rsidR="00A70AB7" w:rsidRPr="00D6340F" w:rsidRDefault="00A70AB7" w:rsidP="007E4E67">
      <w:pPr>
        <w:pStyle w:val="Heading7"/>
        <w:numPr>
          <w:ilvl w:val="0"/>
          <w:numId w:val="58"/>
        </w:numPr>
        <w:tabs>
          <w:tab w:val="clear" w:pos="360"/>
          <w:tab w:val="left" w:pos="284"/>
        </w:tabs>
        <w:ind w:left="284" w:hanging="284"/>
        <w:rPr>
          <w:b w:val="0"/>
          <w:lang w:val="en-GB"/>
        </w:rPr>
      </w:pPr>
      <w:r w:rsidRPr="00D6340F">
        <w:rPr>
          <w:b w:val="0"/>
          <w:lang w:val="en-GB"/>
        </w:rPr>
        <w:t>Desmopressin, nasal spray, 10</w:t>
      </w:r>
      <w:r w:rsidR="00937C6D" w:rsidRPr="00D6340F">
        <w:rPr>
          <w:b w:val="0"/>
          <w:lang w:val="en-GB"/>
        </w:rPr>
        <w:t>–</w:t>
      </w:r>
      <w:r w:rsidRPr="00D6340F">
        <w:rPr>
          <w:b w:val="0"/>
          <w:lang w:val="en-GB"/>
        </w:rPr>
        <w:t xml:space="preserve">40 mcg daily, </w:t>
      </w:r>
      <w:r w:rsidR="00937C6D" w:rsidRPr="00D6340F">
        <w:rPr>
          <w:b w:val="0"/>
          <w:lang w:val="en-GB"/>
        </w:rPr>
        <w:t>either as a single dose or in 2–3 divided doses.</w:t>
      </w:r>
    </w:p>
    <w:p w14:paraId="6A38D8B4" w14:textId="77777777" w:rsidR="00937C6D" w:rsidRPr="00D6340F" w:rsidRDefault="00937C6D" w:rsidP="007E4E67">
      <w:pPr>
        <w:numPr>
          <w:ilvl w:val="0"/>
          <w:numId w:val="41"/>
        </w:numPr>
        <w:ind w:left="567" w:hanging="283"/>
        <w:rPr>
          <w:rFonts w:cs="Arial"/>
          <w:bCs w:val="0"/>
          <w:szCs w:val="20"/>
          <w:lang w:val="en-GB" w:eastAsia="en-ZA"/>
        </w:rPr>
      </w:pPr>
      <w:r w:rsidRPr="00D6340F">
        <w:rPr>
          <w:rFonts w:cs="Arial"/>
          <w:bCs w:val="0"/>
          <w:szCs w:val="20"/>
          <w:lang w:val="en-GB" w:eastAsia="en-ZA"/>
        </w:rPr>
        <w:t>Adjust morning and evening doses separately for appropriate diurnal rhythm of water turnover.</w:t>
      </w:r>
    </w:p>
    <w:p w14:paraId="21DE678E" w14:textId="77777777" w:rsidR="00A70AB7" w:rsidRPr="00D6340F" w:rsidRDefault="00A70AB7" w:rsidP="00A70AB7">
      <w:pPr>
        <w:pStyle w:val="Heading7"/>
        <w:rPr>
          <w:lang w:val="en-GB"/>
        </w:rPr>
      </w:pPr>
      <w:r w:rsidRPr="00D6340F">
        <w:rPr>
          <w:bCs/>
          <w:lang w:val="en-GB"/>
        </w:rPr>
        <w:t>OR</w:t>
      </w:r>
    </w:p>
    <w:p w14:paraId="6C377738" w14:textId="77777777" w:rsidR="00937C6D" w:rsidRPr="00D6340F" w:rsidRDefault="00A70AB7" w:rsidP="007E4E67">
      <w:pPr>
        <w:pStyle w:val="Heading7"/>
        <w:numPr>
          <w:ilvl w:val="0"/>
          <w:numId w:val="58"/>
        </w:numPr>
        <w:tabs>
          <w:tab w:val="clear" w:pos="360"/>
          <w:tab w:val="left" w:pos="284"/>
        </w:tabs>
        <w:ind w:left="284" w:hanging="284"/>
        <w:rPr>
          <w:lang w:val="en-GB"/>
        </w:rPr>
      </w:pPr>
      <w:r w:rsidRPr="00D6340F">
        <w:rPr>
          <w:b w:val="0"/>
          <w:lang w:val="en-GB"/>
        </w:rPr>
        <w:t xml:space="preserve">Desmopressin, oral, 0.05 mg, </w:t>
      </w:r>
      <w:r w:rsidR="00937C6D" w:rsidRPr="00D6340F">
        <w:rPr>
          <w:b w:val="0"/>
          <w:lang w:val="en-GB"/>
        </w:rPr>
        <w:t>either as a single dose or in 2–3 divided doses.</w:t>
      </w:r>
    </w:p>
    <w:p w14:paraId="26E587DF" w14:textId="77777777" w:rsidR="00937C6D" w:rsidRPr="00D6340F" w:rsidRDefault="00A70AB7" w:rsidP="007E4E67">
      <w:pPr>
        <w:numPr>
          <w:ilvl w:val="0"/>
          <w:numId w:val="41"/>
        </w:numPr>
        <w:ind w:left="567" w:hanging="283"/>
        <w:rPr>
          <w:rFonts w:cs="Arial"/>
          <w:bCs w:val="0"/>
          <w:szCs w:val="20"/>
          <w:lang w:val="en-GB" w:eastAsia="en-ZA"/>
        </w:rPr>
      </w:pPr>
      <w:r w:rsidRPr="00D6340F">
        <w:rPr>
          <w:rFonts w:cs="Arial"/>
          <w:bCs w:val="0"/>
          <w:szCs w:val="20"/>
          <w:lang w:val="en-GB" w:eastAsia="en-ZA"/>
        </w:rPr>
        <w:t>Optimal dose: 0.1</w:t>
      </w:r>
      <w:r w:rsidR="00937C6D" w:rsidRPr="00D6340F">
        <w:rPr>
          <w:rFonts w:cs="Arial"/>
          <w:bCs w:val="0"/>
          <w:szCs w:val="20"/>
          <w:lang w:val="en-GB" w:eastAsia="en-ZA"/>
        </w:rPr>
        <w:t>–</w:t>
      </w:r>
      <w:r w:rsidRPr="00D6340F">
        <w:rPr>
          <w:rFonts w:cs="Arial"/>
          <w:bCs w:val="0"/>
          <w:szCs w:val="20"/>
          <w:lang w:val="en-GB" w:eastAsia="en-ZA"/>
        </w:rPr>
        <w:t>0.8 mg daily. </w:t>
      </w:r>
    </w:p>
    <w:p w14:paraId="4E9A3879" w14:textId="77777777" w:rsidR="00A70AB7" w:rsidRPr="00D6340F" w:rsidRDefault="00A70AB7" w:rsidP="007E4E67">
      <w:pPr>
        <w:numPr>
          <w:ilvl w:val="0"/>
          <w:numId w:val="41"/>
        </w:numPr>
        <w:ind w:left="567" w:hanging="283"/>
        <w:rPr>
          <w:rFonts w:cs="Arial"/>
          <w:bCs w:val="0"/>
          <w:szCs w:val="20"/>
          <w:lang w:val="en-GB" w:eastAsia="en-ZA"/>
        </w:rPr>
      </w:pPr>
      <w:r w:rsidRPr="00D6340F">
        <w:rPr>
          <w:rFonts w:cs="Arial"/>
          <w:bCs w:val="0"/>
          <w:szCs w:val="20"/>
          <w:lang w:val="en-GB" w:eastAsia="en-ZA"/>
        </w:rPr>
        <w:t>Adjust dose according to response to a maximum of 1.2</w:t>
      </w:r>
      <w:r w:rsidR="00937C6D" w:rsidRPr="00D6340F">
        <w:rPr>
          <w:rFonts w:cs="Arial"/>
          <w:bCs w:val="0"/>
          <w:szCs w:val="20"/>
          <w:lang w:val="en-GB" w:eastAsia="en-ZA"/>
        </w:rPr>
        <w:t xml:space="preserve"> </w:t>
      </w:r>
      <w:r w:rsidRPr="00D6340F">
        <w:rPr>
          <w:rFonts w:cs="Arial"/>
          <w:bCs w:val="0"/>
          <w:szCs w:val="20"/>
          <w:lang w:val="en-GB" w:eastAsia="en-ZA"/>
        </w:rPr>
        <w:t>mg daily in divided doses</w:t>
      </w:r>
      <w:r w:rsidR="00937C6D" w:rsidRPr="00D6340F">
        <w:rPr>
          <w:rFonts w:cs="Arial"/>
          <w:bCs w:val="0"/>
          <w:szCs w:val="20"/>
          <w:lang w:val="en-GB" w:eastAsia="en-ZA"/>
        </w:rPr>
        <w:t>.</w:t>
      </w: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601A42" w:rsidRPr="00D6340F" w14:paraId="69C62326" w14:textId="77777777" w:rsidTr="002C47D1">
        <w:tc>
          <w:tcPr>
            <w:tcW w:w="1134" w:type="dxa"/>
            <w:shd w:val="clear" w:color="auto" w:fill="auto"/>
          </w:tcPr>
          <w:p w14:paraId="0D755838" w14:textId="77777777" w:rsidR="00601A42" w:rsidRPr="003A1339" w:rsidRDefault="00601A42" w:rsidP="002C47D1">
            <w:pPr>
              <w:jc w:val="right"/>
              <w:rPr>
                <w:b/>
                <w:i/>
                <w:sz w:val="16"/>
                <w:lang w:val="en-GB"/>
              </w:rPr>
            </w:pPr>
            <w:proofErr w:type="spellStart"/>
            <w:proofErr w:type="gramStart"/>
            <w:r w:rsidRPr="003A1339">
              <w:rPr>
                <w:i/>
                <w:sz w:val="16"/>
                <w:lang w:val="en-GB"/>
              </w:rPr>
              <w:t>LoE:III</w:t>
            </w:r>
            <w:proofErr w:type="spellEnd"/>
            <w:proofErr w:type="gramEnd"/>
            <w:r w:rsidR="00557ACD" w:rsidRPr="003A1339">
              <w:rPr>
                <w:rStyle w:val="EndnoteReference"/>
                <w:i/>
                <w:sz w:val="16"/>
                <w:lang w:val="en-GB"/>
              </w:rPr>
              <w:endnoteReference w:id="39"/>
            </w:r>
          </w:p>
        </w:tc>
      </w:tr>
    </w:tbl>
    <w:p w14:paraId="713F5B98" w14:textId="77777777" w:rsidR="00C605DA" w:rsidRPr="00D6340F" w:rsidRDefault="00C605DA" w:rsidP="00C605DA">
      <w:pPr>
        <w:pStyle w:val="ep4"/>
        <w:numPr>
          <w:ilvl w:val="0"/>
          <w:numId w:val="0"/>
        </w:numPr>
        <w:ind w:left="284" w:hanging="284"/>
        <w:rPr>
          <w:lang w:val="en-GB"/>
        </w:rPr>
      </w:pPr>
    </w:p>
    <w:p w14:paraId="26A9BA8D" w14:textId="77777777" w:rsidR="00C605DA" w:rsidRDefault="00C605DA" w:rsidP="00C605DA">
      <w:pPr>
        <w:pStyle w:val="Heading5"/>
        <w:rPr>
          <w:rFonts w:cs="Arial"/>
          <w:lang w:val="en-GB"/>
        </w:rPr>
      </w:pPr>
      <w:r w:rsidRPr="00D6340F">
        <w:rPr>
          <w:rFonts w:cs="Arial"/>
          <w:lang w:val="en-GB"/>
        </w:rPr>
        <w:t>REFERRAL</w:t>
      </w:r>
    </w:p>
    <w:p w14:paraId="58666F17" w14:textId="77777777" w:rsidR="00740852" w:rsidRPr="005C0DFE" w:rsidRDefault="00740852" w:rsidP="00740852">
      <w:pPr>
        <w:rPr>
          <w:rFonts w:cs="Arial"/>
          <w:color w:val="4F6228" w:themeColor="accent3" w:themeShade="80"/>
          <w:lang w:val="en-GB"/>
        </w:rPr>
      </w:pPr>
      <w:r w:rsidRPr="005C0DFE">
        <w:rPr>
          <w:rFonts w:cs="Arial"/>
          <w:color w:val="auto"/>
          <w:lang w:val="en-GB"/>
        </w:rPr>
        <w:t>All patients diagnosed or suspected.</w:t>
      </w:r>
    </w:p>
    <w:p w14:paraId="6CC0A436" w14:textId="77777777" w:rsidR="0036185F" w:rsidRPr="00D6340F" w:rsidRDefault="00C605DA" w:rsidP="00310D07">
      <w:pPr>
        <w:rPr>
          <w:rFonts w:cs="Arial"/>
          <w:lang w:val="en-GB"/>
        </w:rPr>
      </w:pPr>
      <w:r w:rsidRPr="00D6340F">
        <w:rPr>
          <w:rFonts w:cs="Arial"/>
          <w:lang w:val="en-GB"/>
        </w:rPr>
        <w:t>Water deprivation</w:t>
      </w:r>
      <w:r w:rsidR="00A70AB7" w:rsidRPr="00D6340F">
        <w:rPr>
          <w:rFonts w:cs="Arial"/>
          <w:lang w:val="en-GB"/>
        </w:rPr>
        <w:t xml:space="preserve"> </w:t>
      </w:r>
      <w:r w:rsidR="007511F7" w:rsidRPr="00D6340F">
        <w:rPr>
          <w:rFonts w:cs="Arial"/>
          <w:color w:val="auto"/>
          <w:lang w:val="en-GB"/>
        </w:rPr>
        <w:t>may</w:t>
      </w:r>
      <w:r w:rsidR="00A70AB7" w:rsidRPr="00D6340F">
        <w:rPr>
          <w:rFonts w:cs="Arial"/>
          <w:color w:val="auto"/>
          <w:lang w:val="en-GB"/>
        </w:rPr>
        <w:t xml:space="preserve"> </w:t>
      </w:r>
      <w:r w:rsidR="007511F7" w:rsidRPr="00D6340F">
        <w:rPr>
          <w:rFonts w:cs="Arial"/>
          <w:color w:val="auto"/>
          <w:lang w:val="en-GB"/>
        </w:rPr>
        <w:t>be</w:t>
      </w:r>
      <w:r w:rsidR="00937C6D" w:rsidRPr="00D6340F">
        <w:rPr>
          <w:rFonts w:cs="Arial"/>
          <w:color w:val="auto"/>
          <w:lang w:val="en-GB"/>
        </w:rPr>
        <w:t xml:space="preserve"> </w:t>
      </w:r>
      <w:r w:rsidRPr="00D6340F">
        <w:rPr>
          <w:rFonts w:cs="Arial"/>
          <w:lang w:val="en-GB"/>
        </w:rPr>
        <w:t>necessary to confirm the diagnosis. Careful monitoring of electrolytes and exclusion of fluid overload while on therapy is essential to determine the appropriate dose.</w:t>
      </w:r>
    </w:p>
    <w:p w14:paraId="3568AA2C" w14:textId="77777777" w:rsidR="00917115" w:rsidRDefault="00917115" w:rsidP="00C605DA">
      <w:pPr>
        <w:pStyle w:val="ep4"/>
        <w:numPr>
          <w:ilvl w:val="0"/>
          <w:numId w:val="0"/>
        </w:numPr>
        <w:ind w:left="284" w:hanging="284"/>
        <w:rPr>
          <w:sz w:val="16"/>
          <w:lang w:val="en-GB"/>
        </w:rPr>
      </w:pPr>
    </w:p>
    <w:p w14:paraId="0B552BE2" w14:textId="0148F05D" w:rsidR="00CC1CF6" w:rsidRDefault="00CC1CF6" w:rsidP="00C605DA">
      <w:pPr>
        <w:pStyle w:val="ep4"/>
        <w:numPr>
          <w:ilvl w:val="0"/>
          <w:numId w:val="0"/>
        </w:numPr>
        <w:ind w:left="284" w:hanging="284"/>
        <w:rPr>
          <w:sz w:val="16"/>
          <w:lang w:val="en-GB"/>
        </w:rPr>
      </w:pPr>
    </w:p>
    <w:p w14:paraId="6639D282" w14:textId="77777777" w:rsidR="00834249" w:rsidRPr="00290F7D" w:rsidRDefault="00834249" w:rsidP="00C605DA">
      <w:pPr>
        <w:pStyle w:val="ep4"/>
        <w:numPr>
          <w:ilvl w:val="0"/>
          <w:numId w:val="0"/>
        </w:numPr>
        <w:ind w:left="284" w:hanging="284"/>
        <w:rPr>
          <w:sz w:val="16"/>
          <w:lang w:val="en-GB"/>
        </w:rPr>
      </w:pPr>
    </w:p>
    <w:p w14:paraId="5D814508" w14:textId="77777777" w:rsidR="00C605DA" w:rsidRPr="00D6340F" w:rsidRDefault="00C605DA" w:rsidP="00C605DA">
      <w:pPr>
        <w:pStyle w:val="Heading1"/>
        <w:rPr>
          <w:rFonts w:cs="Arial"/>
          <w:sz w:val="22"/>
          <w:szCs w:val="22"/>
          <w:lang w:val="en-GB"/>
        </w:rPr>
      </w:pPr>
      <w:r w:rsidRPr="00D6340F">
        <w:rPr>
          <w:rFonts w:cs="Arial"/>
          <w:sz w:val="22"/>
          <w:szCs w:val="22"/>
          <w:lang w:val="en-GB"/>
        </w:rPr>
        <w:lastRenderedPageBreak/>
        <w:t>8.16 PHaEOCHROMOCYTOMA</w:t>
      </w:r>
    </w:p>
    <w:p w14:paraId="43422C22" w14:textId="77777777" w:rsidR="00C605DA" w:rsidRPr="00D6340F" w:rsidRDefault="00C605DA" w:rsidP="00C02921">
      <w:pPr>
        <w:pStyle w:val="Heading4"/>
      </w:pPr>
      <w:r w:rsidRPr="00D6340F">
        <w:t>C74.</w:t>
      </w:r>
      <w:r w:rsidR="00904B36">
        <w:t>0-1/C74.9/C79.7/D09.3/D35.0/D44.1 + (M8700/0/3/6)</w:t>
      </w:r>
    </w:p>
    <w:p w14:paraId="5CA3E13A" w14:textId="77777777" w:rsidR="00C605DA" w:rsidRPr="00290F7D" w:rsidRDefault="00C605DA" w:rsidP="00C605DA">
      <w:pPr>
        <w:rPr>
          <w:rFonts w:cs="Arial"/>
          <w:sz w:val="16"/>
          <w:lang w:val="en-GB"/>
        </w:rPr>
      </w:pPr>
    </w:p>
    <w:p w14:paraId="160455D9" w14:textId="77777777" w:rsidR="00C605DA" w:rsidRPr="00D6340F" w:rsidRDefault="00C605DA" w:rsidP="00C605DA">
      <w:pPr>
        <w:pStyle w:val="Heading5"/>
        <w:rPr>
          <w:rFonts w:cs="Arial"/>
          <w:lang w:val="en-GB"/>
        </w:rPr>
      </w:pPr>
      <w:r w:rsidRPr="00D6340F">
        <w:rPr>
          <w:rFonts w:cs="Arial"/>
          <w:lang w:val="en-GB"/>
        </w:rPr>
        <w:t>Description</w:t>
      </w:r>
    </w:p>
    <w:p w14:paraId="3F5E2F43" w14:textId="77777777" w:rsidR="00C605DA" w:rsidRPr="00D6340F" w:rsidRDefault="00C605DA" w:rsidP="00C605DA">
      <w:pPr>
        <w:rPr>
          <w:rFonts w:cs="Arial"/>
          <w:lang w:val="en-GB"/>
        </w:rPr>
      </w:pPr>
      <w:r w:rsidRPr="00D6340F">
        <w:rPr>
          <w:rFonts w:cs="Arial"/>
          <w:lang w:val="en-GB"/>
        </w:rPr>
        <w:t>Catecholamine-secreting tumour of the adrenal medulla.</w:t>
      </w:r>
    </w:p>
    <w:p w14:paraId="1B47F77B" w14:textId="77777777" w:rsidR="00C605DA" w:rsidRPr="00290F7D" w:rsidRDefault="00C605DA" w:rsidP="00C605DA">
      <w:pPr>
        <w:rPr>
          <w:rFonts w:cs="Arial"/>
          <w:sz w:val="12"/>
          <w:lang w:val="en-GB"/>
        </w:rPr>
      </w:pPr>
    </w:p>
    <w:p w14:paraId="32EDF0DE" w14:textId="77777777" w:rsidR="00C605DA" w:rsidRPr="00D6340F" w:rsidRDefault="00C605DA" w:rsidP="00C605DA">
      <w:pPr>
        <w:pStyle w:val="Heading6"/>
        <w:rPr>
          <w:rFonts w:cs="Arial"/>
        </w:rPr>
      </w:pPr>
      <w:r w:rsidRPr="00D6340F">
        <w:rPr>
          <w:rFonts w:cs="Arial"/>
        </w:rPr>
        <w:t>Clinical presentation</w:t>
      </w:r>
    </w:p>
    <w:p w14:paraId="6D3E3D8D" w14:textId="77777777" w:rsidR="00C605DA" w:rsidRPr="00D6340F" w:rsidRDefault="00C605DA" w:rsidP="00C605DA">
      <w:pPr>
        <w:rPr>
          <w:rFonts w:cs="Arial"/>
          <w:lang w:val="en-GB"/>
        </w:rPr>
      </w:pPr>
      <w:r w:rsidRPr="00D6340F">
        <w:rPr>
          <w:rFonts w:cs="Arial"/>
          <w:lang w:val="en-GB"/>
        </w:rPr>
        <w:t xml:space="preserve">Always consider in hypertensive patients who have paroxysmal symptoms: </w:t>
      </w:r>
    </w:p>
    <w:tbl>
      <w:tblPr>
        <w:tblW w:w="0" w:type="auto"/>
        <w:tblInd w:w="108" w:type="dxa"/>
        <w:tblLook w:val="0000" w:firstRow="0" w:lastRow="0" w:firstColumn="0" w:lastColumn="0" w:noHBand="0" w:noVBand="0"/>
      </w:tblPr>
      <w:tblGrid>
        <w:gridCol w:w="2973"/>
        <w:gridCol w:w="3043"/>
      </w:tblGrid>
      <w:tr w:rsidR="00C605DA" w:rsidRPr="00D6340F" w14:paraId="495E9E37" w14:textId="77777777">
        <w:tc>
          <w:tcPr>
            <w:tcW w:w="3345" w:type="dxa"/>
          </w:tcPr>
          <w:p w14:paraId="07CC4050" w14:textId="77777777" w:rsidR="0036185F" w:rsidRPr="00D6340F" w:rsidRDefault="00C605DA" w:rsidP="007E4E67">
            <w:pPr>
              <w:pStyle w:val="ep0"/>
              <w:numPr>
                <w:ilvl w:val="0"/>
                <w:numId w:val="44"/>
              </w:numPr>
              <w:rPr>
                <w:rFonts w:cs="Arial"/>
                <w:bCs/>
                <w:strike w:val="0"/>
                <w:color w:val="000000"/>
                <w:szCs w:val="18"/>
                <w:lang w:val="en-GB"/>
              </w:rPr>
            </w:pPr>
            <w:r w:rsidRPr="00D6340F">
              <w:rPr>
                <w:rFonts w:cs="Arial"/>
                <w:strike w:val="0"/>
                <w:lang w:val="en-GB"/>
              </w:rPr>
              <w:t>headaches,</w:t>
            </w:r>
          </w:p>
        </w:tc>
        <w:tc>
          <w:tcPr>
            <w:tcW w:w="3453" w:type="dxa"/>
          </w:tcPr>
          <w:p w14:paraId="41CBFABB" w14:textId="77777777" w:rsidR="0036185F" w:rsidRPr="00D6340F" w:rsidRDefault="00C605DA" w:rsidP="007E4E67">
            <w:pPr>
              <w:pStyle w:val="ep0"/>
              <w:numPr>
                <w:ilvl w:val="0"/>
                <w:numId w:val="44"/>
              </w:numPr>
              <w:rPr>
                <w:rFonts w:cs="Arial"/>
                <w:bCs/>
                <w:strike w:val="0"/>
                <w:color w:val="000000"/>
                <w:szCs w:val="18"/>
                <w:lang w:val="en-GB"/>
              </w:rPr>
            </w:pPr>
            <w:r w:rsidRPr="00D6340F">
              <w:rPr>
                <w:rFonts w:cs="Arial"/>
                <w:strike w:val="0"/>
                <w:lang w:val="en-GB"/>
              </w:rPr>
              <w:t>tremor,</w:t>
            </w:r>
          </w:p>
        </w:tc>
      </w:tr>
      <w:tr w:rsidR="00C605DA" w:rsidRPr="00D6340F" w14:paraId="314D9F8C" w14:textId="77777777">
        <w:tc>
          <w:tcPr>
            <w:tcW w:w="3345" w:type="dxa"/>
          </w:tcPr>
          <w:p w14:paraId="4DE88C5B" w14:textId="77777777" w:rsidR="0036185F" w:rsidRPr="00D6340F" w:rsidRDefault="00C605DA" w:rsidP="007E4E67">
            <w:pPr>
              <w:pStyle w:val="ep0"/>
              <w:numPr>
                <w:ilvl w:val="0"/>
                <w:numId w:val="44"/>
              </w:numPr>
              <w:rPr>
                <w:rFonts w:cs="Arial"/>
                <w:bCs/>
                <w:strike w:val="0"/>
                <w:color w:val="000000"/>
                <w:szCs w:val="18"/>
                <w:lang w:val="en-GB"/>
              </w:rPr>
            </w:pPr>
            <w:r w:rsidRPr="00D6340F">
              <w:rPr>
                <w:rFonts w:cs="Arial"/>
                <w:strike w:val="0"/>
                <w:lang w:val="en-GB"/>
              </w:rPr>
              <w:t>GIT symptoms,</w:t>
            </w:r>
          </w:p>
        </w:tc>
        <w:tc>
          <w:tcPr>
            <w:tcW w:w="3453" w:type="dxa"/>
          </w:tcPr>
          <w:p w14:paraId="6D5D59DF" w14:textId="77777777" w:rsidR="0036185F" w:rsidRPr="00D6340F" w:rsidRDefault="00C605DA" w:rsidP="007E4E67">
            <w:pPr>
              <w:pStyle w:val="ep0"/>
              <w:numPr>
                <w:ilvl w:val="0"/>
                <w:numId w:val="44"/>
              </w:numPr>
              <w:rPr>
                <w:rFonts w:cs="Arial"/>
                <w:bCs/>
                <w:strike w:val="0"/>
                <w:color w:val="000000"/>
                <w:szCs w:val="18"/>
                <w:lang w:val="en-GB"/>
              </w:rPr>
            </w:pPr>
            <w:r w:rsidRPr="00D6340F">
              <w:rPr>
                <w:rFonts w:cs="Arial"/>
                <w:strike w:val="0"/>
                <w:lang w:val="en-GB"/>
              </w:rPr>
              <w:t>recurrent chest discomfort,</w:t>
            </w:r>
          </w:p>
        </w:tc>
      </w:tr>
      <w:tr w:rsidR="00C605DA" w:rsidRPr="00D6340F" w14:paraId="5C7FC628" w14:textId="77777777">
        <w:tc>
          <w:tcPr>
            <w:tcW w:w="3345" w:type="dxa"/>
          </w:tcPr>
          <w:p w14:paraId="09EE881E" w14:textId="77777777" w:rsidR="0036185F" w:rsidRPr="00D6340F" w:rsidRDefault="00C605DA" w:rsidP="007E4E67">
            <w:pPr>
              <w:pStyle w:val="ep0"/>
              <w:numPr>
                <w:ilvl w:val="0"/>
                <w:numId w:val="44"/>
              </w:numPr>
              <w:rPr>
                <w:rFonts w:cs="Arial"/>
                <w:bCs/>
                <w:strike w:val="0"/>
                <w:color w:val="000000"/>
                <w:szCs w:val="18"/>
                <w:lang w:val="en-GB"/>
              </w:rPr>
            </w:pPr>
            <w:r w:rsidRPr="00D6340F">
              <w:rPr>
                <w:rFonts w:cs="Arial"/>
                <w:strike w:val="0"/>
                <w:lang w:val="en-GB"/>
              </w:rPr>
              <w:t>palpitations,</w:t>
            </w:r>
          </w:p>
        </w:tc>
        <w:tc>
          <w:tcPr>
            <w:tcW w:w="3453" w:type="dxa"/>
          </w:tcPr>
          <w:p w14:paraId="1EE89A9A" w14:textId="77777777" w:rsidR="0036185F" w:rsidRPr="00D6340F" w:rsidRDefault="00C605DA" w:rsidP="007E4E67">
            <w:pPr>
              <w:pStyle w:val="ep0"/>
              <w:numPr>
                <w:ilvl w:val="0"/>
                <w:numId w:val="44"/>
              </w:numPr>
              <w:rPr>
                <w:rFonts w:cs="Arial"/>
                <w:bCs/>
                <w:strike w:val="0"/>
                <w:color w:val="000000"/>
                <w:szCs w:val="18"/>
                <w:lang w:val="en-GB"/>
              </w:rPr>
            </w:pPr>
            <w:r w:rsidRPr="00D6340F">
              <w:rPr>
                <w:rFonts w:cs="Arial"/>
                <w:strike w:val="0"/>
                <w:lang w:val="en-GB"/>
              </w:rPr>
              <w:t>sweating, and</w:t>
            </w:r>
          </w:p>
        </w:tc>
      </w:tr>
      <w:tr w:rsidR="00C605DA" w:rsidRPr="00D6340F" w14:paraId="02397D2F" w14:textId="77777777">
        <w:tc>
          <w:tcPr>
            <w:tcW w:w="3345" w:type="dxa"/>
          </w:tcPr>
          <w:p w14:paraId="2CE1DFEC" w14:textId="77777777" w:rsidR="0036185F" w:rsidRPr="00D6340F" w:rsidRDefault="00C605DA" w:rsidP="007E4E67">
            <w:pPr>
              <w:pStyle w:val="ep0"/>
              <w:numPr>
                <w:ilvl w:val="0"/>
                <w:numId w:val="44"/>
              </w:numPr>
              <w:rPr>
                <w:rFonts w:cs="Arial"/>
                <w:bCs/>
                <w:strike w:val="0"/>
                <w:color w:val="000000"/>
                <w:szCs w:val="18"/>
                <w:lang w:val="en-GB"/>
              </w:rPr>
            </w:pPr>
            <w:r w:rsidRPr="00D6340F">
              <w:rPr>
                <w:rFonts w:cs="Arial"/>
                <w:strike w:val="0"/>
                <w:lang w:val="en-GB"/>
              </w:rPr>
              <w:t>anxiety.</w:t>
            </w:r>
          </w:p>
        </w:tc>
        <w:tc>
          <w:tcPr>
            <w:tcW w:w="3453" w:type="dxa"/>
          </w:tcPr>
          <w:p w14:paraId="70583015" w14:textId="77777777" w:rsidR="00C605DA" w:rsidRPr="00D6340F" w:rsidRDefault="00C605DA" w:rsidP="00C605DA">
            <w:pPr>
              <w:pStyle w:val="ep0"/>
              <w:ind w:left="0"/>
              <w:rPr>
                <w:rFonts w:cs="Arial"/>
                <w:strike w:val="0"/>
                <w:lang w:val="en-GB"/>
              </w:rPr>
            </w:pPr>
          </w:p>
        </w:tc>
      </w:tr>
    </w:tbl>
    <w:p w14:paraId="728428BF" w14:textId="77777777" w:rsidR="00C605DA" w:rsidRPr="00D6340F" w:rsidRDefault="00C605DA" w:rsidP="00C605DA">
      <w:pPr>
        <w:rPr>
          <w:rFonts w:cs="Arial"/>
          <w:lang w:val="en-GB"/>
        </w:rPr>
      </w:pPr>
      <w:r w:rsidRPr="00D6340F">
        <w:rPr>
          <w:rFonts w:cs="Arial"/>
          <w:lang w:val="en-GB"/>
        </w:rPr>
        <w:t>There is marked inter-individual variation in symptoms.</w:t>
      </w:r>
    </w:p>
    <w:p w14:paraId="531C1BD4" w14:textId="77777777" w:rsidR="00C605DA" w:rsidRDefault="00BC6BCB" w:rsidP="00C605DA">
      <w:pPr>
        <w:rPr>
          <w:rFonts w:cs="Arial"/>
          <w:lang w:val="en-GB"/>
        </w:rPr>
      </w:pPr>
      <w:r w:rsidRPr="00D6340F">
        <w:rPr>
          <w:rFonts w:cs="Arial"/>
          <w:lang w:val="en-GB"/>
        </w:rPr>
        <w:t>P</w:t>
      </w:r>
      <w:r w:rsidR="00C605DA" w:rsidRPr="00D6340F">
        <w:rPr>
          <w:rFonts w:cs="Arial"/>
          <w:lang w:val="en-GB"/>
        </w:rPr>
        <w:t xml:space="preserve">atients may also have orthostatic changes in </w:t>
      </w:r>
      <w:r w:rsidR="00601A42" w:rsidRPr="00D6340F">
        <w:rPr>
          <w:rFonts w:cs="Arial"/>
          <w:lang w:val="en-GB"/>
        </w:rPr>
        <w:t>BP</w:t>
      </w:r>
      <w:r w:rsidR="00DF1586" w:rsidRPr="00D6340F">
        <w:rPr>
          <w:rFonts w:cs="Arial"/>
          <w:lang w:val="en-GB"/>
        </w:rPr>
        <w:t>.</w:t>
      </w:r>
    </w:p>
    <w:p w14:paraId="786468E8" w14:textId="77777777" w:rsidR="00BF05F5" w:rsidRPr="001648EF" w:rsidRDefault="00BF05F5" w:rsidP="00C605DA">
      <w:pPr>
        <w:rPr>
          <w:rFonts w:cs="Arial"/>
          <w:sz w:val="10"/>
          <w:szCs w:val="10"/>
          <w:lang w:val="en-GB"/>
        </w:rPr>
      </w:pPr>
    </w:p>
    <w:p w14:paraId="3F1984C4" w14:textId="77777777" w:rsidR="00C605DA" w:rsidRPr="00D6340F" w:rsidRDefault="00C605DA" w:rsidP="00C605DA">
      <w:pPr>
        <w:pStyle w:val="Heading6"/>
        <w:rPr>
          <w:rFonts w:cs="Arial"/>
        </w:rPr>
      </w:pPr>
      <w:r w:rsidRPr="00D6340F">
        <w:rPr>
          <w:rFonts w:cs="Arial"/>
        </w:rPr>
        <w:t>Diagnosis</w:t>
      </w:r>
    </w:p>
    <w:p w14:paraId="5107300A" w14:textId="77777777" w:rsidR="00C605DA" w:rsidRPr="00D6340F" w:rsidRDefault="006A2328" w:rsidP="00C605DA">
      <w:pPr>
        <w:rPr>
          <w:rFonts w:cs="Arial"/>
          <w:lang w:val="en-GB"/>
        </w:rPr>
      </w:pPr>
      <w:r w:rsidRPr="00D6340F">
        <w:rPr>
          <w:rFonts w:cs="Arial"/>
          <w:lang w:val="en-GB"/>
        </w:rPr>
        <w:t>24-hour</w:t>
      </w:r>
      <w:r w:rsidR="00C605DA" w:rsidRPr="00D6340F">
        <w:rPr>
          <w:rFonts w:cs="Arial"/>
          <w:lang w:val="en-GB"/>
        </w:rPr>
        <w:t xml:space="preserve"> urine acidified with HCl: normetanephrine (NMA</w:t>
      </w:r>
      <w:r w:rsidR="00C605DA" w:rsidRPr="00D6340F">
        <w:rPr>
          <w:rFonts w:cs="Arial"/>
          <w:color w:val="auto"/>
          <w:lang w:val="en-GB"/>
        </w:rPr>
        <w:t>)</w:t>
      </w:r>
      <w:r w:rsidR="00557ACD" w:rsidRPr="00D6340F">
        <w:rPr>
          <w:rFonts w:cs="Arial"/>
          <w:color w:val="auto"/>
          <w:lang w:val="en-GB"/>
        </w:rPr>
        <w:t>,</w:t>
      </w:r>
      <w:r w:rsidR="003A1339">
        <w:rPr>
          <w:rFonts w:cs="Arial"/>
          <w:color w:val="auto"/>
          <w:lang w:val="en-GB"/>
        </w:rPr>
        <w:t xml:space="preserve"> </w:t>
      </w:r>
      <w:r w:rsidR="00D74F6C" w:rsidRPr="00D6340F">
        <w:rPr>
          <w:rFonts w:cs="Arial"/>
          <w:color w:val="auto"/>
          <w:szCs w:val="20"/>
          <w:lang w:val="en-GB"/>
        </w:rPr>
        <w:t>vanillylmandelic</w:t>
      </w:r>
      <w:r w:rsidR="00D74F6C" w:rsidRPr="00D6340F">
        <w:rPr>
          <w:rFonts w:cs="Arial"/>
          <w:szCs w:val="20"/>
          <w:lang w:val="en-GB"/>
        </w:rPr>
        <w:t xml:space="preserve"> acid (VMA),</w:t>
      </w:r>
      <w:r w:rsidR="00C605DA" w:rsidRPr="00D6340F">
        <w:rPr>
          <w:rFonts w:cs="Arial"/>
          <w:lang w:val="en-GB"/>
        </w:rPr>
        <w:t xml:space="preserve"> should be ≥ twice normal for a definite diagnosis. Test is best done during a paroxysm, if possible, using at least 2 samples.</w:t>
      </w:r>
    </w:p>
    <w:p w14:paraId="1BCACB7F" w14:textId="77777777" w:rsidR="00C605DA" w:rsidRPr="00D6340F" w:rsidRDefault="00C605DA" w:rsidP="00C605DA">
      <w:pPr>
        <w:rPr>
          <w:rFonts w:cs="Arial"/>
          <w:lang w:val="en-GB"/>
        </w:rPr>
      </w:pPr>
      <w:r w:rsidRPr="00D6340F">
        <w:rPr>
          <w:rFonts w:cs="Arial"/>
          <w:lang w:val="en-GB"/>
        </w:rPr>
        <w:t xml:space="preserve">There are many drugs, foods and diseases that can falsely elevate or lower NMA/VMA levels; </w:t>
      </w:r>
      <w:r w:rsidR="006A2328" w:rsidRPr="00D6340F">
        <w:rPr>
          <w:rFonts w:cs="Arial"/>
          <w:lang w:val="en-GB"/>
        </w:rPr>
        <w:t>therefore,</w:t>
      </w:r>
      <w:r w:rsidRPr="00D6340F">
        <w:rPr>
          <w:rFonts w:cs="Arial"/>
          <w:lang w:val="en-GB"/>
        </w:rPr>
        <w:t xml:space="preserve"> the clinician must interpret the results in the light of the clinical context and after having taken an accurate history.</w:t>
      </w:r>
    </w:p>
    <w:p w14:paraId="4DED9523" w14:textId="77777777" w:rsidR="00C605DA" w:rsidRPr="001648EF" w:rsidRDefault="00C605DA" w:rsidP="00C605DA">
      <w:pPr>
        <w:rPr>
          <w:rFonts w:cs="Arial"/>
          <w:sz w:val="10"/>
          <w:szCs w:val="10"/>
          <w:lang w:val="en-GB"/>
        </w:rPr>
      </w:pPr>
    </w:p>
    <w:p w14:paraId="2E7F3CED" w14:textId="77777777" w:rsidR="00C605DA" w:rsidRPr="00D6340F" w:rsidRDefault="00C605DA" w:rsidP="00C605DA">
      <w:pPr>
        <w:pStyle w:val="Heading7"/>
        <w:rPr>
          <w:lang w:val="en-GB"/>
        </w:rPr>
      </w:pPr>
      <w:r w:rsidRPr="00D6340F">
        <w:rPr>
          <w:lang w:val="en-GB"/>
        </w:rPr>
        <w:t>Screen:</w:t>
      </w:r>
    </w:p>
    <w:p w14:paraId="62512870" w14:textId="77777777" w:rsidR="0036185F" w:rsidRPr="00D6340F" w:rsidRDefault="00C605DA" w:rsidP="007E4E67">
      <w:pPr>
        <w:pStyle w:val="ep0"/>
        <w:numPr>
          <w:ilvl w:val="0"/>
          <w:numId w:val="45"/>
        </w:numPr>
        <w:ind w:left="284" w:hanging="284"/>
        <w:rPr>
          <w:rFonts w:cs="Arial"/>
          <w:strike w:val="0"/>
          <w:lang w:val="en-GB"/>
        </w:rPr>
      </w:pPr>
      <w:r w:rsidRPr="00D6340F">
        <w:rPr>
          <w:rFonts w:cs="Arial"/>
          <w:strike w:val="0"/>
          <w:lang w:val="en-GB"/>
        </w:rPr>
        <w:t xml:space="preserve">young hypertensive </w:t>
      </w:r>
      <w:proofErr w:type="gramStart"/>
      <w:r w:rsidRPr="00D6340F">
        <w:rPr>
          <w:rFonts w:cs="Arial"/>
          <w:strike w:val="0"/>
          <w:lang w:val="en-GB"/>
        </w:rPr>
        <w:t>patient</w:t>
      </w:r>
      <w:r w:rsidR="00B25014">
        <w:rPr>
          <w:rFonts w:cs="Arial"/>
          <w:strike w:val="0"/>
          <w:lang w:val="en-GB"/>
        </w:rPr>
        <w:t>s</w:t>
      </w:r>
      <w:r w:rsidRPr="00D6340F">
        <w:rPr>
          <w:rFonts w:cs="Arial"/>
          <w:strike w:val="0"/>
          <w:lang w:val="en-GB"/>
        </w:rPr>
        <w:t>;</w:t>
      </w:r>
      <w:proofErr w:type="gramEnd"/>
    </w:p>
    <w:p w14:paraId="5E893072" w14:textId="77777777" w:rsidR="0036185F" w:rsidRPr="00D6340F" w:rsidRDefault="00C605DA" w:rsidP="007E4E67">
      <w:pPr>
        <w:pStyle w:val="ep0"/>
        <w:numPr>
          <w:ilvl w:val="0"/>
          <w:numId w:val="45"/>
        </w:numPr>
        <w:ind w:left="284" w:hanging="284"/>
        <w:rPr>
          <w:rFonts w:cs="Arial"/>
          <w:strike w:val="0"/>
          <w:lang w:val="en-GB"/>
        </w:rPr>
      </w:pPr>
      <w:r w:rsidRPr="00D6340F">
        <w:rPr>
          <w:rFonts w:cs="Arial"/>
          <w:strike w:val="0"/>
          <w:lang w:val="en-GB"/>
        </w:rPr>
        <w:t>hypertensive patients with paroxysmal symptoms; and</w:t>
      </w:r>
    </w:p>
    <w:p w14:paraId="5014647F" w14:textId="77777777" w:rsidR="0036185F" w:rsidRPr="00D6340F" w:rsidRDefault="00C605DA" w:rsidP="007E4E67">
      <w:pPr>
        <w:pStyle w:val="ep0"/>
        <w:numPr>
          <w:ilvl w:val="0"/>
          <w:numId w:val="45"/>
        </w:numPr>
        <w:ind w:left="284" w:hanging="284"/>
        <w:rPr>
          <w:rFonts w:cs="Arial"/>
          <w:strike w:val="0"/>
          <w:lang w:val="en-GB"/>
        </w:rPr>
      </w:pPr>
      <w:r w:rsidRPr="00D6340F">
        <w:rPr>
          <w:rFonts w:cs="Arial"/>
          <w:strike w:val="0"/>
          <w:lang w:val="en-GB"/>
        </w:rPr>
        <w:t>patients with:</w:t>
      </w:r>
    </w:p>
    <w:p w14:paraId="3960493C" w14:textId="77777777" w:rsidR="00463E34" w:rsidRPr="006A2328" w:rsidRDefault="00DE4CA9" w:rsidP="007E4E67">
      <w:pPr>
        <w:pStyle w:val="Style2"/>
        <w:numPr>
          <w:ilvl w:val="0"/>
          <w:numId w:val="64"/>
        </w:numPr>
        <w:ind w:hanging="263"/>
        <w:rPr>
          <w:strike w:val="0"/>
        </w:rPr>
      </w:pPr>
      <w:r w:rsidRPr="006A2328">
        <w:rPr>
          <w:strike w:val="0"/>
        </w:rPr>
        <w:t xml:space="preserve">The classic triad of headache, sweating, and tachycardia, </w:t>
      </w:r>
      <w:proofErr w:type="gramStart"/>
      <w:r w:rsidRPr="006A2328">
        <w:rPr>
          <w:strike w:val="0"/>
        </w:rPr>
        <w:t>whether or not</w:t>
      </w:r>
      <w:proofErr w:type="gramEnd"/>
      <w:r w:rsidRPr="006A2328">
        <w:rPr>
          <w:strike w:val="0"/>
        </w:rPr>
        <w:t xml:space="preserve"> they have hypertension</w:t>
      </w:r>
    </w:p>
    <w:p w14:paraId="3DE64841" w14:textId="77777777" w:rsidR="00463E34" w:rsidRPr="006A2328" w:rsidRDefault="00C605DA" w:rsidP="007E4E67">
      <w:pPr>
        <w:pStyle w:val="Style2"/>
        <w:numPr>
          <w:ilvl w:val="0"/>
          <w:numId w:val="64"/>
        </w:numPr>
        <w:ind w:hanging="263"/>
        <w:rPr>
          <w:strike w:val="0"/>
        </w:rPr>
      </w:pPr>
      <w:r w:rsidRPr="006A2328">
        <w:rPr>
          <w:strike w:val="0"/>
        </w:rPr>
        <w:t xml:space="preserve">a family history of a phaeochromocytoma, </w:t>
      </w:r>
    </w:p>
    <w:p w14:paraId="466ECE10" w14:textId="77777777" w:rsidR="00463E34" w:rsidRPr="006A2328" w:rsidRDefault="00DE4CA9" w:rsidP="007E4E67">
      <w:pPr>
        <w:pStyle w:val="Style2"/>
        <w:numPr>
          <w:ilvl w:val="0"/>
          <w:numId w:val="64"/>
        </w:numPr>
        <w:ind w:hanging="263"/>
        <w:rPr>
          <w:strike w:val="0"/>
        </w:rPr>
      </w:pPr>
      <w:r w:rsidRPr="006A2328">
        <w:rPr>
          <w:strike w:val="0"/>
        </w:rPr>
        <w:t>A familial syndrome that predisposes to catecholamine-secreting tumo</w:t>
      </w:r>
      <w:r w:rsidR="004B127A" w:rsidRPr="006A2328">
        <w:rPr>
          <w:strike w:val="0"/>
        </w:rPr>
        <w:t>u</w:t>
      </w:r>
      <w:r w:rsidRPr="006A2328">
        <w:rPr>
          <w:strike w:val="0"/>
        </w:rPr>
        <w:t>rs (</w:t>
      </w:r>
      <w:r w:rsidR="006A2328" w:rsidRPr="006A2328">
        <w:rPr>
          <w:strike w:val="0"/>
        </w:rPr>
        <w:t>e.g.</w:t>
      </w:r>
      <w:r w:rsidRPr="006A2328">
        <w:rPr>
          <w:strike w:val="0"/>
        </w:rPr>
        <w:t>, multiple endocrine neoplasia type 2 [MEN2], neurofibromatosis type 1 [NF1], or von Hippel-Lindau [VHL]</w:t>
      </w:r>
      <w:r w:rsidR="006A2328" w:rsidRPr="006A2328">
        <w:rPr>
          <w:strike w:val="0"/>
        </w:rPr>
        <w:t>). or</w:t>
      </w:r>
    </w:p>
    <w:p w14:paraId="23E41D99" w14:textId="77777777" w:rsidR="00463E34" w:rsidRPr="006A2328" w:rsidRDefault="00C605DA" w:rsidP="007E4E67">
      <w:pPr>
        <w:pStyle w:val="Style2"/>
        <w:numPr>
          <w:ilvl w:val="0"/>
          <w:numId w:val="64"/>
        </w:numPr>
        <w:ind w:hanging="263"/>
        <w:rPr>
          <w:strike w:val="0"/>
        </w:rPr>
      </w:pPr>
      <w:r w:rsidRPr="006A2328">
        <w:rPr>
          <w:strike w:val="0"/>
        </w:rPr>
        <w:t>radiologic evidence of an adrenal mass</w:t>
      </w:r>
      <w:r w:rsidR="008437A4" w:rsidRPr="006A2328">
        <w:rPr>
          <w:strike w:val="0"/>
        </w:rPr>
        <w:t xml:space="preserve"> (a</w:t>
      </w:r>
      <w:r w:rsidR="00DE4CA9" w:rsidRPr="006A2328">
        <w:rPr>
          <w:strike w:val="0"/>
        </w:rPr>
        <w:t>drenal incidentaloma</w:t>
      </w:r>
      <w:r w:rsidR="008437A4" w:rsidRPr="006A2328">
        <w:rPr>
          <w:strike w:val="0"/>
        </w:rPr>
        <w:t>)</w:t>
      </w:r>
      <w:r w:rsidR="00DE4CA9" w:rsidRPr="006A2328">
        <w:rPr>
          <w:strike w:val="0"/>
        </w:rPr>
        <w:t xml:space="preserve"> with or without hypertension.</w:t>
      </w:r>
    </w:p>
    <w:p w14:paraId="01502BA3" w14:textId="77777777" w:rsidR="00C605DA" w:rsidRPr="00D6340F" w:rsidRDefault="00C605DA" w:rsidP="00C605DA">
      <w:pPr>
        <w:rPr>
          <w:rFonts w:cs="Arial"/>
          <w:lang w:val="en-GB"/>
        </w:rPr>
      </w:pPr>
    </w:p>
    <w:p w14:paraId="7BA6B067" w14:textId="77777777" w:rsidR="00C605DA" w:rsidRPr="00D6340F" w:rsidRDefault="00C605DA" w:rsidP="00C605DA">
      <w:pPr>
        <w:rPr>
          <w:rFonts w:cs="Arial"/>
          <w:b/>
          <w:sz w:val="20"/>
          <w:szCs w:val="20"/>
          <w:lang w:val="en-GB"/>
        </w:rPr>
      </w:pPr>
      <w:r w:rsidRPr="00D6340F">
        <w:rPr>
          <w:rFonts w:cs="Arial"/>
          <w:b/>
          <w:sz w:val="20"/>
          <w:szCs w:val="20"/>
          <w:lang w:val="en-GB"/>
        </w:rPr>
        <w:t>GENERAL MEASURES</w:t>
      </w:r>
    </w:p>
    <w:p w14:paraId="44CA555B" w14:textId="77777777" w:rsidR="00C605DA" w:rsidRPr="00D6340F" w:rsidRDefault="00C605DA" w:rsidP="00C605DA">
      <w:pPr>
        <w:rPr>
          <w:rFonts w:cs="Arial"/>
          <w:lang w:val="en-GB"/>
        </w:rPr>
      </w:pPr>
      <w:r w:rsidRPr="00D6340F">
        <w:rPr>
          <w:rFonts w:cs="Arial"/>
          <w:lang w:val="en-GB"/>
        </w:rPr>
        <w:t>Surgical removal of the tumour.</w:t>
      </w:r>
    </w:p>
    <w:p w14:paraId="213965B1" w14:textId="77777777" w:rsidR="00C605DA" w:rsidRPr="00D6340F" w:rsidRDefault="00C605DA" w:rsidP="00C605DA">
      <w:pPr>
        <w:rPr>
          <w:rFonts w:cs="Arial"/>
          <w:lang w:val="en-GB"/>
        </w:rPr>
      </w:pPr>
    </w:p>
    <w:p w14:paraId="31FF04C7" w14:textId="77777777" w:rsidR="00C605DA" w:rsidRPr="00D6340F" w:rsidRDefault="00C605DA" w:rsidP="00C605DA">
      <w:pPr>
        <w:rPr>
          <w:rFonts w:cs="Arial"/>
          <w:b/>
          <w:sz w:val="20"/>
          <w:szCs w:val="20"/>
          <w:lang w:val="en-GB"/>
        </w:rPr>
      </w:pPr>
      <w:r w:rsidRPr="00D6340F">
        <w:rPr>
          <w:rFonts w:cs="Arial"/>
          <w:b/>
          <w:sz w:val="20"/>
          <w:szCs w:val="20"/>
          <w:lang w:val="en-GB"/>
        </w:rPr>
        <w:t>MEDICINE TREATMENT</w:t>
      </w:r>
    </w:p>
    <w:p w14:paraId="1F671917" w14:textId="77777777" w:rsidR="00731899" w:rsidRPr="00D6340F" w:rsidRDefault="00731899" w:rsidP="00C605DA">
      <w:pPr>
        <w:rPr>
          <w:rFonts w:cs="Arial"/>
          <w:lang w:val="en-GB"/>
        </w:rPr>
      </w:pPr>
      <w:r w:rsidRPr="00D6340F">
        <w:rPr>
          <w:rFonts w:cs="Arial"/>
          <w:lang w:val="en-GB"/>
        </w:rPr>
        <w:t>Once diagnosis is confirmed, initiate medication with immediate referral.</w:t>
      </w:r>
    </w:p>
    <w:p w14:paraId="513A562E" w14:textId="77777777" w:rsidR="0036185F" w:rsidRPr="00D6340F" w:rsidRDefault="00C605DA" w:rsidP="007E4E67">
      <w:pPr>
        <w:numPr>
          <w:ilvl w:val="0"/>
          <w:numId w:val="34"/>
        </w:numPr>
        <w:ind w:left="284" w:hanging="284"/>
        <w:rPr>
          <w:rFonts w:cs="Arial"/>
          <w:lang w:val="en-GB"/>
        </w:rPr>
      </w:pPr>
      <w:r w:rsidRPr="00D6340F">
        <w:rPr>
          <w:rFonts w:cs="Arial"/>
          <w:lang w:val="en-GB"/>
        </w:rPr>
        <w:t>Alpha blockers, e.g.:</w:t>
      </w:r>
    </w:p>
    <w:p w14:paraId="4608FFD9" w14:textId="77777777" w:rsidR="00C605DA" w:rsidRPr="00D6340F" w:rsidRDefault="00C605DA" w:rsidP="00C23D57">
      <w:pPr>
        <w:pStyle w:val="ep4"/>
        <w:rPr>
          <w:lang w:val="en-GB"/>
        </w:rPr>
      </w:pPr>
      <w:r w:rsidRPr="00D6340F">
        <w:rPr>
          <w:lang w:val="en-GB"/>
        </w:rPr>
        <w:t>Doxazosin, oral, 4 mg daily.</w:t>
      </w:r>
    </w:p>
    <w:p w14:paraId="624BF934" w14:textId="77777777" w:rsidR="00C15E52" w:rsidRPr="00D6340F" w:rsidRDefault="00C605DA" w:rsidP="007E4E67">
      <w:pPr>
        <w:numPr>
          <w:ilvl w:val="0"/>
          <w:numId w:val="46"/>
        </w:numPr>
        <w:ind w:left="567" w:hanging="283"/>
        <w:rPr>
          <w:rFonts w:cs="Arial"/>
          <w:lang w:val="en-GB"/>
        </w:rPr>
      </w:pPr>
      <w:r w:rsidRPr="00D6340F">
        <w:rPr>
          <w:rFonts w:cs="Arial"/>
          <w:lang w:val="en-GB"/>
        </w:rPr>
        <w:t>Dose increase above 8 mg daily to control blood pressure may be required.</w:t>
      </w: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601A42" w:rsidRPr="003A1339" w14:paraId="0EFD1B47" w14:textId="77777777" w:rsidTr="002C47D1">
        <w:tc>
          <w:tcPr>
            <w:tcW w:w="1134" w:type="dxa"/>
            <w:shd w:val="clear" w:color="auto" w:fill="auto"/>
          </w:tcPr>
          <w:p w14:paraId="17A423C6" w14:textId="77777777" w:rsidR="00601A42" w:rsidRPr="003A1339" w:rsidRDefault="00601A42" w:rsidP="002C47D1">
            <w:pPr>
              <w:jc w:val="right"/>
              <w:rPr>
                <w:b/>
                <w:i/>
                <w:sz w:val="16"/>
                <w:lang w:val="en-GB"/>
              </w:rPr>
            </w:pPr>
            <w:proofErr w:type="spellStart"/>
            <w:proofErr w:type="gramStart"/>
            <w:r w:rsidRPr="003A1339">
              <w:rPr>
                <w:i/>
                <w:sz w:val="16"/>
                <w:lang w:val="en-GB"/>
              </w:rPr>
              <w:t>LoE:III</w:t>
            </w:r>
            <w:proofErr w:type="spellEnd"/>
            <w:proofErr w:type="gramEnd"/>
            <w:r w:rsidRPr="003A1339">
              <w:rPr>
                <w:rStyle w:val="EndnoteReference"/>
                <w:i/>
                <w:sz w:val="16"/>
                <w:lang w:val="en-GB"/>
              </w:rPr>
              <w:endnoteReference w:id="40"/>
            </w:r>
          </w:p>
        </w:tc>
      </w:tr>
    </w:tbl>
    <w:p w14:paraId="1F0C3D0D" w14:textId="77777777" w:rsidR="00C605DA" w:rsidRDefault="00C605DA" w:rsidP="00C605DA">
      <w:pPr>
        <w:rPr>
          <w:rFonts w:cs="Arial"/>
          <w:lang w:val="en-GB"/>
        </w:rPr>
      </w:pPr>
    </w:p>
    <w:p w14:paraId="338ECF6D" w14:textId="77777777" w:rsidR="0036185F" w:rsidRPr="00D6340F" w:rsidRDefault="00C605DA" w:rsidP="007E4E67">
      <w:pPr>
        <w:numPr>
          <w:ilvl w:val="0"/>
          <w:numId w:val="34"/>
        </w:numPr>
        <w:ind w:left="284" w:hanging="284"/>
        <w:rPr>
          <w:rFonts w:cs="Arial"/>
          <w:lang w:val="en-GB"/>
        </w:rPr>
      </w:pPr>
      <w:r w:rsidRPr="00D6340F">
        <w:rPr>
          <w:rFonts w:cs="Arial"/>
          <w:lang w:val="en-GB"/>
        </w:rPr>
        <w:t>Calcium channel blockers may be added, e.g.:</w:t>
      </w:r>
    </w:p>
    <w:p w14:paraId="08B848D1" w14:textId="77777777" w:rsidR="00C605DA" w:rsidRPr="00D6340F" w:rsidRDefault="00C605DA" w:rsidP="00C23D57">
      <w:pPr>
        <w:pStyle w:val="ep4"/>
        <w:rPr>
          <w:lang w:val="en-GB"/>
        </w:rPr>
      </w:pPr>
      <w:r w:rsidRPr="00D6340F">
        <w:rPr>
          <w:lang w:val="en-GB"/>
        </w:rPr>
        <w:lastRenderedPageBreak/>
        <w:t>Amlodipine, oral, 5–10 mg daily</w:t>
      </w:r>
      <w:r w:rsidR="001648EF">
        <w:rPr>
          <w:lang w:val="en-GB"/>
        </w:rPr>
        <w:t>.</w:t>
      </w:r>
    </w:p>
    <w:p w14:paraId="20CE2097" w14:textId="77777777" w:rsidR="00C605DA" w:rsidRPr="002A1BA4" w:rsidRDefault="00C605DA" w:rsidP="00C605DA">
      <w:pPr>
        <w:pStyle w:val="ep4"/>
        <w:numPr>
          <w:ilvl w:val="0"/>
          <w:numId w:val="0"/>
        </w:numPr>
        <w:rPr>
          <w:sz w:val="10"/>
          <w:lang w:val="en-GB"/>
        </w:rPr>
      </w:pPr>
    </w:p>
    <w:p w14:paraId="1EC51035" w14:textId="77777777" w:rsidR="00731899" w:rsidRPr="00D6340F" w:rsidRDefault="00731899" w:rsidP="00C605DA">
      <w:pPr>
        <w:pStyle w:val="ep4"/>
        <w:numPr>
          <w:ilvl w:val="0"/>
          <w:numId w:val="0"/>
        </w:numPr>
        <w:rPr>
          <w:lang w:val="en-GB"/>
        </w:rPr>
      </w:pPr>
      <w:r w:rsidRPr="00D6340F">
        <w:rPr>
          <w:b/>
          <w:lang w:val="en-GB"/>
        </w:rPr>
        <w:t>Note:</w:t>
      </w:r>
    </w:p>
    <w:p w14:paraId="090B8272" w14:textId="77777777" w:rsidR="00C605DA" w:rsidRPr="00D6340F" w:rsidRDefault="002A1BA4" w:rsidP="007E4E67">
      <w:pPr>
        <w:pStyle w:val="ep0"/>
        <w:numPr>
          <w:ilvl w:val="0"/>
          <w:numId w:val="45"/>
        </w:numPr>
        <w:ind w:left="284" w:hanging="284"/>
        <w:rPr>
          <w:rFonts w:cs="Arial"/>
          <w:strike w:val="0"/>
          <w:lang w:val="en-GB"/>
        </w:rPr>
      </w:pPr>
      <w:r>
        <w:rPr>
          <w:rFonts w:cs="Arial"/>
          <w:strike w:val="0"/>
          <w:lang w:val="en-GB"/>
        </w:rPr>
        <w:t>Do not give p</w:t>
      </w:r>
      <w:r w:rsidR="00C605DA" w:rsidRPr="00D6340F">
        <w:rPr>
          <w:rFonts w:cs="Arial"/>
          <w:strike w:val="0"/>
          <w:lang w:val="en-GB"/>
        </w:rPr>
        <w:t>atients diuretic therapy unless pulmonary oedema is present.</w:t>
      </w:r>
    </w:p>
    <w:p w14:paraId="199803F1" w14:textId="77777777" w:rsidR="00A272A6" w:rsidRPr="00D6340F" w:rsidRDefault="00A272A6" w:rsidP="007E4E67">
      <w:pPr>
        <w:pStyle w:val="ep0"/>
        <w:numPr>
          <w:ilvl w:val="0"/>
          <w:numId w:val="45"/>
        </w:numPr>
        <w:ind w:left="284" w:hanging="284"/>
        <w:rPr>
          <w:rFonts w:cs="Arial"/>
          <w:strike w:val="0"/>
          <w:lang w:val="en-GB"/>
        </w:rPr>
      </w:pPr>
      <w:r w:rsidRPr="00D6340F">
        <w:rPr>
          <w:rFonts w:cs="Arial"/>
          <w:strike w:val="0"/>
          <w:lang w:val="en-GB"/>
        </w:rPr>
        <w:t>β-blockers must be used with extreme caution in the management of phae</w:t>
      </w:r>
      <w:r w:rsidR="00243D65">
        <w:rPr>
          <w:rFonts w:cs="Arial"/>
          <w:strike w:val="0"/>
          <w:lang w:val="en-GB"/>
        </w:rPr>
        <w:t>o</w:t>
      </w:r>
      <w:r w:rsidRPr="00D6340F">
        <w:rPr>
          <w:rFonts w:cs="Arial"/>
          <w:strike w:val="0"/>
          <w:lang w:val="en-GB"/>
        </w:rPr>
        <w:t>chromocytoma, and only after adequate alpha blockade.</w:t>
      </w: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A272A6" w:rsidRPr="00D6340F" w14:paraId="4C46F05C" w14:textId="77777777" w:rsidTr="00F55CA0">
        <w:tc>
          <w:tcPr>
            <w:tcW w:w="1134" w:type="dxa"/>
            <w:shd w:val="clear" w:color="auto" w:fill="auto"/>
          </w:tcPr>
          <w:p w14:paraId="77DBF4B0" w14:textId="77777777" w:rsidR="00A272A6" w:rsidRPr="00D6340F" w:rsidRDefault="00A272A6" w:rsidP="00F55CA0">
            <w:pPr>
              <w:jc w:val="right"/>
              <w:rPr>
                <w:b/>
                <w:i/>
                <w:sz w:val="16"/>
                <w:lang w:val="en-GB"/>
              </w:rPr>
            </w:pPr>
            <w:proofErr w:type="spellStart"/>
            <w:proofErr w:type="gramStart"/>
            <w:r w:rsidRPr="00D6340F">
              <w:rPr>
                <w:i/>
                <w:sz w:val="16"/>
                <w:lang w:val="en-GB"/>
              </w:rPr>
              <w:t>LoE:III</w:t>
            </w:r>
            <w:proofErr w:type="spellEnd"/>
            <w:proofErr w:type="gramEnd"/>
            <w:r w:rsidRPr="00D6340F">
              <w:rPr>
                <w:rStyle w:val="EndnoteReference"/>
                <w:i/>
                <w:sz w:val="16"/>
                <w:lang w:val="en-GB"/>
              </w:rPr>
              <w:endnoteReference w:id="41"/>
            </w:r>
          </w:p>
        </w:tc>
      </w:tr>
    </w:tbl>
    <w:p w14:paraId="587FCCF7" w14:textId="77777777" w:rsidR="00C605DA" w:rsidRPr="00D6340F" w:rsidRDefault="00C605DA" w:rsidP="00C605DA">
      <w:pPr>
        <w:pStyle w:val="ep4"/>
        <w:numPr>
          <w:ilvl w:val="0"/>
          <w:numId w:val="0"/>
        </w:numPr>
        <w:ind w:left="284" w:hanging="284"/>
        <w:rPr>
          <w:lang w:val="en-GB"/>
        </w:rPr>
      </w:pPr>
    </w:p>
    <w:p w14:paraId="39E70DE0" w14:textId="77777777" w:rsidR="00C605DA" w:rsidRPr="00D6340F" w:rsidRDefault="00C605DA" w:rsidP="00C605DA">
      <w:pPr>
        <w:pStyle w:val="Heading5"/>
        <w:rPr>
          <w:rFonts w:cs="Arial"/>
          <w:lang w:val="en-GB"/>
        </w:rPr>
      </w:pPr>
      <w:r w:rsidRPr="00D6340F">
        <w:rPr>
          <w:rFonts w:cs="Arial"/>
          <w:lang w:val="en-GB"/>
        </w:rPr>
        <w:t>REFERRAL</w:t>
      </w:r>
    </w:p>
    <w:p w14:paraId="700C24A9" w14:textId="77777777" w:rsidR="00731899" w:rsidRDefault="00731899" w:rsidP="00731899">
      <w:pPr>
        <w:rPr>
          <w:lang w:val="en-GB"/>
        </w:rPr>
      </w:pPr>
      <w:r w:rsidRPr="00D6340F">
        <w:rPr>
          <w:lang w:val="en-GB"/>
        </w:rPr>
        <w:t>All patients</w:t>
      </w:r>
      <w:r w:rsidR="00E21348" w:rsidRPr="00D6340F">
        <w:rPr>
          <w:lang w:val="en-GB"/>
        </w:rPr>
        <w:t>.</w:t>
      </w:r>
    </w:p>
    <w:p w14:paraId="1CE762E1" w14:textId="07B7E3EC" w:rsidR="00C23D57" w:rsidRDefault="00C23D57" w:rsidP="00731899">
      <w:pPr>
        <w:rPr>
          <w:lang w:val="en-GB"/>
        </w:rPr>
      </w:pPr>
    </w:p>
    <w:p w14:paraId="34AF82E4" w14:textId="77777777" w:rsidR="00C825DA" w:rsidRDefault="00C825DA" w:rsidP="00731899">
      <w:pPr>
        <w:rPr>
          <w:lang w:val="en-GB"/>
        </w:rPr>
      </w:pPr>
    </w:p>
    <w:p w14:paraId="73C91266" w14:textId="77777777" w:rsidR="00C605DA" w:rsidRPr="00D6340F" w:rsidRDefault="00C605DA" w:rsidP="00C605DA">
      <w:pPr>
        <w:pStyle w:val="Heading1"/>
        <w:rPr>
          <w:rFonts w:cs="Arial"/>
          <w:sz w:val="22"/>
          <w:szCs w:val="22"/>
          <w:lang w:val="en-GB"/>
        </w:rPr>
      </w:pPr>
      <w:r w:rsidRPr="00D6340F">
        <w:rPr>
          <w:rFonts w:cs="Arial"/>
          <w:sz w:val="22"/>
          <w:szCs w:val="22"/>
          <w:lang w:val="en-GB"/>
        </w:rPr>
        <w:t>8.17 PRIMARY ALDOSTERONISM</w:t>
      </w:r>
    </w:p>
    <w:p w14:paraId="03D3C9E5" w14:textId="77777777" w:rsidR="00C605DA" w:rsidRPr="00D6340F" w:rsidRDefault="00C605DA" w:rsidP="00C02921">
      <w:pPr>
        <w:pStyle w:val="Heading4"/>
      </w:pPr>
      <w:r w:rsidRPr="00D6340F">
        <w:t>E26.0</w:t>
      </w:r>
    </w:p>
    <w:p w14:paraId="6EF50CF6" w14:textId="77777777" w:rsidR="00C605DA" w:rsidRPr="002A1BA4" w:rsidRDefault="00C605DA" w:rsidP="00C605DA">
      <w:pPr>
        <w:rPr>
          <w:rFonts w:cs="Arial"/>
          <w:sz w:val="16"/>
          <w:lang w:val="en-GB"/>
        </w:rPr>
      </w:pPr>
    </w:p>
    <w:p w14:paraId="49FF311A" w14:textId="77777777" w:rsidR="00C605DA" w:rsidRPr="00D6340F" w:rsidRDefault="00C605DA" w:rsidP="00943F6A">
      <w:pPr>
        <w:pStyle w:val="Heading5"/>
        <w:keepNext w:val="0"/>
        <w:widowControl w:val="0"/>
        <w:rPr>
          <w:rFonts w:cs="Arial"/>
          <w:lang w:val="en-GB"/>
        </w:rPr>
      </w:pPr>
      <w:r w:rsidRPr="00D6340F">
        <w:rPr>
          <w:rFonts w:cs="Arial"/>
          <w:lang w:val="en-GB"/>
        </w:rPr>
        <w:t>DESCRIPTION</w:t>
      </w:r>
    </w:p>
    <w:p w14:paraId="5E0B9679" w14:textId="77777777" w:rsidR="00C605DA" w:rsidRDefault="00C605DA" w:rsidP="00943F6A">
      <w:pPr>
        <w:widowControl w:val="0"/>
        <w:rPr>
          <w:rFonts w:cs="Arial"/>
          <w:lang w:val="en-GB"/>
        </w:rPr>
      </w:pPr>
      <w:r w:rsidRPr="00D6340F">
        <w:rPr>
          <w:rFonts w:cs="Arial"/>
          <w:lang w:val="en-GB"/>
        </w:rPr>
        <w:t>Increased aldosterone production usually due to an adrenal adenoma (Conn's syndrome) or idiopathic bilateral adrenal hyperplasia (</w:t>
      </w:r>
      <w:proofErr w:type="gramStart"/>
      <w:r w:rsidR="00CD6DB2" w:rsidRPr="00D6340F">
        <w:rPr>
          <w:rFonts w:cs="Arial"/>
          <w:lang w:val="en-GB"/>
        </w:rPr>
        <w:t xml:space="preserve">the </w:t>
      </w:r>
      <w:r w:rsidRPr="00D6340F">
        <w:rPr>
          <w:rFonts w:cs="Arial"/>
          <w:lang w:val="en-GB"/>
        </w:rPr>
        <w:t>majority</w:t>
      </w:r>
      <w:r w:rsidR="00CD6DB2" w:rsidRPr="00D6340F">
        <w:rPr>
          <w:rFonts w:cs="Arial"/>
          <w:lang w:val="en-GB"/>
        </w:rPr>
        <w:t xml:space="preserve"> of</w:t>
      </w:r>
      <w:proofErr w:type="gramEnd"/>
      <w:r w:rsidR="00CD6DB2" w:rsidRPr="00D6340F">
        <w:rPr>
          <w:rFonts w:cs="Arial"/>
          <w:lang w:val="en-GB"/>
        </w:rPr>
        <w:t xml:space="preserve"> cases</w:t>
      </w:r>
      <w:r w:rsidRPr="00D6340F">
        <w:rPr>
          <w:rFonts w:cs="Arial"/>
          <w:lang w:val="en-GB"/>
        </w:rPr>
        <w:t>).</w:t>
      </w:r>
    </w:p>
    <w:p w14:paraId="7D988C9A" w14:textId="77777777" w:rsidR="002A1BA4" w:rsidRPr="002A1BA4" w:rsidRDefault="002A1BA4" w:rsidP="00943F6A">
      <w:pPr>
        <w:widowControl w:val="0"/>
        <w:rPr>
          <w:rFonts w:cs="Arial"/>
          <w:sz w:val="6"/>
          <w:lang w:val="en-GB"/>
        </w:rPr>
      </w:pPr>
    </w:p>
    <w:p w14:paraId="6056D852" w14:textId="77777777" w:rsidR="00C605DA" w:rsidRPr="00D6340F" w:rsidRDefault="00C605DA" w:rsidP="00C605DA">
      <w:pPr>
        <w:pStyle w:val="Heading6"/>
        <w:rPr>
          <w:rFonts w:cs="Arial"/>
        </w:rPr>
      </w:pPr>
      <w:r w:rsidRPr="00D6340F">
        <w:rPr>
          <w:rFonts w:cs="Arial"/>
        </w:rPr>
        <w:t>Clinical</w:t>
      </w:r>
    </w:p>
    <w:p w14:paraId="7EB59CAC" w14:textId="77777777" w:rsidR="00C605DA" w:rsidRPr="00D6340F" w:rsidRDefault="00CD6DB2" w:rsidP="00C605DA">
      <w:pPr>
        <w:rPr>
          <w:rFonts w:cs="Arial"/>
          <w:lang w:val="en-GB"/>
        </w:rPr>
      </w:pPr>
      <w:r w:rsidRPr="00D6340F">
        <w:rPr>
          <w:rFonts w:cs="Arial"/>
          <w:lang w:val="en-GB"/>
        </w:rPr>
        <w:t>S</w:t>
      </w:r>
      <w:r w:rsidR="00C605DA" w:rsidRPr="00D6340F">
        <w:rPr>
          <w:rFonts w:cs="Arial"/>
          <w:lang w:val="en-GB"/>
        </w:rPr>
        <w:t xml:space="preserve">uspect in a patient with resistant hypertension or hypertension with hypokalaemia.  </w:t>
      </w:r>
    </w:p>
    <w:p w14:paraId="18487F5A" w14:textId="77777777" w:rsidR="00C605DA" w:rsidRPr="002A1BA4" w:rsidRDefault="00C605DA" w:rsidP="00C605DA">
      <w:pPr>
        <w:rPr>
          <w:rFonts w:cs="Arial"/>
          <w:sz w:val="6"/>
          <w:lang w:val="en-GB"/>
        </w:rPr>
      </w:pPr>
    </w:p>
    <w:p w14:paraId="304A65C1" w14:textId="77777777" w:rsidR="00C605DA" w:rsidRPr="00D6340F" w:rsidRDefault="00C605DA" w:rsidP="00C605DA">
      <w:pPr>
        <w:pStyle w:val="Heading6"/>
        <w:rPr>
          <w:rFonts w:cs="Arial"/>
        </w:rPr>
      </w:pPr>
      <w:r w:rsidRPr="00D6340F">
        <w:rPr>
          <w:rFonts w:cs="Arial"/>
        </w:rPr>
        <w:t xml:space="preserve">Diagnosis </w:t>
      </w:r>
    </w:p>
    <w:p w14:paraId="312E7096" w14:textId="77777777" w:rsidR="00C605DA" w:rsidRPr="00D6340F" w:rsidRDefault="00C605DA" w:rsidP="00C605DA">
      <w:pPr>
        <w:rPr>
          <w:rFonts w:cs="Arial"/>
          <w:lang w:val="en-GB"/>
        </w:rPr>
      </w:pPr>
      <w:r w:rsidRPr="00D6340F">
        <w:rPr>
          <w:rFonts w:cs="Arial"/>
          <w:lang w:val="en-GB"/>
        </w:rPr>
        <w:t xml:space="preserve">Elevated serum aldosterone with a suppressed renin level </w:t>
      </w:r>
      <w:r w:rsidR="00876DC2" w:rsidRPr="00D6340F">
        <w:rPr>
          <w:rFonts w:cs="Arial"/>
          <w:b/>
          <w:lang w:val="en-GB"/>
        </w:rPr>
        <w:t xml:space="preserve">and </w:t>
      </w:r>
      <w:r w:rsidRPr="00D6340F">
        <w:rPr>
          <w:rFonts w:cs="Arial"/>
          <w:lang w:val="en-GB"/>
        </w:rPr>
        <w:t>elevated aldosterone/renin ratio</w:t>
      </w:r>
      <w:r w:rsidR="00976B4C" w:rsidRPr="00D6340F">
        <w:rPr>
          <w:rFonts w:cs="Arial"/>
          <w:lang w:val="en-GB"/>
        </w:rPr>
        <w:t>.</w:t>
      </w:r>
    </w:p>
    <w:p w14:paraId="5DA1EB4E" w14:textId="77777777" w:rsidR="00C605DA" w:rsidRPr="00D6340F" w:rsidRDefault="00DF1586" w:rsidP="00C605DA">
      <w:pPr>
        <w:rPr>
          <w:rFonts w:cs="Arial"/>
          <w:lang w:val="en-GB"/>
        </w:rPr>
      </w:pPr>
      <w:r w:rsidRPr="00D6340F">
        <w:rPr>
          <w:rFonts w:cs="Arial"/>
          <w:lang w:val="en-GB"/>
        </w:rPr>
        <w:t>ACE-</w:t>
      </w:r>
      <w:r w:rsidR="00C605DA" w:rsidRPr="00D6340F">
        <w:rPr>
          <w:rFonts w:cs="Arial"/>
          <w:lang w:val="en-GB"/>
        </w:rPr>
        <w:t xml:space="preserve">inhibitors, angiotensin receptor blockers (ARBs), and diuretics can give falsely elevated or lowered results. Stop all these drugs for a minimum of 2 weeks before testing. Stop spironolactone for 6 weeks before testing. </w:t>
      </w:r>
    </w:p>
    <w:p w14:paraId="27CCEDBF" w14:textId="77777777" w:rsidR="00C605DA" w:rsidRPr="002A1BA4" w:rsidRDefault="00C605DA" w:rsidP="00C605DA">
      <w:pPr>
        <w:rPr>
          <w:rFonts w:cs="Arial"/>
          <w:sz w:val="4"/>
          <w:szCs w:val="16"/>
          <w:lang w:val="en-GB"/>
        </w:rPr>
      </w:pPr>
    </w:p>
    <w:p w14:paraId="7BC98D21" w14:textId="77777777" w:rsidR="00C605DA" w:rsidRPr="00D6340F" w:rsidRDefault="00C605DA" w:rsidP="00C605DA">
      <w:pPr>
        <w:rPr>
          <w:rFonts w:cs="Arial"/>
          <w:lang w:val="en-GB"/>
        </w:rPr>
      </w:pPr>
      <w:r w:rsidRPr="00D6340F">
        <w:rPr>
          <w:rFonts w:cs="Arial"/>
          <w:lang w:val="en-GB"/>
        </w:rPr>
        <w:t>Because of limited specificity, a positive screening test result should be followed by a confirmatory test. A negative random ratio test does not necessarily exclude the diagnosis.</w:t>
      </w:r>
    </w:p>
    <w:p w14:paraId="7E381588" w14:textId="77777777" w:rsidR="007511F7" w:rsidRPr="00D6340F" w:rsidRDefault="007511F7" w:rsidP="00C605DA">
      <w:pPr>
        <w:rPr>
          <w:rFonts w:cs="Arial"/>
          <w:lang w:val="en-GB"/>
        </w:rPr>
      </w:pPr>
    </w:p>
    <w:p w14:paraId="489F0DFF" w14:textId="77777777" w:rsidR="00C605DA" w:rsidRPr="00D6340F" w:rsidRDefault="00CF1E5F" w:rsidP="00C605DA">
      <w:pPr>
        <w:rPr>
          <w:rFonts w:cs="Arial"/>
          <w:b/>
          <w:sz w:val="20"/>
          <w:szCs w:val="20"/>
          <w:lang w:val="en-GB"/>
        </w:rPr>
      </w:pPr>
      <w:r w:rsidRPr="00D6340F">
        <w:rPr>
          <w:rFonts w:cs="Arial"/>
          <w:b/>
          <w:sz w:val="20"/>
          <w:szCs w:val="20"/>
          <w:lang w:val="en-GB"/>
        </w:rPr>
        <w:t xml:space="preserve">MEDICINE </w:t>
      </w:r>
      <w:r w:rsidR="00C605DA" w:rsidRPr="00D6340F">
        <w:rPr>
          <w:rFonts w:cs="Arial"/>
          <w:b/>
          <w:sz w:val="20"/>
          <w:szCs w:val="20"/>
          <w:lang w:val="en-GB"/>
        </w:rPr>
        <w:t>TREATMENT</w:t>
      </w:r>
    </w:p>
    <w:p w14:paraId="18E8D8C4" w14:textId="77777777" w:rsidR="00D15924" w:rsidRPr="00D6340F" w:rsidRDefault="00D15924" w:rsidP="00D15924">
      <w:pPr>
        <w:pStyle w:val="Heading6"/>
        <w:rPr>
          <w:rFonts w:cs="Arial"/>
        </w:rPr>
      </w:pPr>
      <w:r w:rsidRPr="00D6340F">
        <w:rPr>
          <w:rFonts w:cs="Arial"/>
        </w:rPr>
        <w:t>Adrenal adenoma</w:t>
      </w:r>
    </w:p>
    <w:p w14:paraId="37D0849C" w14:textId="1BB139FC" w:rsidR="00CF1E5F" w:rsidRPr="003A1339" w:rsidRDefault="00495CA0" w:rsidP="00CF1E5F">
      <w:pPr>
        <w:rPr>
          <w:rFonts w:cs="Arial"/>
          <w:color w:val="FF0000"/>
          <w:u w:val="single"/>
          <w:lang w:val="en-GB"/>
        </w:rPr>
      </w:pPr>
      <w:r w:rsidRPr="003A1339">
        <w:rPr>
          <w:rFonts w:cs="Arial"/>
          <w:color w:val="auto"/>
          <w:lang w:val="en-GB"/>
        </w:rPr>
        <w:t>A</w:t>
      </w:r>
      <w:r w:rsidR="003A1339" w:rsidRPr="003A1339">
        <w:rPr>
          <w:rFonts w:cs="Arial"/>
          <w:color w:val="auto"/>
          <w:lang w:val="en-GB"/>
        </w:rPr>
        <w:t xml:space="preserve"> </w:t>
      </w:r>
      <w:r w:rsidR="00D33A4A" w:rsidRPr="003A1339">
        <w:rPr>
          <w:rFonts w:cs="Arial"/>
          <w:color w:val="auto"/>
          <w:lang w:val="en-GB"/>
        </w:rPr>
        <w:t>s</w:t>
      </w:r>
      <w:r w:rsidR="00511BAC" w:rsidRPr="003A1339">
        <w:rPr>
          <w:color w:val="auto"/>
          <w:lang w:val="en-GB"/>
        </w:rPr>
        <w:t xml:space="preserve">urgical </w:t>
      </w:r>
      <w:proofErr w:type="spellStart"/>
      <w:r w:rsidR="00511BAC" w:rsidRPr="003A1339">
        <w:rPr>
          <w:color w:val="auto"/>
          <w:lang w:val="en-GB"/>
        </w:rPr>
        <w:t>re</w:t>
      </w:r>
      <w:r w:rsidR="002840C6">
        <w:rPr>
          <w:color w:val="auto"/>
          <w:lang w:val="en-GB"/>
        </w:rPr>
        <w:t>Section</w:t>
      </w:r>
      <w:proofErr w:type="spellEnd"/>
      <w:r w:rsidR="00511BAC" w:rsidRPr="003A1339">
        <w:rPr>
          <w:color w:val="auto"/>
          <w:lang w:val="en-GB"/>
        </w:rPr>
        <w:t>/removal of adenoma</w:t>
      </w:r>
      <w:r w:rsidR="00876DC2" w:rsidRPr="003A1339">
        <w:rPr>
          <w:color w:val="auto"/>
          <w:lang w:val="en-GB"/>
        </w:rPr>
        <w:t>.</w:t>
      </w:r>
    </w:p>
    <w:p w14:paraId="557C315B" w14:textId="77777777" w:rsidR="00CF1E5F" w:rsidRPr="002A1BA4" w:rsidRDefault="00CF1E5F" w:rsidP="00CF1E5F">
      <w:pPr>
        <w:rPr>
          <w:rFonts w:cs="Arial"/>
          <w:sz w:val="10"/>
          <w:szCs w:val="16"/>
          <w:lang w:val="en-GB"/>
        </w:rPr>
      </w:pPr>
    </w:p>
    <w:p w14:paraId="187E645A" w14:textId="77777777" w:rsidR="00CF1E5F" w:rsidRPr="00D6340F" w:rsidRDefault="00CF1E5F" w:rsidP="005E4116">
      <w:pPr>
        <w:pStyle w:val="Heading6"/>
        <w:keepNext w:val="0"/>
        <w:widowControl w:val="0"/>
        <w:jc w:val="left"/>
        <w:rPr>
          <w:rFonts w:cs="Arial"/>
        </w:rPr>
      </w:pPr>
      <w:r w:rsidRPr="00D6340F">
        <w:rPr>
          <w:rFonts w:cs="Arial"/>
        </w:rPr>
        <w:t>Bilateral hyperplasia</w:t>
      </w:r>
    </w:p>
    <w:p w14:paraId="43DC8093" w14:textId="77777777" w:rsidR="005E4116" w:rsidRPr="00D6340F" w:rsidRDefault="00CF1E5F" w:rsidP="005E4116">
      <w:pPr>
        <w:pStyle w:val="ep4"/>
        <w:numPr>
          <w:ilvl w:val="0"/>
          <w:numId w:val="0"/>
        </w:numPr>
        <w:jc w:val="left"/>
        <w:rPr>
          <w:color w:val="auto"/>
          <w:lang w:val="en-GB"/>
        </w:rPr>
      </w:pPr>
      <w:r w:rsidRPr="00D6340F">
        <w:rPr>
          <w:lang w:val="en-GB"/>
        </w:rPr>
        <w:t>Standard anti-hypertensive therapy</w:t>
      </w:r>
      <w:r w:rsidR="007511F7" w:rsidRPr="00D6340F">
        <w:rPr>
          <w:color w:val="auto"/>
          <w:lang w:val="en-GB"/>
        </w:rPr>
        <w:t>, including spironolactone</w:t>
      </w:r>
      <w:r w:rsidRPr="00D6340F">
        <w:rPr>
          <w:color w:val="auto"/>
          <w:lang w:val="en-GB"/>
        </w:rPr>
        <w:t>.</w:t>
      </w:r>
    </w:p>
    <w:p w14:paraId="7D3D63DC" w14:textId="77777777" w:rsidR="00463E34" w:rsidRPr="00D6340F" w:rsidRDefault="00943F6A" w:rsidP="007E4E67">
      <w:pPr>
        <w:pStyle w:val="ep4"/>
        <w:numPr>
          <w:ilvl w:val="0"/>
          <w:numId w:val="53"/>
        </w:numPr>
        <w:ind w:left="284" w:hanging="284"/>
        <w:jc w:val="left"/>
        <w:rPr>
          <w:lang w:val="en-GB"/>
        </w:rPr>
      </w:pPr>
      <w:r w:rsidRPr="00D6340F">
        <w:rPr>
          <w:lang w:val="en-GB"/>
        </w:rPr>
        <w:t>Spironolactone, oral, 100–200 mg daily.</w:t>
      </w:r>
    </w:p>
    <w:p w14:paraId="372CF4AB" w14:textId="77777777" w:rsidR="00955730" w:rsidRPr="00D6340F" w:rsidRDefault="00955730" w:rsidP="00943F6A">
      <w:pPr>
        <w:rPr>
          <w:rFonts w:cs="Arial"/>
          <w:lang w:val="en-GB"/>
        </w:rPr>
      </w:pPr>
    </w:p>
    <w:p w14:paraId="52B326CD" w14:textId="77777777" w:rsidR="00C605DA" w:rsidRPr="00D6340F" w:rsidRDefault="00C605DA" w:rsidP="00C605DA">
      <w:pPr>
        <w:pStyle w:val="Heading5"/>
        <w:rPr>
          <w:rFonts w:cs="Arial"/>
          <w:lang w:val="en-GB"/>
        </w:rPr>
      </w:pPr>
      <w:r w:rsidRPr="00D6340F">
        <w:rPr>
          <w:rFonts w:cs="Arial"/>
          <w:lang w:val="en-GB"/>
        </w:rPr>
        <w:t>REFERRAL</w:t>
      </w:r>
    </w:p>
    <w:p w14:paraId="3DE468C7" w14:textId="77777777" w:rsidR="00C605DA" w:rsidRPr="00D6340F" w:rsidRDefault="00C605DA" w:rsidP="005534A6">
      <w:pPr>
        <w:pStyle w:val="ep0"/>
        <w:ind w:left="0"/>
        <w:rPr>
          <w:rFonts w:cs="Arial"/>
          <w:strike w:val="0"/>
          <w:lang w:val="en-GB"/>
        </w:rPr>
      </w:pPr>
      <w:r w:rsidRPr="00D6340F">
        <w:rPr>
          <w:rFonts w:cs="Arial"/>
          <w:strike w:val="0"/>
          <w:lang w:val="en-GB"/>
        </w:rPr>
        <w:t>All patients to an endocrinologist or a hypertension centre for confirmation of the diagnosis and further treatment.</w:t>
      </w:r>
    </w:p>
    <w:p w14:paraId="7E94801E" w14:textId="127FDEB5" w:rsidR="00C605DA" w:rsidRDefault="00C605DA" w:rsidP="00C605DA">
      <w:pPr>
        <w:pStyle w:val="Footer"/>
        <w:rPr>
          <w:rFonts w:cs="Arial"/>
          <w:lang w:val="en-GB"/>
        </w:rPr>
      </w:pPr>
    </w:p>
    <w:p w14:paraId="4E8F6F90" w14:textId="77777777" w:rsidR="00C825DA" w:rsidRPr="002A1BA4" w:rsidRDefault="00C825DA" w:rsidP="00C605DA">
      <w:pPr>
        <w:pStyle w:val="Footer"/>
        <w:rPr>
          <w:rFonts w:cs="Arial"/>
          <w:lang w:val="en-GB"/>
        </w:rPr>
      </w:pPr>
    </w:p>
    <w:p w14:paraId="2203F955" w14:textId="77777777" w:rsidR="00C605DA" w:rsidRPr="002A1BA4" w:rsidRDefault="00C605DA" w:rsidP="00C605DA">
      <w:pPr>
        <w:pStyle w:val="Footer"/>
        <w:rPr>
          <w:rFonts w:cs="Arial"/>
          <w:lang w:val="en-GB"/>
        </w:rPr>
      </w:pPr>
    </w:p>
    <w:p w14:paraId="0D81043A" w14:textId="77777777" w:rsidR="00C605DA" w:rsidRPr="00D6340F" w:rsidRDefault="00C605DA" w:rsidP="00C605DA">
      <w:pPr>
        <w:pStyle w:val="Heading1"/>
        <w:rPr>
          <w:rFonts w:cs="Arial"/>
          <w:lang w:val="en-GB"/>
        </w:rPr>
      </w:pPr>
      <w:r w:rsidRPr="002A1BA4">
        <w:rPr>
          <w:rFonts w:cs="Arial"/>
          <w:sz w:val="22"/>
          <w:lang w:val="en-GB"/>
        </w:rPr>
        <w:lastRenderedPageBreak/>
        <w:t>8.18 HYPERTHYROIDISM</w:t>
      </w:r>
    </w:p>
    <w:p w14:paraId="298BF073" w14:textId="77777777" w:rsidR="00C605DA" w:rsidRPr="00D6340F" w:rsidRDefault="00C605DA" w:rsidP="00C02921">
      <w:pPr>
        <w:pStyle w:val="Heading4"/>
      </w:pPr>
      <w:r w:rsidRPr="00D6340F">
        <w:t>e05</w:t>
      </w:r>
      <w:r w:rsidR="00904B36">
        <w:t>.0-5/E05.8-9</w:t>
      </w:r>
    </w:p>
    <w:p w14:paraId="78943B46" w14:textId="77777777" w:rsidR="00C605DA" w:rsidRPr="00D6340F" w:rsidRDefault="00C605DA" w:rsidP="00C605DA">
      <w:pPr>
        <w:rPr>
          <w:rFonts w:cs="Arial"/>
          <w:sz w:val="16"/>
          <w:szCs w:val="16"/>
          <w:lang w:val="en-GB"/>
        </w:rPr>
      </w:pPr>
    </w:p>
    <w:p w14:paraId="69B2E1EA" w14:textId="77777777" w:rsidR="00C605DA" w:rsidRPr="00D6340F" w:rsidRDefault="00C605DA" w:rsidP="00C605DA">
      <w:pPr>
        <w:pStyle w:val="Heading5"/>
        <w:rPr>
          <w:rFonts w:cs="Arial"/>
          <w:lang w:val="en-GB"/>
        </w:rPr>
      </w:pPr>
      <w:r w:rsidRPr="00D6340F">
        <w:rPr>
          <w:rFonts w:cs="Arial"/>
          <w:lang w:val="en-GB"/>
        </w:rPr>
        <w:t>DESCRIPTION</w:t>
      </w:r>
    </w:p>
    <w:p w14:paraId="0E91C705" w14:textId="160876B3" w:rsidR="00C605DA" w:rsidRPr="005C0DFE" w:rsidRDefault="00C605DA" w:rsidP="00C605DA">
      <w:pPr>
        <w:rPr>
          <w:rFonts w:cs="Arial"/>
          <w:color w:val="auto"/>
          <w:lang w:val="en-GB"/>
        </w:rPr>
      </w:pPr>
      <w:r w:rsidRPr="00D6340F">
        <w:rPr>
          <w:rFonts w:cs="Arial"/>
          <w:lang w:val="en-GB"/>
        </w:rPr>
        <w:t>Most common cause of hyperthyroidism is Graves’ disease, which is an autoimmune condition resulting from the presence of thyroid stimulating autoantibodies. Other common causes are toxic single or multinodular goitre and sub-acute thyroiditis.</w:t>
      </w:r>
      <w:r w:rsidR="00AB44A9">
        <w:rPr>
          <w:rFonts w:cs="Arial"/>
          <w:lang w:val="en-GB"/>
        </w:rPr>
        <w:t xml:space="preserve"> </w:t>
      </w:r>
      <w:r w:rsidR="00AB44A9" w:rsidRPr="005C0DFE">
        <w:rPr>
          <w:rFonts w:cs="Arial"/>
          <w:color w:val="auto"/>
        </w:rPr>
        <w:t>Thyrotoxicosis in the setting of any other acute life</w:t>
      </w:r>
      <w:r w:rsidR="00CD75BE">
        <w:rPr>
          <w:rFonts w:cs="Arial"/>
          <w:color w:val="auto"/>
        </w:rPr>
        <w:t>-</w:t>
      </w:r>
      <w:r w:rsidR="00AB44A9" w:rsidRPr="005C0DFE">
        <w:rPr>
          <w:rFonts w:cs="Arial"/>
          <w:color w:val="auto"/>
        </w:rPr>
        <w:t>threatening condition such as cardiac failure etc. should be managed as thyroid crisis</w:t>
      </w:r>
      <w:r w:rsidR="00492353" w:rsidRPr="005C0DFE">
        <w:rPr>
          <w:rFonts w:cs="Arial"/>
          <w:color w:val="auto"/>
        </w:rPr>
        <w:t xml:space="preserve"> – see </w:t>
      </w:r>
      <w:r w:rsidR="002840C6">
        <w:rPr>
          <w:rFonts w:cs="Arial"/>
          <w:color w:val="auto"/>
        </w:rPr>
        <w:t>Section</w:t>
      </w:r>
      <w:r w:rsidR="00492353" w:rsidRPr="005C0DFE">
        <w:rPr>
          <w:rFonts w:cs="Arial"/>
          <w:color w:val="auto"/>
        </w:rPr>
        <w:t xml:space="preserve"> 8.18.</w:t>
      </w:r>
      <w:r w:rsidR="005C0DFE" w:rsidRPr="005C0DFE">
        <w:rPr>
          <w:rFonts w:cs="Arial"/>
          <w:color w:val="auto"/>
        </w:rPr>
        <w:t>5: Thyroid crisis.</w:t>
      </w:r>
    </w:p>
    <w:p w14:paraId="098CCBB5" w14:textId="77777777" w:rsidR="00C605DA" w:rsidRPr="00BF05F5" w:rsidRDefault="00C605DA" w:rsidP="00C605DA">
      <w:pPr>
        <w:pStyle w:val="Footer"/>
        <w:rPr>
          <w:rFonts w:cs="Arial"/>
          <w:sz w:val="10"/>
          <w:szCs w:val="10"/>
          <w:lang w:val="en-GB"/>
        </w:rPr>
      </w:pPr>
    </w:p>
    <w:p w14:paraId="796F9DC4" w14:textId="77777777" w:rsidR="00C605DA" w:rsidRPr="00D6340F" w:rsidRDefault="00C605DA" w:rsidP="00C605DA">
      <w:pPr>
        <w:pStyle w:val="Heading6"/>
        <w:rPr>
          <w:rFonts w:cs="Arial"/>
        </w:rPr>
      </w:pPr>
      <w:r w:rsidRPr="00D6340F">
        <w:rPr>
          <w:rFonts w:cs="Arial"/>
        </w:rPr>
        <w:t>Investigation</w:t>
      </w:r>
    </w:p>
    <w:p w14:paraId="4A045F30" w14:textId="77777777" w:rsidR="00C605DA" w:rsidRPr="00D6340F" w:rsidRDefault="00C605DA" w:rsidP="00C605DA">
      <w:pPr>
        <w:rPr>
          <w:rFonts w:cs="Arial"/>
          <w:lang w:val="en-GB"/>
        </w:rPr>
      </w:pPr>
      <w:r w:rsidRPr="00D6340F">
        <w:rPr>
          <w:rFonts w:cs="Arial"/>
          <w:lang w:val="en-GB"/>
        </w:rPr>
        <w:t xml:space="preserve">TSH and </w:t>
      </w:r>
      <w:r w:rsidR="007511F7" w:rsidRPr="00D6340F">
        <w:rPr>
          <w:rFonts w:cs="Arial"/>
          <w:color w:val="auto"/>
          <w:lang w:val="en-GB"/>
        </w:rPr>
        <w:t xml:space="preserve">free </w:t>
      </w:r>
      <w:r w:rsidRPr="00D6340F">
        <w:rPr>
          <w:rFonts w:cs="Arial"/>
          <w:lang w:val="en-GB"/>
        </w:rPr>
        <w:t>T</w:t>
      </w:r>
      <w:r w:rsidR="00D74F6C" w:rsidRPr="00CD1912">
        <w:rPr>
          <w:rFonts w:cs="Arial"/>
          <w:vertAlign w:val="subscript"/>
          <w:lang w:val="en-GB"/>
        </w:rPr>
        <w:t>4</w:t>
      </w:r>
      <w:r w:rsidRPr="00D6340F">
        <w:rPr>
          <w:rFonts w:cs="Arial"/>
          <w:lang w:val="en-GB"/>
        </w:rPr>
        <w:t>.</w:t>
      </w:r>
    </w:p>
    <w:p w14:paraId="24C49F5D" w14:textId="77777777" w:rsidR="00C605DA" w:rsidRPr="00D6340F" w:rsidRDefault="00C605DA" w:rsidP="00C605DA">
      <w:pPr>
        <w:rPr>
          <w:rFonts w:cs="Arial"/>
          <w:lang w:val="en-GB"/>
        </w:rPr>
      </w:pPr>
      <w:r w:rsidRPr="00D6340F">
        <w:rPr>
          <w:rFonts w:cs="Arial"/>
          <w:lang w:val="en-GB"/>
        </w:rPr>
        <w:t xml:space="preserve">If TSH suppressed and </w:t>
      </w:r>
      <w:r w:rsidR="0072422C" w:rsidRPr="00D6340F">
        <w:rPr>
          <w:rFonts w:cs="Arial"/>
          <w:color w:val="auto"/>
          <w:lang w:val="en-GB"/>
        </w:rPr>
        <w:t xml:space="preserve">free </w:t>
      </w:r>
      <w:r w:rsidRPr="00D6340F">
        <w:rPr>
          <w:rFonts w:cs="Arial"/>
          <w:lang w:val="en-GB"/>
        </w:rPr>
        <w:t>T</w:t>
      </w:r>
      <w:r w:rsidR="00D74F6C" w:rsidRPr="00CD1912">
        <w:rPr>
          <w:rFonts w:cs="Arial"/>
          <w:vertAlign w:val="subscript"/>
          <w:lang w:val="en-GB"/>
        </w:rPr>
        <w:t>4</w:t>
      </w:r>
      <w:r w:rsidRPr="00D6340F">
        <w:rPr>
          <w:rFonts w:cs="Arial"/>
          <w:lang w:val="en-GB"/>
        </w:rPr>
        <w:t xml:space="preserve"> normal, request </w:t>
      </w:r>
      <w:r w:rsidR="0072422C" w:rsidRPr="00D6340F">
        <w:rPr>
          <w:rFonts w:cs="Arial"/>
          <w:color w:val="auto"/>
          <w:lang w:val="en-GB"/>
        </w:rPr>
        <w:t xml:space="preserve">free </w:t>
      </w:r>
      <w:r w:rsidRPr="00D6340F">
        <w:rPr>
          <w:rFonts w:cs="Arial"/>
          <w:lang w:val="en-GB"/>
        </w:rPr>
        <w:t>T</w:t>
      </w:r>
      <w:r w:rsidR="00D74F6C" w:rsidRPr="00CD1912">
        <w:rPr>
          <w:rFonts w:cs="Arial"/>
          <w:vertAlign w:val="subscript"/>
          <w:lang w:val="en-GB"/>
        </w:rPr>
        <w:t>3</w:t>
      </w:r>
      <w:r w:rsidRPr="00D6340F">
        <w:rPr>
          <w:rFonts w:cs="Arial"/>
          <w:lang w:val="en-GB"/>
        </w:rPr>
        <w:t>.</w:t>
      </w:r>
    </w:p>
    <w:p w14:paraId="26226DFB" w14:textId="77777777" w:rsidR="00C605DA" w:rsidRPr="00D6340F" w:rsidRDefault="00C605DA" w:rsidP="00C605DA">
      <w:pPr>
        <w:rPr>
          <w:rFonts w:cs="Arial"/>
          <w:lang w:val="en-GB"/>
        </w:rPr>
      </w:pPr>
      <w:r w:rsidRPr="00D6340F">
        <w:rPr>
          <w:rFonts w:cs="Arial"/>
          <w:lang w:val="en-GB"/>
        </w:rPr>
        <w:t xml:space="preserve">The usual biochemical abnormalities </w:t>
      </w:r>
      <w:proofErr w:type="gramStart"/>
      <w:r w:rsidRPr="00D6340F">
        <w:rPr>
          <w:rFonts w:cs="Arial"/>
          <w:lang w:val="en-GB"/>
        </w:rPr>
        <w:t>are:</w:t>
      </w:r>
      <w:proofErr w:type="gramEnd"/>
      <w:r w:rsidRPr="00D6340F">
        <w:rPr>
          <w:rFonts w:cs="Arial"/>
          <w:lang w:val="en-GB"/>
        </w:rPr>
        <w:t xml:space="preserve"> low TSH, elevated </w:t>
      </w:r>
      <w:r w:rsidR="0072422C" w:rsidRPr="00D6340F">
        <w:rPr>
          <w:rFonts w:cs="Arial"/>
          <w:color w:val="auto"/>
          <w:lang w:val="en-GB"/>
        </w:rPr>
        <w:t xml:space="preserve">free </w:t>
      </w:r>
      <w:r w:rsidRPr="00D6340F">
        <w:rPr>
          <w:rFonts w:cs="Arial"/>
          <w:lang w:val="en-GB"/>
        </w:rPr>
        <w:t>T</w:t>
      </w:r>
      <w:r w:rsidR="00D74F6C" w:rsidRPr="00CD1912">
        <w:rPr>
          <w:rFonts w:cs="Arial"/>
          <w:vertAlign w:val="subscript"/>
          <w:lang w:val="en-GB"/>
        </w:rPr>
        <w:t>4/3</w:t>
      </w:r>
      <w:r w:rsidR="00CD75BE">
        <w:rPr>
          <w:rFonts w:cs="Arial"/>
          <w:lang w:val="en-GB"/>
        </w:rPr>
        <w:t>.</w:t>
      </w:r>
    </w:p>
    <w:p w14:paraId="11E1FCB2" w14:textId="77777777" w:rsidR="00C605DA" w:rsidRDefault="007715CC" w:rsidP="00C605DA">
      <w:pPr>
        <w:rPr>
          <w:rFonts w:cs="Arial"/>
          <w:lang w:val="en-GB"/>
        </w:rPr>
      </w:pPr>
      <w:r w:rsidRPr="00D6340F">
        <w:rPr>
          <w:rFonts w:cs="Arial"/>
          <w:lang w:val="en-GB"/>
        </w:rPr>
        <w:t>TSH receptor antibodies should be measured in all patients.</w:t>
      </w:r>
    </w:p>
    <w:p w14:paraId="25A7E938" w14:textId="77777777" w:rsidR="005603F8" w:rsidRPr="00BF05F5" w:rsidRDefault="005603F8" w:rsidP="00C605DA">
      <w:pPr>
        <w:rPr>
          <w:rFonts w:cs="Arial"/>
          <w:sz w:val="10"/>
          <w:szCs w:val="10"/>
          <w:lang w:val="en-GB"/>
        </w:rPr>
      </w:pPr>
    </w:p>
    <w:p w14:paraId="35AAD7CB" w14:textId="77777777" w:rsidR="00C605DA" w:rsidRPr="00D6340F" w:rsidRDefault="00C605DA" w:rsidP="00C605DA">
      <w:pPr>
        <w:rPr>
          <w:rFonts w:cs="Arial"/>
          <w:lang w:val="en-GB"/>
        </w:rPr>
      </w:pPr>
      <w:r w:rsidRPr="00D6340F">
        <w:rPr>
          <w:rFonts w:cs="Arial"/>
          <w:lang w:val="en-GB"/>
        </w:rPr>
        <w:t>Once thyrotoxicosis is confirmed, if cause is uncertain request thyroid uptake scan. If uptake is:</w:t>
      </w:r>
    </w:p>
    <w:p w14:paraId="76256767" w14:textId="77777777" w:rsidR="00C15E52" w:rsidRPr="00D6340F" w:rsidRDefault="00C605DA" w:rsidP="007E4E67">
      <w:pPr>
        <w:pStyle w:val="ep0"/>
        <w:numPr>
          <w:ilvl w:val="0"/>
          <w:numId w:val="47"/>
        </w:numPr>
        <w:ind w:left="284" w:hanging="284"/>
        <w:rPr>
          <w:rFonts w:cs="Arial"/>
          <w:strike w:val="0"/>
          <w:lang w:val="en-GB"/>
        </w:rPr>
      </w:pPr>
      <w:r w:rsidRPr="00D6340F">
        <w:rPr>
          <w:rFonts w:cs="Arial"/>
          <w:strike w:val="0"/>
          <w:lang w:val="en-GB"/>
        </w:rPr>
        <w:t>Elevated or diffuse: Grave</w:t>
      </w:r>
      <w:r w:rsidR="00785A41" w:rsidRPr="00D6340F">
        <w:rPr>
          <w:rFonts w:cs="Arial"/>
          <w:strike w:val="0"/>
          <w:lang w:val="en-GB"/>
        </w:rPr>
        <w:t>’</w:t>
      </w:r>
      <w:r w:rsidRPr="00D6340F">
        <w:rPr>
          <w:rFonts w:cs="Arial"/>
          <w:strike w:val="0"/>
          <w:lang w:val="en-GB"/>
        </w:rPr>
        <w:t>s disease.</w:t>
      </w:r>
    </w:p>
    <w:p w14:paraId="13FCC066" w14:textId="77777777" w:rsidR="00C15E52" w:rsidRPr="00D6340F" w:rsidRDefault="00C605DA" w:rsidP="007E4E67">
      <w:pPr>
        <w:pStyle w:val="ep0"/>
        <w:numPr>
          <w:ilvl w:val="0"/>
          <w:numId w:val="47"/>
        </w:numPr>
        <w:ind w:left="284" w:hanging="284"/>
        <w:rPr>
          <w:rFonts w:cs="Arial"/>
          <w:bCs/>
          <w:strike w:val="0"/>
          <w:lang w:val="en-GB"/>
        </w:rPr>
      </w:pPr>
      <w:r w:rsidRPr="00D6340F">
        <w:rPr>
          <w:rFonts w:cs="Arial"/>
          <w:strike w:val="0"/>
          <w:lang w:val="en-GB"/>
        </w:rPr>
        <w:t>Markedly decreased: Thyroiditis.</w:t>
      </w:r>
    </w:p>
    <w:p w14:paraId="626DC4C5" w14:textId="77777777" w:rsidR="00C15E52" w:rsidRPr="00D6340F" w:rsidRDefault="00C605DA" w:rsidP="007E4E67">
      <w:pPr>
        <w:pStyle w:val="ep0"/>
        <w:numPr>
          <w:ilvl w:val="0"/>
          <w:numId w:val="47"/>
        </w:numPr>
        <w:ind w:left="284" w:hanging="284"/>
        <w:rPr>
          <w:rFonts w:cs="Arial"/>
          <w:strike w:val="0"/>
          <w:lang w:val="en-GB"/>
        </w:rPr>
      </w:pPr>
      <w:r w:rsidRPr="00D6340F">
        <w:rPr>
          <w:rFonts w:cs="Arial"/>
          <w:strike w:val="0"/>
          <w:lang w:val="en-GB"/>
        </w:rPr>
        <w:t>Patchy uptake with areas of increase</w:t>
      </w:r>
      <w:r w:rsidR="00785A41" w:rsidRPr="00D6340F">
        <w:rPr>
          <w:rFonts w:cs="Arial"/>
          <w:strike w:val="0"/>
          <w:lang w:val="en-GB"/>
        </w:rPr>
        <w:t>d uptake</w:t>
      </w:r>
      <w:r w:rsidRPr="00D6340F">
        <w:rPr>
          <w:rFonts w:cs="Arial"/>
          <w:strike w:val="0"/>
          <w:lang w:val="en-GB"/>
        </w:rPr>
        <w:t>: Toxic multinodular goitre.</w:t>
      </w:r>
    </w:p>
    <w:p w14:paraId="2822B0DB" w14:textId="77777777" w:rsidR="00C605DA" w:rsidRPr="00D6340F" w:rsidRDefault="00C605DA" w:rsidP="00C605DA">
      <w:pPr>
        <w:pStyle w:val="Footer"/>
        <w:rPr>
          <w:rFonts w:cs="Arial"/>
          <w:lang w:val="en-GB"/>
        </w:rPr>
      </w:pPr>
    </w:p>
    <w:p w14:paraId="55E77BA1" w14:textId="77777777" w:rsidR="00C605DA" w:rsidRPr="00D6340F" w:rsidRDefault="00C605DA" w:rsidP="00C605DA">
      <w:pPr>
        <w:pStyle w:val="Heading5"/>
        <w:rPr>
          <w:rFonts w:cs="Arial"/>
          <w:lang w:val="en-GB"/>
        </w:rPr>
      </w:pPr>
      <w:r w:rsidRPr="00D6340F">
        <w:rPr>
          <w:rFonts w:cs="Arial"/>
          <w:lang w:val="en-GB"/>
        </w:rPr>
        <w:t>REFERRAL</w:t>
      </w:r>
    </w:p>
    <w:p w14:paraId="2C7EA090" w14:textId="77777777" w:rsidR="00C15E52" w:rsidRPr="00D6340F" w:rsidRDefault="00C605DA" w:rsidP="007E4E67">
      <w:pPr>
        <w:pStyle w:val="ep4"/>
        <w:numPr>
          <w:ilvl w:val="0"/>
          <w:numId w:val="48"/>
        </w:numPr>
        <w:ind w:left="284" w:hanging="284"/>
        <w:rPr>
          <w:lang w:val="en-GB"/>
        </w:rPr>
      </w:pPr>
      <w:r w:rsidRPr="00D6340F">
        <w:rPr>
          <w:lang w:val="en-GB"/>
        </w:rPr>
        <w:t xml:space="preserve">Consultation with a specialist is recommended in </w:t>
      </w:r>
      <w:r w:rsidR="00CF1E5F" w:rsidRPr="00D6340F">
        <w:rPr>
          <w:color w:val="auto"/>
          <w:lang w:val="en-GB"/>
        </w:rPr>
        <w:t>all</w:t>
      </w:r>
      <w:r w:rsidR="00267CA3">
        <w:rPr>
          <w:color w:val="auto"/>
          <w:lang w:val="en-GB"/>
        </w:rPr>
        <w:t xml:space="preserve"> </w:t>
      </w:r>
      <w:r w:rsidRPr="00D6340F">
        <w:rPr>
          <w:lang w:val="en-GB"/>
        </w:rPr>
        <w:t>cases.</w:t>
      </w:r>
    </w:p>
    <w:p w14:paraId="10E27C52" w14:textId="77777777" w:rsidR="00C15E52" w:rsidRPr="00D6340F" w:rsidRDefault="00C605DA" w:rsidP="007E4E67">
      <w:pPr>
        <w:pStyle w:val="ep4"/>
        <w:numPr>
          <w:ilvl w:val="0"/>
          <w:numId w:val="48"/>
        </w:numPr>
        <w:ind w:left="284" w:hanging="284"/>
        <w:rPr>
          <w:lang w:val="en-GB"/>
        </w:rPr>
      </w:pPr>
      <w:r w:rsidRPr="00D6340F">
        <w:rPr>
          <w:lang w:val="en-GB"/>
        </w:rPr>
        <w:t>For thyroid scan if necessary.</w:t>
      </w:r>
    </w:p>
    <w:p w14:paraId="5BC81E9E" w14:textId="77777777" w:rsidR="00C15E52" w:rsidRPr="00D6340F" w:rsidRDefault="00C605DA" w:rsidP="007E4E67">
      <w:pPr>
        <w:pStyle w:val="ep4"/>
        <w:numPr>
          <w:ilvl w:val="0"/>
          <w:numId w:val="48"/>
        </w:numPr>
        <w:ind w:left="284" w:hanging="284"/>
        <w:rPr>
          <w:lang w:val="en-GB"/>
        </w:rPr>
      </w:pPr>
      <w:r w:rsidRPr="00D6340F">
        <w:rPr>
          <w:lang w:val="en-GB"/>
        </w:rPr>
        <w:t>Thyroid-associated ophthalmopathy.</w:t>
      </w:r>
    </w:p>
    <w:p w14:paraId="274B8285" w14:textId="77777777" w:rsidR="00C15E52" w:rsidRPr="00D6340F" w:rsidRDefault="00C605DA" w:rsidP="007E4E67">
      <w:pPr>
        <w:pStyle w:val="ep4"/>
        <w:numPr>
          <w:ilvl w:val="0"/>
          <w:numId w:val="48"/>
        </w:numPr>
        <w:ind w:left="284" w:hanging="284"/>
        <w:rPr>
          <w:lang w:val="en-GB"/>
        </w:rPr>
      </w:pPr>
      <w:r w:rsidRPr="00D6340F">
        <w:rPr>
          <w:lang w:val="en-GB"/>
        </w:rPr>
        <w:t>When radioactive io</w:t>
      </w:r>
      <w:r w:rsidR="006B5719" w:rsidRPr="00D6340F">
        <w:rPr>
          <w:lang w:val="en-GB"/>
        </w:rPr>
        <w:t>dine or surgery is contemplated</w:t>
      </w:r>
      <w:r w:rsidR="003341F9" w:rsidRPr="00D6340F">
        <w:rPr>
          <w:lang w:val="en-GB"/>
        </w:rPr>
        <w:t>.</w:t>
      </w:r>
    </w:p>
    <w:p w14:paraId="16DAEA1B" w14:textId="77777777" w:rsidR="00C15E52" w:rsidRPr="00D6340F" w:rsidRDefault="006B5719" w:rsidP="007E4E67">
      <w:pPr>
        <w:pStyle w:val="ep4"/>
        <w:numPr>
          <w:ilvl w:val="0"/>
          <w:numId w:val="48"/>
        </w:numPr>
        <w:ind w:left="284" w:hanging="284"/>
        <w:rPr>
          <w:color w:val="auto"/>
          <w:lang w:val="en-GB"/>
        </w:rPr>
      </w:pPr>
      <w:r w:rsidRPr="00D6340F">
        <w:rPr>
          <w:color w:val="auto"/>
          <w:lang w:val="en-GB"/>
        </w:rPr>
        <w:t>If patient is pregnant</w:t>
      </w:r>
      <w:r w:rsidR="00763499" w:rsidRPr="00D6340F">
        <w:rPr>
          <w:color w:val="auto"/>
          <w:lang w:val="en-GB"/>
        </w:rPr>
        <w:t>.</w:t>
      </w:r>
    </w:p>
    <w:p w14:paraId="6753D3B7" w14:textId="77777777" w:rsidR="00C605DA" w:rsidRPr="00D6340F" w:rsidRDefault="00C605DA" w:rsidP="005F039D">
      <w:pPr>
        <w:pStyle w:val="Bullet1"/>
        <w:rPr>
          <w:lang w:val="en-GB"/>
        </w:rPr>
      </w:pPr>
    </w:p>
    <w:p w14:paraId="15EDFF61" w14:textId="77777777" w:rsidR="00C605DA" w:rsidRPr="00D6340F" w:rsidRDefault="00C605DA" w:rsidP="00110944">
      <w:pPr>
        <w:pStyle w:val="Heading2"/>
      </w:pPr>
      <w:r w:rsidRPr="00D6340F">
        <w:t>8.18.</w:t>
      </w:r>
      <w:r w:rsidR="00267CA3" w:rsidRPr="00D6340F">
        <w:t>1</w:t>
      </w:r>
      <w:r w:rsidR="00267CA3">
        <w:tab/>
      </w:r>
      <w:r w:rsidRPr="00D6340F">
        <w:t>Graves’ hyperthyroidism</w:t>
      </w:r>
    </w:p>
    <w:p w14:paraId="666AF54B" w14:textId="77777777" w:rsidR="00C605DA" w:rsidRPr="00D6340F" w:rsidRDefault="00C605DA" w:rsidP="00C02921">
      <w:pPr>
        <w:pStyle w:val="Heading4"/>
      </w:pPr>
      <w:r w:rsidRPr="00D6340F">
        <w:t>E05.0</w:t>
      </w:r>
    </w:p>
    <w:p w14:paraId="30511BE8" w14:textId="77777777" w:rsidR="00C605DA" w:rsidRPr="00D6340F" w:rsidRDefault="00C605DA" w:rsidP="00C605DA">
      <w:pPr>
        <w:rPr>
          <w:rFonts w:cs="Arial"/>
          <w:sz w:val="16"/>
          <w:szCs w:val="16"/>
          <w:lang w:val="en-GB"/>
        </w:rPr>
      </w:pPr>
    </w:p>
    <w:p w14:paraId="32A86F12" w14:textId="77777777" w:rsidR="00C605DA" w:rsidRPr="00D6340F" w:rsidRDefault="00C605DA" w:rsidP="00C605DA">
      <w:pPr>
        <w:rPr>
          <w:rFonts w:cs="Arial"/>
          <w:b/>
          <w:sz w:val="20"/>
          <w:szCs w:val="20"/>
          <w:lang w:val="en-GB"/>
        </w:rPr>
      </w:pPr>
      <w:r w:rsidRPr="00D6340F">
        <w:rPr>
          <w:rFonts w:cs="Arial"/>
          <w:b/>
          <w:sz w:val="20"/>
          <w:szCs w:val="20"/>
          <w:lang w:val="en-GB"/>
        </w:rPr>
        <w:t>MEDICINE TREATMENT</w:t>
      </w:r>
    </w:p>
    <w:p w14:paraId="02B9CC93" w14:textId="77777777" w:rsidR="00C605DA" w:rsidRPr="00D6340F" w:rsidRDefault="00C605DA" w:rsidP="00AB44A9">
      <w:pPr>
        <w:pStyle w:val="ep4"/>
        <w:tabs>
          <w:tab w:val="clear" w:pos="360"/>
          <w:tab w:val="num" w:pos="284"/>
        </w:tabs>
        <w:rPr>
          <w:lang w:val="en-GB"/>
        </w:rPr>
      </w:pPr>
      <w:r w:rsidRPr="00D6340F">
        <w:rPr>
          <w:lang w:val="en-GB"/>
        </w:rPr>
        <w:t xml:space="preserve">Carbimazole, oral, </w:t>
      </w:r>
      <w:r w:rsidR="00CF1E5F" w:rsidRPr="00D6340F">
        <w:rPr>
          <w:lang w:val="en-GB"/>
        </w:rPr>
        <w:t>20</w:t>
      </w:r>
      <w:r w:rsidR="0076217B" w:rsidRPr="00D6340F">
        <w:rPr>
          <w:lang w:val="en-GB"/>
        </w:rPr>
        <w:t>–40 mg daily</w:t>
      </w:r>
      <w:r w:rsidR="00CF1E5F" w:rsidRPr="00D6340F">
        <w:rPr>
          <w:lang w:val="en-GB"/>
        </w:rPr>
        <w:t>.</w:t>
      </w:r>
    </w:p>
    <w:p w14:paraId="2CE9DE5F" w14:textId="77777777" w:rsidR="00C15E52" w:rsidRPr="00D6340F" w:rsidRDefault="00C605DA" w:rsidP="007E4E67">
      <w:pPr>
        <w:numPr>
          <w:ilvl w:val="0"/>
          <w:numId w:val="49"/>
        </w:numPr>
        <w:ind w:left="567" w:hanging="283"/>
        <w:rPr>
          <w:rFonts w:cs="Arial"/>
          <w:lang w:val="en-GB"/>
        </w:rPr>
      </w:pPr>
      <w:r w:rsidRPr="00D6340F">
        <w:rPr>
          <w:rFonts w:cs="Arial"/>
          <w:lang w:val="en-GB"/>
        </w:rPr>
        <w:t>Titrate dose according to thyroid hormone levels (T</w:t>
      </w:r>
      <w:r w:rsidRPr="00D6340F">
        <w:rPr>
          <w:rFonts w:cs="Arial"/>
          <w:vertAlign w:val="subscript"/>
          <w:lang w:val="en-GB"/>
        </w:rPr>
        <w:t>4</w:t>
      </w:r>
      <w:r w:rsidRPr="00D6340F">
        <w:rPr>
          <w:rFonts w:cs="Arial"/>
          <w:lang w:val="en-GB"/>
        </w:rPr>
        <w:t>).</w:t>
      </w:r>
    </w:p>
    <w:p w14:paraId="2304BA7B" w14:textId="77777777" w:rsidR="00C15E52" w:rsidRPr="00D6340F" w:rsidRDefault="00C605DA" w:rsidP="007E4E67">
      <w:pPr>
        <w:numPr>
          <w:ilvl w:val="0"/>
          <w:numId w:val="49"/>
        </w:numPr>
        <w:ind w:left="567" w:hanging="283"/>
        <w:rPr>
          <w:rFonts w:cs="Arial"/>
          <w:lang w:val="en-GB"/>
        </w:rPr>
      </w:pPr>
      <w:r w:rsidRPr="00D6340F">
        <w:rPr>
          <w:rFonts w:cs="Arial"/>
          <w:lang w:val="en-GB"/>
        </w:rPr>
        <w:t>Duration of therapy: 12–18 months.</w:t>
      </w:r>
    </w:p>
    <w:p w14:paraId="0772D49B" w14:textId="77777777" w:rsidR="00C15E52" w:rsidRPr="00D6340F" w:rsidRDefault="0051428C" w:rsidP="007E4E67">
      <w:pPr>
        <w:numPr>
          <w:ilvl w:val="0"/>
          <w:numId w:val="49"/>
        </w:numPr>
        <w:ind w:left="567" w:hanging="283"/>
        <w:rPr>
          <w:rFonts w:cs="Arial"/>
          <w:lang w:val="en-GB"/>
        </w:rPr>
      </w:pPr>
      <w:r w:rsidRPr="00D6340F">
        <w:rPr>
          <w:rFonts w:cs="Arial"/>
          <w:lang w:val="en-GB"/>
        </w:rPr>
        <w:t>Durations of therapy longer than 1</w:t>
      </w:r>
      <w:r w:rsidR="003341F9" w:rsidRPr="00D6340F">
        <w:rPr>
          <w:rFonts w:cs="Arial"/>
          <w:lang w:val="en-GB"/>
        </w:rPr>
        <w:t>2</w:t>
      </w:r>
      <w:r w:rsidRPr="00D6340F">
        <w:rPr>
          <w:rFonts w:cs="Arial"/>
          <w:lang w:val="en-GB"/>
        </w:rPr>
        <w:t xml:space="preserve"> months must be in consultation with a specialist.</w:t>
      </w:r>
    </w:p>
    <w:p w14:paraId="5B530291" w14:textId="77777777" w:rsidR="00C605DA" w:rsidRPr="00D6340F" w:rsidRDefault="00C605DA" w:rsidP="00C605DA">
      <w:pPr>
        <w:rPr>
          <w:rFonts w:cs="Arial"/>
          <w:sz w:val="14"/>
          <w:lang w:val="en-GB"/>
        </w:rPr>
      </w:pPr>
    </w:p>
    <w:p w14:paraId="1A9660BA" w14:textId="77777777" w:rsidR="00E52735" w:rsidRDefault="00C605DA" w:rsidP="00C605DA">
      <w:pPr>
        <w:pStyle w:val="Heading7"/>
        <w:rPr>
          <w:lang w:val="en-GB"/>
        </w:rPr>
      </w:pPr>
      <w:r w:rsidRPr="00D6340F">
        <w:rPr>
          <w:lang w:val="en-GB"/>
        </w:rPr>
        <w:t>ß–blockers</w:t>
      </w:r>
    </w:p>
    <w:p w14:paraId="16097034" w14:textId="77777777" w:rsidR="00C605DA" w:rsidRPr="00D6340F" w:rsidRDefault="00C605DA" w:rsidP="007E4E67">
      <w:pPr>
        <w:pStyle w:val="ep4"/>
        <w:numPr>
          <w:ilvl w:val="0"/>
          <w:numId w:val="48"/>
        </w:numPr>
        <w:ind w:left="284" w:hanging="284"/>
        <w:rPr>
          <w:lang w:val="en-GB"/>
        </w:rPr>
      </w:pPr>
      <w:r w:rsidRPr="00D6340F">
        <w:rPr>
          <w:lang w:val="en-GB"/>
        </w:rPr>
        <w:t>Used to counteract excessive sympathetic symptoms, e.g. palpitations.</w:t>
      </w:r>
    </w:p>
    <w:p w14:paraId="032229F3" w14:textId="77777777" w:rsidR="00C605DA" w:rsidRPr="00D6340F" w:rsidRDefault="00C605DA" w:rsidP="007E4E67">
      <w:pPr>
        <w:pStyle w:val="ep4"/>
        <w:numPr>
          <w:ilvl w:val="0"/>
          <w:numId w:val="48"/>
        </w:numPr>
        <w:ind w:left="284" w:hanging="284"/>
        <w:rPr>
          <w:lang w:val="en-GB"/>
        </w:rPr>
      </w:pPr>
      <w:r w:rsidRPr="00D6340F">
        <w:rPr>
          <w:lang w:val="en-GB"/>
        </w:rPr>
        <w:t>Dose is titrated according to the heart rate.</w:t>
      </w:r>
    </w:p>
    <w:p w14:paraId="50B00573" w14:textId="77777777" w:rsidR="00C605DA" w:rsidRDefault="00C605DA" w:rsidP="007E4E67">
      <w:pPr>
        <w:pStyle w:val="ep4"/>
        <w:numPr>
          <w:ilvl w:val="0"/>
          <w:numId w:val="48"/>
        </w:numPr>
        <w:ind w:left="284" w:hanging="284"/>
        <w:rPr>
          <w:lang w:val="en-GB"/>
        </w:rPr>
      </w:pPr>
      <w:r w:rsidRPr="00D6340F">
        <w:rPr>
          <w:lang w:val="en-GB"/>
        </w:rPr>
        <w:t>Give for 2–6 weeks, together with carbimazole until T4 levels normalise.</w:t>
      </w:r>
    </w:p>
    <w:p w14:paraId="0BCDF323" w14:textId="77777777" w:rsidR="003D2DE8" w:rsidRPr="003D2DE8" w:rsidRDefault="003D2DE8" w:rsidP="00C605DA">
      <w:pPr>
        <w:rPr>
          <w:rFonts w:cs="Arial"/>
          <w:sz w:val="10"/>
          <w:szCs w:val="10"/>
          <w:lang w:val="en-GB"/>
        </w:rPr>
      </w:pPr>
    </w:p>
    <w:p w14:paraId="76F52E79" w14:textId="77777777" w:rsidR="00F42001" w:rsidRPr="003D2DE8" w:rsidRDefault="003D2DE8" w:rsidP="007E4E67">
      <w:pPr>
        <w:pStyle w:val="ListParagraph"/>
        <w:numPr>
          <w:ilvl w:val="0"/>
          <w:numId w:val="57"/>
        </w:numPr>
        <w:spacing w:line="240" w:lineRule="auto"/>
        <w:ind w:left="284" w:hanging="284"/>
        <w:rPr>
          <w:rFonts w:ascii="Arial" w:hAnsi="Arial" w:cs="Arial"/>
          <w:sz w:val="18"/>
          <w:szCs w:val="18"/>
          <w:lang w:val="en-GB"/>
        </w:rPr>
      </w:pPr>
      <w:r w:rsidRPr="003D2DE8">
        <w:rPr>
          <w:rFonts w:ascii="Arial" w:hAnsi="Arial" w:cs="Arial"/>
          <w:sz w:val="18"/>
          <w:szCs w:val="18"/>
          <w:lang w:val="en-GB"/>
        </w:rPr>
        <w:t>ß–blocker, e.g.:</w:t>
      </w:r>
    </w:p>
    <w:p w14:paraId="3704D0F8" w14:textId="77777777" w:rsidR="00C605DA" w:rsidRPr="00D6340F" w:rsidRDefault="00C605DA" w:rsidP="00C605DA">
      <w:pPr>
        <w:pStyle w:val="ep4"/>
        <w:rPr>
          <w:lang w:val="en-GB"/>
        </w:rPr>
      </w:pPr>
      <w:r w:rsidRPr="00D6340F">
        <w:rPr>
          <w:lang w:val="en-GB"/>
        </w:rPr>
        <w:t xml:space="preserve">Atenolol, oral, 50 mg daily. </w:t>
      </w: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850446" w:rsidRPr="00850446" w14:paraId="556AB46E" w14:textId="77777777" w:rsidTr="007A52FA">
        <w:tc>
          <w:tcPr>
            <w:tcW w:w="1134" w:type="dxa"/>
            <w:shd w:val="clear" w:color="auto" w:fill="auto"/>
          </w:tcPr>
          <w:p w14:paraId="4ED17B0E" w14:textId="77777777" w:rsidR="00850446" w:rsidRPr="00850446" w:rsidRDefault="00850446" w:rsidP="007A52FA">
            <w:pPr>
              <w:jc w:val="right"/>
              <w:rPr>
                <w:b/>
                <w:i/>
                <w:sz w:val="16"/>
                <w:lang w:val="en-GB"/>
              </w:rPr>
            </w:pPr>
            <w:proofErr w:type="spellStart"/>
            <w:proofErr w:type="gramStart"/>
            <w:r w:rsidRPr="00850446">
              <w:rPr>
                <w:i/>
                <w:sz w:val="16"/>
                <w:lang w:val="en-GB"/>
              </w:rPr>
              <w:lastRenderedPageBreak/>
              <w:t>LoE:I</w:t>
            </w:r>
            <w:r w:rsidR="00917115">
              <w:rPr>
                <w:i/>
                <w:sz w:val="16"/>
                <w:lang w:val="en-GB"/>
              </w:rPr>
              <w:t>I</w:t>
            </w:r>
            <w:r w:rsidRPr="00850446">
              <w:rPr>
                <w:i/>
                <w:sz w:val="16"/>
                <w:lang w:val="en-GB"/>
              </w:rPr>
              <w:t>I</w:t>
            </w:r>
            <w:proofErr w:type="spellEnd"/>
            <w:proofErr w:type="gramEnd"/>
            <w:r>
              <w:rPr>
                <w:rStyle w:val="EndnoteReference"/>
                <w:i/>
                <w:sz w:val="16"/>
                <w:lang w:val="en-GB"/>
              </w:rPr>
              <w:endnoteReference w:id="42"/>
            </w:r>
          </w:p>
        </w:tc>
      </w:tr>
    </w:tbl>
    <w:p w14:paraId="7998D2D3" w14:textId="77777777" w:rsidR="00F42001" w:rsidRPr="002A1BA4" w:rsidRDefault="00C605DA" w:rsidP="007E4E67">
      <w:pPr>
        <w:numPr>
          <w:ilvl w:val="0"/>
          <w:numId w:val="50"/>
        </w:numPr>
        <w:ind w:left="567" w:hanging="283"/>
        <w:rPr>
          <w:rFonts w:cs="Arial"/>
          <w:spacing w:val="-4"/>
          <w:lang w:val="en-GB"/>
        </w:rPr>
      </w:pPr>
      <w:r w:rsidRPr="002A1BA4">
        <w:rPr>
          <w:rFonts w:cs="Arial"/>
          <w:spacing w:val="-4"/>
          <w:lang w:val="en-GB"/>
        </w:rPr>
        <w:t xml:space="preserve">Titrate according to symptom control up to </w:t>
      </w:r>
      <w:r w:rsidR="00A653AD" w:rsidRPr="002A1BA4">
        <w:rPr>
          <w:rFonts w:cs="Arial"/>
          <w:spacing w:val="-4"/>
          <w:lang w:val="en-GB"/>
        </w:rPr>
        <w:t>10</w:t>
      </w:r>
      <w:r w:rsidRPr="002A1BA4">
        <w:rPr>
          <w:rFonts w:cs="Arial"/>
          <w:spacing w:val="-4"/>
          <w:lang w:val="en-GB"/>
        </w:rPr>
        <w:t xml:space="preserve">0 mg </w:t>
      </w:r>
      <w:r w:rsidR="00A653AD" w:rsidRPr="002A1BA4">
        <w:rPr>
          <w:rFonts w:cs="Arial"/>
          <w:spacing w:val="-4"/>
          <w:lang w:val="en-GB"/>
        </w:rPr>
        <w:t>daily</w:t>
      </w:r>
      <w:r w:rsidRPr="002A1BA4">
        <w:rPr>
          <w:rFonts w:cs="Arial"/>
          <w:spacing w:val="-4"/>
          <w:lang w:val="en-GB"/>
        </w:rPr>
        <w:t>.</w:t>
      </w:r>
    </w:p>
    <w:p w14:paraId="76DCD3F2" w14:textId="77777777" w:rsidR="00C605DA" w:rsidRPr="00D6340F" w:rsidRDefault="00C605DA" w:rsidP="00C605DA">
      <w:pPr>
        <w:rPr>
          <w:rFonts w:cs="Arial"/>
          <w:sz w:val="14"/>
          <w:lang w:val="en-GB"/>
        </w:rPr>
      </w:pPr>
    </w:p>
    <w:p w14:paraId="10BBEF51" w14:textId="77777777" w:rsidR="00C605DA" w:rsidRPr="00D6340F" w:rsidRDefault="00C605DA" w:rsidP="002A1BA4">
      <w:pPr>
        <w:pStyle w:val="Heading7"/>
        <w:keepNext w:val="0"/>
        <w:rPr>
          <w:lang w:val="en-GB"/>
        </w:rPr>
      </w:pPr>
      <w:r w:rsidRPr="00D6340F">
        <w:rPr>
          <w:lang w:val="en-GB"/>
        </w:rPr>
        <w:t>Radioactive iodine</w:t>
      </w:r>
    </w:p>
    <w:p w14:paraId="14D8A868" w14:textId="77777777" w:rsidR="00C605DA" w:rsidRDefault="00C605DA" w:rsidP="002A1BA4">
      <w:pPr>
        <w:widowControl w:val="0"/>
        <w:rPr>
          <w:rFonts w:cs="Arial"/>
          <w:lang w:val="en-GB"/>
        </w:rPr>
      </w:pPr>
      <w:r w:rsidRPr="00D6340F">
        <w:rPr>
          <w:rFonts w:cs="Arial"/>
          <w:lang w:val="en-GB"/>
        </w:rPr>
        <w:t xml:space="preserve">In the setting of Graves’ disease radioactive iodine may be administered for failed medical therapy and may be indicated for patients with coexistent heart disease. </w:t>
      </w:r>
      <w:r w:rsidR="00F42001">
        <w:rPr>
          <w:rFonts w:cs="Arial"/>
          <w:lang w:val="en-GB"/>
        </w:rPr>
        <w:t xml:space="preserve">Refer </w:t>
      </w:r>
      <w:r w:rsidR="003D2DE8">
        <w:rPr>
          <w:rFonts w:cs="Arial"/>
          <w:lang w:val="en-GB"/>
        </w:rPr>
        <w:t xml:space="preserve">patient if </w:t>
      </w:r>
      <w:r w:rsidR="00F42001">
        <w:rPr>
          <w:rFonts w:cs="Arial"/>
          <w:lang w:val="en-GB"/>
        </w:rPr>
        <w:t>radioactive treatment is contemplated.</w:t>
      </w:r>
    </w:p>
    <w:p w14:paraId="56C1572D" w14:textId="77777777" w:rsidR="00A54060" w:rsidRPr="00A54060" w:rsidRDefault="00A54060" w:rsidP="002A1BA4">
      <w:pPr>
        <w:widowControl w:val="0"/>
        <w:rPr>
          <w:rFonts w:cs="Arial"/>
          <w:sz w:val="10"/>
          <w:szCs w:val="10"/>
          <w:lang w:val="en-GB"/>
        </w:rPr>
      </w:pPr>
    </w:p>
    <w:p w14:paraId="523A386E" w14:textId="77777777" w:rsidR="00C605DA" w:rsidRPr="00D6340F" w:rsidRDefault="00C605DA" w:rsidP="003D2DE8">
      <w:pPr>
        <w:pStyle w:val="Heading6"/>
        <w:keepNext w:val="0"/>
        <w:rPr>
          <w:rFonts w:cs="Arial"/>
        </w:rPr>
      </w:pPr>
      <w:r w:rsidRPr="00D6340F">
        <w:rPr>
          <w:rFonts w:cs="Arial"/>
        </w:rPr>
        <w:t>Surgery</w:t>
      </w:r>
    </w:p>
    <w:p w14:paraId="1E93C10F" w14:textId="77777777" w:rsidR="001F3394" w:rsidRPr="00D6340F" w:rsidRDefault="00E52735" w:rsidP="003D2DE8">
      <w:pPr>
        <w:rPr>
          <w:rFonts w:cs="Arial"/>
          <w:color w:val="FF6600"/>
          <w:lang w:val="en-GB"/>
        </w:rPr>
      </w:pPr>
      <w:r w:rsidRPr="003D2DE8">
        <w:rPr>
          <w:rFonts w:cs="Arial"/>
          <w:color w:val="auto"/>
          <w:lang w:val="en-GB"/>
        </w:rPr>
        <w:t xml:space="preserve">Seldom indicated, but to </w:t>
      </w:r>
      <w:r w:rsidR="00AC01B0">
        <w:rPr>
          <w:rFonts w:cs="Arial"/>
          <w:lang w:val="en-GB"/>
        </w:rPr>
        <w:t>c</w:t>
      </w:r>
      <w:r w:rsidR="001F3394" w:rsidRPr="00D6340F">
        <w:rPr>
          <w:rFonts w:cs="Arial"/>
          <w:lang w:val="en-GB"/>
        </w:rPr>
        <w:t xml:space="preserve">onsider </w:t>
      </w:r>
      <w:r w:rsidR="001F3394" w:rsidRPr="00D6340F">
        <w:rPr>
          <w:rFonts w:cs="Arial"/>
          <w:color w:val="auto"/>
          <w:lang w:val="en-GB"/>
        </w:rPr>
        <w:t xml:space="preserve">in </w:t>
      </w:r>
      <w:r w:rsidR="001F3394" w:rsidRPr="00D6340F">
        <w:rPr>
          <w:rFonts w:cs="Arial"/>
          <w:lang w:val="en-GB"/>
        </w:rPr>
        <w:t>the following situations: large thyroid causing obstructive symptoms, failure of anti</w:t>
      </w:r>
      <w:r w:rsidR="0072422C" w:rsidRPr="00D6340F">
        <w:rPr>
          <w:rFonts w:cs="Arial"/>
          <w:lang w:val="en-GB"/>
        </w:rPr>
        <w:t>-</w:t>
      </w:r>
      <w:r w:rsidR="001F3394" w:rsidRPr="00D6340F">
        <w:rPr>
          <w:rFonts w:cs="Arial"/>
          <w:lang w:val="en-GB"/>
        </w:rPr>
        <w:t>thyroid medic</w:t>
      </w:r>
      <w:r w:rsidR="00DC2DDA" w:rsidRPr="00D6340F">
        <w:rPr>
          <w:rFonts w:cs="Arial"/>
          <w:lang w:val="en-GB"/>
        </w:rPr>
        <w:t>in</w:t>
      </w:r>
      <w:r w:rsidR="001F3394" w:rsidRPr="00D6340F">
        <w:rPr>
          <w:rFonts w:cs="Arial"/>
          <w:lang w:val="en-GB"/>
        </w:rPr>
        <w:t>e therapy, allergy to anti</w:t>
      </w:r>
      <w:r w:rsidR="0072422C" w:rsidRPr="00D6340F">
        <w:rPr>
          <w:rFonts w:cs="Arial"/>
          <w:lang w:val="en-GB"/>
        </w:rPr>
        <w:t>-</w:t>
      </w:r>
      <w:r w:rsidR="001F3394" w:rsidRPr="00D6340F">
        <w:rPr>
          <w:rFonts w:cs="Arial"/>
          <w:lang w:val="en-GB"/>
        </w:rPr>
        <w:t>thyroid therapy, 2</w:t>
      </w:r>
      <w:r w:rsidR="001F3394" w:rsidRPr="00D6340F">
        <w:rPr>
          <w:rFonts w:cs="Arial"/>
          <w:vertAlign w:val="superscript"/>
          <w:lang w:val="en-GB"/>
        </w:rPr>
        <w:t>nd</w:t>
      </w:r>
      <w:r w:rsidR="001F3394" w:rsidRPr="00D6340F">
        <w:rPr>
          <w:rFonts w:cs="Arial"/>
          <w:lang w:val="en-GB"/>
        </w:rPr>
        <w:t xml:space="preserve"> trimester of pregnancy</w:t>
      </w:r>
      <w:r w:rsidR="00CD75BE">
        <w:rPr>
          <w:rFonts w:cs="Arial"/>
          <w:lang w:val="en-GB"/>
        </w:rPr>
        <w:t>,</w:t>
      </w:r>
      <w:r w:rsidR="001F3394" w:rsidRPr="00D6340F">
        <w:rPr>
          <w:rFonts w:cs="Arial"/>
          <w:lang w:val="en-GB"/>
        </w:rPr>
        <w:t xml:space="preserve"> and not responding to or allergic to anti-thyroid medication.</w:t>
      </w:r>
    </w:p>
    <w:p w14:paraId="256221E9" w14:textId="77777777" w:rsidR="00C605DA" w:rsidRPr="002A1BA4" w:rsidRDefault="00C605DA" w:rsidP="00C605DA">
      <w:pPr>
        <w:rPr>
          <w:rFonts w:cs="Arial"/>
          <w:sz w:val="10"/>
          <w:lang w:val="en-GB"/>
        </w:rPr>
      </w:pPr>
    </w:p>
    <w:p w14:paraId="40BBA9BB" w14:textId="77777777" w:rsidR="00C605DA" w:rsidRPr="00D6340F" w:rsidRDefault="00C605DA" w:rsidP="00C605DA">
      <w:pPr>
        <w:pStyle w:val="Heading6"/>
        <w:rPr>
          <w:rFonts w:cs="Arial"/>
        </w:rPr>
      </w:pPr>
      <w:r w:rsidRPr="00D6340F">
        <w:rPr>
          <w:rFonts w:cs="Arial"/>
        </w:rPr>
        <w:t>Monitoring</w:t>
      </w:r>
    </w:p>
    <w:p w14:paraId="7A6B4CB6" w14:textId="77777777" w:rsidR="00C605DA" w:rsidRDefault="00C605DA" w:rsidP="00C605DA">
      <w:pPr>
        <w:rPr>
          <w:rFonts w:cs="Arial"/>
          <w:lang w:val="en-GB"/>
        </w:rPr>
      </w:pPr>
      <w:r w:rsidRPr="00D6340F">
        <w:rPr>
          <w:rFonts w:cs="Arial"/>
          <w:lang w:val="en-GB"/>
        </w:rPr>
        <w:t>Patients with Graves’ disease who are treated with anti</w:t>
      </w:r>
      <w:r w:rsidR="0072422C" w:rsidRPr="00D6340F">
        <w:rPr>
          <w:rFonts w:cs="Arial"/>
          <w:lang w:val="en-GB"/>
        </w:rPr>
        <w:t>-</w:t>
      </w:r>
      <w:r w:rsidRPr="00D6340F">
        <w:rPr>
          <w:rFonts w:cs="Arial"/>
          <w:lang w:val="en-GB"/>
        </w:rPr>
        <w:t>thyroid drugs should be monitored every 6–8 weeks using a serum T</w:t>
      </w:r>
      <w:r w:rsidRPr="00D6340F">
        <w:rPr>
          <w:rFonts w:cs="Arial"/>
          <w:vertAlign w:val="subscript"/>
          <w:lang w:val="en-GB"/>
        </w:rPr>
        <w:t xml:space="preserve">4. </w:t>
      </w:r>
      <w:r w:rsidRPr="00D6340F">
        <w:rPr>
          <w:rFonts w:cs="Arial"/>
          <w:lang w:val="en-GB"/>
        </w:rPr>
        <w:t xml:space="preserve">TSH may remain suppressed for months. Once in remission, patients may be monitored less frequently to determine signs and symptoms of recrudescence of thyrotoxicosis. </w:t>
      </w:r>
    </w:p>
    <w:p w14:paraId="016AE3E6" w14:textId="77777777" w:rsidR="00C605DA" w:rsidRPr="002A1BA4" w:rsidRDefault="00C605DA" w:rsidP="00C605DA">
      <w:pPr>
        <w:rPr>
          <w:rFonts w:cs="Arial"/>
          <w:sz w:val="6"/>
          <w:lang w:val="en-GB"/>
        </w:rPr>
      </w:pPr>
    </w:p>
    <w:p w14:paraId="7CB592BE" w14:textId="77777777" w:rsidR="00C605DA" w:rsidRDefault="00C605DA" w:rsidP="00C605DA">
      <w:pPr>
        <w:rPr>
          <w:rFonts w:cs="Arial"/>
          <w:spacing w:val="-2"/>
          <w:lang w:val="en-GB"/>
        </w:rPr>
      </w:pPr>
      <w:r w:rsidRPr="00D6340F">
        <w:rPr>
          <w:rFonts w:cs="Arial"/>
          <w:spacing w:val="-2"/>
          <w:lang w:val="en-GB"/>
        </w:rPr>
        <w:t xml:space="preserve">Because there is a risk of neutropenia or agranulocytosis with carbimazole, therapy should be temporarily </w:t>
      </w:r>
      <w:proofErr w:type="gramStart"/>
      <w:r w:rsidRPr="00D6340F">
        <w:rPr>
          <w:rFonts w:cs="Arial"/>
          <w:spacing w:val="-2"/>
          <w:lang w:val="en-GB"/>
        </w:rPr>
        <w:t>stopped</w:t>
      </w:r>
      <w:proofErr w:type="gramEnd"/>
      <w:r w:rsidRPr="00D6340F">
        <w:rPr>
          <w:rFonts w:cs="Arial"/>
          <w:spacing w:val="-2"/>
          <w:lang w:val="en-GB"/>
        </w:rPr>
        <w:t xml:space="preserve"> and a white cell count (with differential) must be done in patients presenting with an infection or sore throat.</w:t>
      </w:r>
    </w:p>
    <w:p w14:paraId="5CCB78F6" w14:textId="77777777" w:rsidR="002E6931" w:rsidRPr="002A1BA4" w:rsidRDefault="002E6931" w:rsidP="00C605DA">
      <w:pPr>
        <w:rPr>
          <w:rFonts w:cs="Arial"/>
          <w:sz w:val="6"/>
          <w:lang w:val="en-GB"/>
        </w:rPr>
      </w:pPr>
    </w:p>
    <w:p w14:paraId="04EC5701" w14:textId="77777777" w:rsidR="00C605DA" w:rsidRPr="00D6340F" w:rsidRDefault="00C605DA" w:rsidP="00C605DA">
      <w:pPr>
        <w:rPr>
          <w:rFonts w:cs="Arial"/>
          <w:lang w:val="en-GB"/>
        </w:rPr>
      </w:pPr>
      <w:r w:rsidRPr="00D6340F">
        <w:rPr>
          <w:rFonts w:cs="Arial"/>
          <w:lang w:val="en-GB"/>
        </w:rPr>
        <w:t xml:space="preserve">Post-radio-active iodine TSH and </w:t>
      </w:r>
      <w:r w:rsidR="0072422C" w:rsidRPr="00D6340F">
        <w:rPr>
          <w:rFonts w:cs="Arial"/>
          <w:color w:val="auto"/>
          <w:lang w:val="en-GB"/>
        </w:rPr>
        <w:t xml:space="preserve">free </w:t>
      </w:r>
      <w:r w:rsidRPr="00D6340F">
        <w:rPr>
          <w:rFonts w:cs="Arial"/>
          <w:lang w:val="en-GB"/>
        </w:rPr>
        <w:t>T</w:t>
      </w:r>
      <w:r w:rsidRPr="00D6340F">
        <w:rPr>
          <w:rFonts w:cs="Arial"/>
          <w:vertAlign w:val="subscript"/>
          <w:lang w:val="en-GB"/>
        </w:rPr>
        <w:t>4</w:t>
      </w:r>
      <w:r w:rsidRPr="00D6340F">
        <w:rPr>
          <w:rFonts w:cs="Arial"/>
          <w:lang w:val="en-GB"/>
        </w:rPr>
        <w:t xml:space="preserve"> should be checked at 6 weeks, 3, 6, 9 and 12 months and annually thereafter until either hypothyroidism occurs or patient remains euthyroid for ± 3–4 years.  Although uncommon, </w:t>
      </w:r>
      <w:r w:rsidR="005603F8" w:rsidRPr="005603F8">
        <w:rPr>
          <w:rFonts w:cs="Arial"/>
          <w:color w:val="4F6228" w:themeColor="accent3" w:themeShade="80"/>
          <w:u w:val="single"/>
          <w:lang w:val="en-GB"/>
        </w:rPr>
        <w:t>new onset</w:t>
      </w:r>
      <w:r w:rsidR="005603F8">
        <w:rPr>
          <w:rFonts w:cs="Arial"/>
          <w:color w:val="4F6228" w:themeColor="accent3" w:themeShade="80"/>
          <w:u w:val="single"/>
          <w:lang w:val="en-GB"/>
        </w:rPr>
        <w:t xml:space="preserve"> </w:t>
      </w:r>
      <w:r w:rsidRPr="00D6340F">
        <w:rPr>
          <w:rFonts w:cs="Arial"/>
          <w:lang w:val="en-GB"/>
        </w:rPr>
        <w:t>hypothyroidism can occur years later.</w:t>
      </w:r>
    </w:p>
    <w:p w14:paraId="79D26879" w14:textId="77777777" w:rsidR="00EA195F" w:rsidRPr="00D6340F" w:rsidRDefault="00EA195F" w:rsidP="00C605DA">
      <w:pPr>
        <w:rPr>
          <w:rFonts w:cs="Arial"/>
          <w:lang w:val="en-GB"/>
        </w:rPr>
      </w:pPr>
    </w:p>
    <w:p w14:paraId="17FEE31E" w14:textId="77777777" w:rsidR="00C605DA" w:rsidRPr="00D6340F" w:rsidRDefault="00C605DA" w:rsidP="002F182D">
      <w:pPr>
        <w:pStyle w:val="Heading2"/>
      </w:pPr>
      <w:r w:rsidRPr="00D6340F">
        <w:t>8.18.</w:t>
      </w:r>
      <w:r w:rsidR="00267CA3" w:rsidRPr="00D6340F">
        <w:t>2</w:t>
      </w:r>
      <w:r w:rsidR="00267CA3">
        <w:tab/>
      </w:r>
      <w:r w:rsidR="00267CA3">
        <w:tab/>
      </w:r>
      <w:r w:rsidRPr="00D6340F">
        <w:t>Toxic multinodular goiter</w:t>
      </w:r>
    </w:p>
    <w:p w14:paraId="285BC4CD" w14:textId="77777777" w:rsidR="00C605DA" w:rsidRPr="00D6340F" w:rsidRDefault="00C605DA" w:rsidP="00C02921">
      <w:pPr>
        <w:pStyle w:val="Heading4"/>
      </w:pPr>
      <w:r w:rsidRPr="00D6340F">
        <w:t>E05.2</w:t>
      </w:r>
    </w:p>
    <w:p w14:paraId="6399AA36" w14:textId="77777777" w:rsidR="00C605DA" w:rsidRPr="002A1BA4" w:rsidRDefault="00C605DA" w:rsidP="00C605DA">
      <w:pPr>
        <w:rPr>
          <w:rFonts w:cs="Arial"/>
          <w:sz w:val="16"/>
          <w:szCs w:val="16"/>
          <w:lang w:val="en-GB"/>
        </w:rPr>
      </w:pPr>
    </w:p>
    <w:p w14:paraId="1923CD3C" w14:textId="77777777" w:rsidR="00C605DA" w:rsidRPr="00D6340F" w:rsidRDefault="00C605DA" w:rsidP="00C605DA">
      <w:pPr>
        <w:rPr>
          <w:rFonts w:cs="Arial"/>
          <w:b/>
          <w:sz w:val="20"/>
          <w:szCs w:val="20"/>
          <w:lang w:val="en-GB"/>
        </w:rPr>
      </w:pPr>
      <w:r w:rsidRPr="00D6340F">
        <w:rPr>
          <w:rFonts w:cs="Arial"/>
          <w:b/>
          <w:sz w:val="20"/>
          <w:szCs w:val="20"/>
          <w:lang w:val="en-GB"/>
        </w:rPr>
        <w:t>MEDICINE TREATMENT</w:t>
      </w:r>
    </w:p>
    <w:p w14:paraId="0D8534B1" w14:textId="77777777" w:rsidR="00C605DA" w:rsidRPr="00D6340F" w:rsidRDefault="00C605DA" w:rsidP="00C605DA">
      <w:pPr>
        <w:pStyle w:val="Heading7"/>
        <w:rPr>
          <w:lang w:val="en-GB"/>
        </w:rPr>
      </w:pPr>
      <w:r w:rsidRPr="00D6340F">
        <w:rPr>
          <w:lang w:val="en-GB"/>
        </w:rPr>
        <w:t>Radio-active iodine</w:t>
      </w:r>
    </w:p>
    <w:p w14:paraId="4A431F20" w14:textId="77777777" w:rsidR="00C605DA" w:rsidRPr="00D6340F" w:rsidRDefault="00C605DA" w:rsidP="00C605DA">
      <w:pPr>
        <w:rPr>
          <w:rFonts w:cs="Arial"/>
          <w:spacing w:val="-4"/>
          <w:lang w:val="en-GB"/>
        </w:rPr>
      </w:pPr>
      <w:r w:rsidRPr="00D6340F">
        <w:rPr>
          <w:rFonts w:cs="Arial"/>
          <w:spacing w:val="-4"/>
          <w:lang w:val="en-GB"/>
        </w:rPr>
        <w:t xml:space="preserve">Radioactive iodine is the treatment of choice.  Medical therapy is indicated initially for patients with underlying heart disease to achieve </w:t>
      </w:r>
      <w:proofErr w:type="spellStart"/>
      <w:r w:rsidRPr="00D6340F">
        <w:rPr>
          <w:rFonts w:cs="Arial"/>
          <w:spacing w:val="-4"/>
          <w:lang w:val="en-GB"/>
        </w:rPr>
        <w:t>euthyroidism</w:t>
      </w:r>
      <w:proofErr w:type="spellEnd"/>
      <w:r w:rsidRPr="00D6340F">
        <w:rPr>
          <w:rFonts w:cs="Arial"/>
          <w:spacing w:val="-4"/>
          <w:lang w:val="en-GB"/>
        </w:rPr>
        <w:t xml:space="preserve"> before radio-active iodine.  Surgery is restricted to patients with obstructive symptoms.</w:t>
      </w:r>
    </w:p>
    <w:p w14:paraId="0C0DEAA4" w14:textId="77777777" w:rsidR="00C605DA" w:rsidRDefault="00C605DA" w:rsidP="00C605DA">
      <w:pPr>
        <w:rPr>
          <w:rFonts w:cs="Arial"/>
          <w:lang w:val="en-GB"/>
        </w:rPr>
      </w:pPr>
    </w:p>
    <w:p w14:paraId="0CEF4B28" w14:textId="77777777" w:rsidR="00C605DA" w:rsidRPr="00D6340F" w:rsidRDefault="00C605DA" w:rsidP="00110944">
      <w:pPr>
        <w:pStyle w:val="Heading2"/>
      </w:pPr>
      <w:r w:rsidRPr="00D6340F">
        <w:t>8.18.</w:t>
      </w:r>
      <w:r w:rsidR="00267CA3" w:rsidRPr="00D6340F">
        <w:t>3</w:t>
      </w:r>
      <w:r w:rsidR="00267CA3">
        <w:tab/>
      </w:r>
      <w:r w:rsidR="00267CA3">
        <w:tab/>
      </w:r>
      <w:r w:rsidRPr="00D6340F">
        <w:t>single toxic nodules</w:t>
      </w:r>
    </w:p>
    <w:p w14:paraId="5322EC23" w14:textId="77777777" w:rsidR="00C605DA" w:rsidRPr="00D6340F" w:rsidRDefault="00C605DA" w:rsidP="00C02921">
      <w:pPr>
        <w:pStyle w:val="Heading4"/>
      </w:pPr>
      <w:r w:rsidRPr="00D6340F">
        <w:t>E05.1</w:t>
      </w:r>
    </w:p>
    <w:p w14:paraId="7DC9D3CD" w14:textId="77777777" w:rsidR="00C605DA" w:rsidRPr="002A1BA4" w:rsidRDefault="00C605DA" w:rsidP="00C605DA">
      <w:pPr>
        <w:rPr>
          <w:rFonts w:cs="Arial"/>
          <w:sz w:val="16"/>
          <w:lang w:val="en-GB"/>
        </w:rPr>
      </w:pPr>
    </w:p>
    <w:p w14:paraId="42CF5E8D" w14:textId="77777777" w:rsidR="00C605DA" w:rsidRPr="00D6340F" w:rsidRDefault="00C605DA" w:rsidP="00955730">
      <w:pPr>
        <w:widowControl w:val="0"/>
        <w:rPr>
          <w:rFonts w:cs="Arial"/>
          <w:b/>
          <w:sz w:val="20"/>
          <w:szCs w:val="20"/>
          <w:lang w:val="en-GB"/>
        </w:rPr>
      </w:pPr>
      <w:r w:rsidRPr="00D6340F">
        <w:rPr>
          <w:rFonts w:cs="Arial"/>
          <w:b/>
          <w:sz w:val="20"/>
          <w:szCs w:val="20"/>
          <w:lang w:val="en-GB"/>
        </w:rPr>
        <w:t>MEDICINE TREATMENT</w:t>
      </w:r>
    </w:p>
    <w:p w14:paraId="286B2376" w14:textId="77777777" w:rsidR="00C605DA" w:rsidRPr="00D6340F" w:rsidRDefault="00C605DA" w:rsidP="00955730">
      <w:pPr>
        <w:pStyle w:val="Heading7"/>
        <w:keepNext w:val="0"/>
        <w:rPr>
          <w:lang w:val="en-GB"/>
        </w:rPr>
      </w:pPr>
      <w:r w:rsidRPr="00D6340F">
        <w:rPr>
          <w:lang w:val="en-GB"/>
        </w:rPr>
        <w:t>Radioactive iodine</w:t>
      </w:r>
    </w:p>
    <w:p w14:paraId="313C3059" w14:textId="77777777" w:rsidR="00C605DA" w:rsidRPr="00D6340F" w:rsidRDefault="00C605DA" w:rsidP="00C605DA">
      <w:pPr>
        <w:rPr>
          <w:rFonts w:cs="Arial"/>
          <w:lang w:val="en-GB"/>
        </w:rPr>
      </w:pPr>
      <w:r w:rsidRPr="00D6340F">
        <w:rPr>
          <w:rFonts w:cs="Arial"/>
          <w:lang w:val="en-GB"/>
        </w:rPr>
        <w:t>Smaller nodules are best managed with radio-active iodine while larger nodules may require surgery.</w:t>
      </w:r>
    </w:p>
    <w:p w14:paraId="6D178EEF" w14:textId="77777777" w:rsidR="00C605DA" w:rsidRPr="002A1BA4" w:rsidRDefault="00C605DA" w:rsidP="00C605DA">
      <w:pPr>
        <w:rPr>
          <w:rFonts w:cs="Arial"/>
          <w:sz w:val="10"/>
          <w:lang w:val="en-GB"/>
        </w:rPr>
      </w:pPr>
    </w:p>
    <w:p w14:paraId="3BD36767" w14:textId="77777777" w:rsidR="00C605DA" w:rsidRPr="00D6340F" w:rsidRDefault="00C605DA" w:rsidP="00C605DA">
      <w:pPr>
        <w:pStyle w:val="Heading7"/>
        <w:rPr>
          <w:lang w:val="en-GB"/>
        </w:rPr>
      </w:pPr>
      <w:r w:rsidRPr="00D6340F">
        <w:rPr>
          <w:lang w:val="en-GB"/>
        </w:rPr>
        <w:t>ß–blockers</w:t>
      </w:r>
    </w:p>
    <w:p w14:paraId="3832A892" w14:textId="77777777" w:rsidR="00C605DA" w:rsidRPr="005C0DFE" w:rsidRDefault="00C605DA" w:rsidP="007E4E67">
      <w:pPr>
        <w:pStyle w:val="ListParagraph"/>
        <w:numPr>
          <w:ilvl w:val="0"/>
          <w:numId w:val="55"/>
        </w:numPr>
        <w:spacing w:line="240" w:lineRule="auto"/>
        <w:rPr>
          <w:rFonts w:ascii="Arial" w:hAnsi="Arial" w:cs="Arial"/>
          <w:sz w:val="18"/>
          <w:szCs w:val="18"/>
          <w:lang w:val="en-GB"/>
        </w:rPr>
      </w:pPr>
      <w:r w:rsidRPr="005C0DFE">
        <w:rPr>
          <w:rFonts w:ascii="Arial" w:hAnsi="Arial" w:cs="Arial"/>
          <w:sz w:val="18"/>
          <w:szCs w:val="18"/>
          <w:lang w:val="en-GB"/>
        </w:rPr>
        <w:t>Used to counteract excessive sympathetic symptoms, e.g. palpitations.</w:t>
      </w:r>
    </w:p>
    <w:p w14:paraId="0A79ADD4" w14:textId="77777777" w:rsidR="00C605DA" w:rsidRPr="005C0DFE" w:rsidRDefault="00C605DA" w:rsidP="007E4E67">
      <w:pPr>
        <w:pStyle w:val="ListParagraph"/>
        <w:numPr>
          <w:ilvl w:val="0"/>
          <w:numId w:val="55"/>
        </w:numPr>
        <w:spacing w:line="240" w:lineRule="auto"/>
        <w:rPr>
          <w:rFonts w:ascii="Arial" w:hAnsi="Arial" w:cs="Arial"/>
          <w:sz w:val="18"/>
          <w:szCs w:val="18"/>
          <w:lang w:val="en-GB"/>
        </w:rPr>
      </w:pPr>
      <w:r w:rsidRPr="005C0DFE">
        <w:rPr>
          <w:rFonts w:ascii="Arial" w:hAnsi="Arial" w:cs="Arial"/>
          <w:sz w:val="18"/>
          <w:szCs w:val="18"/>
          <w:lang w:val="en-GB"/>
        </w:rPr>
        <w:t>Dose is titrated according to the heart rate.</w:t>
      </w:r>
    </w:p>
    <w:p w14:paraId="790E47BF" w14:textId="77777777" w:rsidR="003D2DE8" w:rsidRPr="005C0DFE" w:rsidRDefault="00C605DA" w:rsidP="007E4E67">
      <w:pPr>
        <w:pStyle w:val="ListParagraph"/>
        <w:numPr>
          <w:ilvl w:val="0"/>
          <w:numId w:val="55"/>
        </w:numPr>
        <w:spacing w:line="240" w:lineRule="auto"/>
        <w:rPr>
          <w:rFonts w:ascii="Arial" w:hAnsi="Arial" w:cs="Arial"/>
          <w:sz w:val="18"/>
          <w:szCs w:val="18"/>
          <w:lang w:val="en-GB"/>
        </w:rPr>
      </w:pPr>
      <w:r w:rsidRPr="005C0DFE">
        <w:rPr>
          <w:rFonts w:ascii="Arial" w:hAnsi="Arial" w:cs="Arial"/>
          <w:sz w:val="18"/>
          <w:szCs w:val="18"/>
          <w:lang w:val="en-GB"/>
        </w:rPr>
        <w:t xml:space="preserve">Give </w:t>
      </w:r>
      <w:r w:rsidR="00CF1E5F" w:rsidRPr="005C0DFE">
        <w:rPr>
          <w:rFonts w:ascii="Arial" w:hAnsi="Arial" w:cs="Arial"/>
          <w:sz w:val="18"/>
          <w:szCs w:val="18"/>
          <w:lang w:val="en-GB"/>
        </w:rPr>
        <w:t>for 2–4 weeks.</w:t>
      </w:r>
    </w:p>
    <w:p w14:paraId="33E37142" w14:textId="77777777" w:rsidR="00C23D57" w:rsidRPr="00AB44A9" w:rsidRDefault="00AB44A9" w:rsidP="007E4E67">
      <w:pPr>
        <w:pStyle w:val="ListParagraph"/>
        <w:numPr>
          <w:ilvl w:val="0"/>
          <w:numId w:val="57"/>
        </w:numPr>
        <w:spacing w:line="240" w:lineRule="auto"/>
        <w:ind w:left="284" w:hanging="284"/>
        <w:rPr>
          <w:rFonts w:ascii="Arial" w:hAnsi="Arial" w:cs="Arial"/>
          <w:sz w:val="18"/>
          <w:szCs w:val="18"/>
          <w:lang w:val="en-GB"/>
        </w:rPr>
      </w:pPr>
      <w:r w:rsidRPr="00AB44A9">
        <w:rPr>
          <w:rFonts w:ascii="Arial" w:hAnsi="Arial" w:cs="Arial"/>
          <w:sz w:val="18"/>
          <w:szCs w:val="18"/>
          <w:lang w:val="en-GB"/>
        </w:rPr>
        <w:lastRenderedPageBreak/>
        <w:t>ß–blocker, e.g.:</w:t>
      </w:r>
    </w:p>
    <w:p w14:paraId="377CC905" w14:textId="77777777" w:rsidR="00C605DA" w:rsidRPr="00D6340F" w:rsidRDefault="00C605DA" w:rsidP="00C605DA">
      <w:pPr>
        <w:pStyle w:val="ep4"/>
        <w:rPr>
          <w:lang w:val="en-GB"/>
        </w:rPr>
      </w:pPr>
      <w:r w:rsidRPr="00D6340F">
        <w:rPr>
          <w:lang w:val="en-GB"/>
        </w:rPr>
        <w:t xml:space="preserve">Atenolol, oral, 50 mg daily. </w:t>
      </w:r>
    </w:p>
    <w:p w14:paraId="493888B4" w14:textId="77777777" w:rsidR="00C15E52" w:rsidRPr="00D6340F" w:rsidRDefault="00C605DA" w:rsidP="007E4E67">
      <w:pPr>
        <w:numPr>
          <w:ilvl w:val="0"/>
          <w:numId w:val="50"/>
        </w:numPr>
        <w:ind w:left="567" w:hanging="283"/>
        <w:rPr>
          <w:rFonts w:cs="Arial"/>
          <w:lang w:val="en-GB"/>
        </w:rPr>
      </w:pPr>
      <w:r w:rsidRPr="00D6340F">
        <w:rPr>
          <w:rFonts w:cs="Arial"/>
          <w:lang w:val="en-GB"/>
        </w:rPr>
        <w:t xml:space="preserve">Titrate according to symptom control up to </w:t>
      </w:r>
      <w:r w:rsidR="002E6931" w:rsidRPr="00D6340F">
        <w:rPr>
          <w:rFonts w:cs="Arial"/>
          <w:lang w:val="en-GB"/>
        </w:rPr>
        <w:t>100 mg daily.</w:t>
      </w:r>
    </w:p>
    <w:p w14:paraId="18E12A99" w14:textId="77777777" w:rsidR="00267CA3" w:rsidRDefault="00267CA3" w:rsidP="00C605DA">
      <w:pPr>
        <w:rPr>
          <w:rFonts w:cs="Arial"/>
          <w:szCs w:val="16"/>
          <w:lang w:val="en-GB"/>
        </w:rPr>
      </w:pPr>
    </w:p>
    <w:p w14:paraId="112BF4D2" w14:textId="77777777" w:rsidR="00BF05F5" w:rsidRDefault="00BF05F5" w:rsidP="00C605DA">
      <w:pPr>
        <w:rPr>
          <w:rFonts w:cs="Arial"/>
          <w:szCs w:val="16"/>
          <w:lang w:val="en-GB"/>
        </w:rPr>
      </w:pPr>
    </w:p>
    <w:p w14:paraId="5E5BC978" w14:textId="77777777" w:rsidR="00C605DA" w:rsidRPr="00D6340F" w:rsidRDefault="00C605DA" w:rsidP="00110944">
      <w:pPr>
        <w:pStyle w:val="Heading2"/>
      </w:pPr>
      <w:r w:rsidRPr="00D6340F">
        <w:t>8.18.4 Thyroiditis</w:t>
      </w:r>
    </w:p>
    <w:p w14:paraId="024CEEBE" w14:textId="77777777" w:rsidR="00C605DA" w:rsidRPr="00D6340F" w:rsidRDefault="00C605DA" w:rsidP="00C02921">
      <w:pPr>
        <w:pStyle w:val="Heading4"/>
      </w:pPr>
      <w:r w:rsidRPr="00D6340F">
        <w:t>E06</w:t>
      </w:r>
      <w:r w:rsidR="00904B36">
        <w:t>.0-5/E06.9</w:t>
      </w:r>
    </w:p>
    <w:p w14:paraId="5C6FA2F3" w14:textId="77777777" w:rsidR="00C605DA" w:rsidRPr="004575B1" w:rsidRDefault="00C605DA" w:rsidP="00C605DA">
      <w:pPr>
        <w:rPr>
          <w:rFonts w:cs="Arial"/>
          <w:sz w:val="10"/>
          <w:szCs w:val="16"/>
          <w:lang w:val="en-GB"/>
        </w:rPr>
      </w:pPr>
    </w:p>
    <w:p w14:paraId="41CB1966" w14:textId="77777777" w:rsidR="00C605DA" w:rsidRPr="00D6340F" w:rsidRDefault="00C605DA" w:rsidP="00C605DA">
      <w:pPr>
        <w:rPr>
          <w:rFonts w:cs="Arial"/>
          <w:lang w:val="en-GB"/>
        </w:rPr>
      </w:pPr>
      <w:r w:rsidRPr="00D6340F">
        <w:rPr>
          <w:rFonts w:cs="Arial"/>
          <w:lang w:val="en-GB"/>
        </w:rPr>
        <w:t>Toxic phase lasts up to 3 months</w:t>
      </w:r>
      <w:r w:rsidR="002E6931" w:rsidRPr="00D6340F">
        <w:rPr>
          <w:rFonts w:cs="Arial"/>
          <w:lang w:val="en-GB"/>
        </w:rPr>
        <w:t>.</w:t>
      </w:r>
    </w:p>
    <w:p w14:paraId="279A35B9" w14:textId="77777777" w:rsidR="002E6931" w:rsidRPr="00D6340F" w:rsidRDefault="002E6931" w:rsidP="00C605DA">
      <w:pPr>
        <w:rPr>
          <w:rFonts w:cs="Arial"/>
          <w:sz w:val="16"/>
          <w:lang w:val="en-GB"/>
        </w:rPr>
      </w:pPr>
    </w:p>
    <w:p w14:paraId="620BC19D" w14:textId="77777777" w:rsidR="00C605DA" w:rsidRPr="00D6340F" w:rsidRDefault="00C605DA" w:rsidP="00C605DA">
      <w:pPr>
        <w:rPr>
          <w:rFonts w:cs="Arial"/>
          <w:b/>
          <w:sz w:val="20"/>
          <w:szCs w:val="20"/>
          <w:lang w:val="en-GB"/>
        </w:rPr>
      </w:pPr>
      <w:r w:rsidRPr="00D6340F">
        <w:rPr>
          <w:rFonts w:cs="Arial"/>
          <w:b/>
          <w:sz w:val="20"/>
          <w:szCs w:val="20"/>
          <w:lang w:val="en-GB"/>
        </w:rPr>
        <w:t>MEDICINE TREATMENT</w:t>
      </w:r>
    </w:p>
    <w:p w14:paraId="780F81D8" w14:textId="77777777" w:rsidR="00C605DA" w:rsidRPr="00D6340F" w:rsidRDefault="00C605DA" w:rsidP="004575B1">
      <w:pPr>
        <w:pStyle w:val="Heading7"/>
        <w:keepNext w:val="0"/>
        <w:rPr>
          <w:lang w:val="en-GB"/>
        </w:rPr>
      </w:pPr>
      <w:r w:rsidRPr="00D6340F">
        <w:rPr>
          <w:lang w:val="en-GB"/>
        </w:rPr>
        <w:t>ß–blockers</w:t>
      </w:r>
    </w:p>
    <w:p w14:paraId="05F52532" w14:textId="77777777" w:rsidR="00C605DA" w:rsidRPr="00D6340F" w:rsidRDefault="00C605DA" w:rsidP="004575B1">
      <w:pPr>
        <w:widowControl w:val="0"/>
        <w:rPr>
          <w:rFonts w:cs="Arial"/>
          <w:lang w:val="en-GB"/>
        </w:rPr>
      </w:pPr>
      <w:r w:rsidRPr="00D6340F">
        <w:rPr>
          <w:rFonts w:cs="Arial"/>
          <w:lang w:val="en-GB"/>
        </w:rPr>
        <w:t>Used to counteract excessive sympathetic symptoms, e.g. palpitations.</w:t>
      </w:r>
    </w:p>
    <w:p w14:paraId="28A0AE08" w14:textId="77777777" w:rsidR="00C605DA" w:rsidRPr="00D6340F" w:rsidRDefault="00C605DA" w:rsidP="004575B1">
      <w:pPr>
        <w:widowControl w:val="0"/>
        <w:rPr>
          <w:rFonts w:cs="Arial"/>
          <w:lang w:val="en-GB"/>
        </w:rPr>
      </w:pPr>
      <w:r w:rsidRPr="00D6340F">
        <w:rPr>
          <w:rFonts w:cs="Arial"/>
          <w:lang w:val="en-GB"/>
        </w:rPr>
        <w:t>Dose is titrated according to the heart rate.</w:t>
      </w:r>
    </w:p>
    <w:p w14:paraId="37412B98" w14:textId="77777777" w:rsidR="00C605DA" w:rsidRDefault="00C605DA" w:rsidP="004575B1">
      <w:pPr>
        <w:widowControl w:val="0"/>
        <w:rPr>
          <w:rFonts w:cs="Arial"/>
          <w:lang w:val="en-GB"/>
        </w:rPr>
      </w:pPr>
      <w:r w:rsidRPr="00D6340F">
        <w:rPr>
          <w:rFonts w:cs="Arial"/>
          <w:lang w:val="en-GB"/>
        </w:rPr>
        <w:t>Give</w:t>
      </w:r>
      <w:r w:rsidR="00850446">
        <w:rPr>
          <w:rFonts w:cs="Arial"/>
          <w:lang w:val="en-GB"/>
        </w:rPr>
        <w:t xml:space="preserve"> </w:t>
      </w:r>
      <w:r w:rsidR="00CF1E5F" w:rsidRPr="00D6340F">
        <w:rPr>
          <w:rFonts w:cs="Arial"/>
          <w:lang w:val="en-GB"/>
        </w:rPr>
        <w:t>for 2–4 weeks.</w:t>
      </w:r>
    </w:p>
    <w:p w14:paraId="5A323305" w14:textId="77777777" w:rsidR="00C02921" w:rsidRPr="00D6340F" w:rsidRDefault="00C02921" w:rsidP="007E4E67">
      <w:pPr>
        <w:pStyle w:val="ListParagraph"/>
        <w:numPr>
          <w:ilvl w:val="0"/>
          <w:numId w:val="57"/>
        </w:numPr>
        <w:spacing w:line="240" w:lineRule="auto"/>
        <w:ind w:left="284" w:hanging="284"/>
        <w:rPr>
          <w:rFonts w:cs="Arial"/>
          <w:lang w:val="en-GB"/>
        </w:rPr>
      </w:pPr>
      <w:r w:rsidRPr="00AB44A9">
        <w:rPr>
          <w:rFonts w:ascii="Arial" w:hAnsi="Arial" w:cs="Arial"/>
          <w:sz w:val="18"/>
          <w:szCs w:val="18"/>
          <w:lang w:val="en-GB"/>
        </w:rPr>
        <w:t>ß–blocker, e.g.:</w:t>
      </w:r>
    </w:p>
    <w:p w14:paraId="52DC279F" w14:textId="77777777" w:rsidR="00C605DA" w:rsidRPr="00D6340F" w:rsidRDefault="00C605DA" w:rsidP="00C605DA">
      <w:pPr>
        <w:pStyle w:val="ep4"/>
        <w:rPr>
          <w:lang w:val="en-GB"/>
        </w:rPr>
      </w:pPr>
      <w:r w:rsidRPr="00D6340F">
        <w:rPr>
          <w:lang w:val="en-GB"/>
        </w:rPr>
        <w:t xml:space="preserve">Atenolol, oral, 50 mg daily </w:t>
      </w:r>
    </w:p>
    <w:p w14:paraId="62E8F2AD" w14:textId="77777777" w:rsidR="00C15E52" w:rsidRPr="00D6340F" w:rsidRDefault="00C605DA" w:rsidP="007E4E67">
      <w:pPr>
        <w:numPr>
          <w:ilvl w:val="0"/>
          <w:numId w:val="50"/>
        </w:numPr>
        <w:ind w:left="567" w:hanging="283"/>
        <w:rPr>
          <w:rFonts w:cs="Arial"/>
          <w:lang w:val="en-GB"/>
        </w:rPr>
      </w:pPr>
      <w:r w:rsidRPr="00D6340F">
        <w:rPr>
          <w:rFonts w:cs="Arial"/>
          <w:lang w:val="en-GB"/>
        </w:rPr>
        <w:t xml:space="preserve">Titrate according to symptom control up to </w:t>
      </w:r>
      <w:r w:rsidR="00D876EF" w:rsidRPr="00D6340F">
        <w:rPr>
          <w:rFonts w:cs="Arial"/>
          <w:lang w:val="en-GB"/>
        </w:rPr>
        <w:t>100 mg daily.</w:t>
      </w:r>
    </w:p>
    <w:p w14:paraId="1DB2B09D" w14:textId="77777777" w:rsidR="00C605DA" w:rsidRPr="002A1BA4" w:rsidRDefault="00C605DA" w:rsidP="00C605DA">
      <w:pPr>
        <w:rPr>
          <w:rFonts w:cs="Arial"/>
          <w:sz w:val="10"/>
          <w:lang w:val="en-GB"/>
        </w:rPr>
      </w:pPr>
    </w:p>
    <w:p w14:paraId="6B2E41BD" w14:textId="77777777" w:rsidR="00C605DA" w:rsidRPr="00904B36" w:rsidRDefault="00C605DA" w:rsidP="00C605DA">
      <w:pPr>
        <w:rPr>
          <w:rFonts w:cs="Arial"/>
          <w:sz w:val="16"/>
          <w:lang w:val="en-GB"/>
        </w:rPr>
      </w:pPr>
      <w:r w:rsidRPr="00D6340F">
        <w:rPr>
          <w:rFonts w:cs="Arial"/>
          <w:u w:val="single"/>
          <w:lang w:val="en-GB"/>
        </w:rPr>
        <w:t xml:space="preserve">For painful subacute thyroiditis (De </w:t>
      </w:r>
      <w:proofErr w:type="spellStart"/>
      <w:r w:rsidRPr="00D6340F">
        <w:rPr>
          <w:rFonts w:cs="Arial"/>
          <w:u w:val="single"/>
          <w:lang w:val="en-GB"/>
        </w:rPr>
        <w:t>Quervain’s</w:t>
      </w:r>
      <w:proofErr w:type="spellEnd"/>
      <w:r w:rsidRPr="00D6340F">
        <w:rPr>
          <w:rFonts w:cs="Arial"/>
          <w:u w:val="single"/>
          <w:lang w:val="en-GB"/>
        </w:rPr>
        <w:t>)</w:t>
      </w:r>
      <w:r w:rsidR="00024282" w:rsidRPr="00D6340F">
        <w:rPr>
          <w:rFonts w:cs="Arial"/>
          <w:u w:val="single"/>
          <w:lang w:val="en-GB"/>
        </w:rPr>
        <w:t>:</w:t>
      </w:r>
      <w:r w:rsidR="00904B36">
        <w:rPr>
          <w:rFonts w:cs="Arial"/>
          <w:sz w:val="16"/>
          <w:lang w:val="en-GB"/>
        </w:rPr>
        <w:t xml:space="preserve"> E06.1</w:t>
      </w:r>
    </w:p>
    <w:p w14:paraId="689CCD2B" w14:textId="2C13614E" w:rsidR="0036185F" w:rsidRPr="00D6340F" w:rsidRDefault="00C605DA" w:rsidP="007E4E67">
      <w:pPr>
        <w:numPr>
          <w:ilvl w:val="0"/>
          <w:numId w:val="34"/>
        </w:numPr>
        <w:ind w:left="284" w:hanging="284"/>
        <w:rPr>
          <w:rFonts w:cs="Arial"/>
          <w:lang w:val="en-GB"/>
        </w:rPr>
      </w:pPr>
      <w:r w:rsidRPr="00D6340F">
        <w:rPr>
          <w:rFonts w:cs="Arial"/>
          <w:lang w:val="en-GB"/>
        </w:rPr>
        <w:t>NSAID, e.g.:</w:t>
      </w:r>
    </w:p>
    <w:p w14:paraId="6277DED5" w14:textId="77777777" w:rsidR="00C605DA" w:rsidRPr="00D6340F" w:rsidRDefault="00C605DA" w:rsidP="00C605DA">
      <w:pPr>
        <w:pStyle w:val="ep4"/>
        <w:rPr>
          <w:lang w:val="en-GB"/>
        </w:rPr>
      </w:pPr>
      <w:r w:rsidRPr="00D6340F">
        <w:rPr>
          <w:lang w:val="en-GB"/>
        </w:rPr>
        <w:t xml:space="preserve">Ibuprofen, oral, </w:t>
      </w:r>
      <w:r w:rsidR="00AE3C7F" w:rsidRPr="00D6340F">
        <w:rPr>
          <w:lang w:val="en-GB"/>
        </w:rPr>
        <w:t xml:space="preserve">400 </w:t>
      </w:r>
      <w:r w:rsidRPr="00D6340F">
        <w:rPr>
          <w:lang w:val="en-GB"/>
        </w:rPr>
        <w:t>mg 8 hourly</w:t>
      </w:r>
      <w:r w:rsidR="00AE3C7F" w:rsidRPr="00D6340F">
        <w:rPr>
          <w:lang w:val="en-GB"/>
        </w:rPr>
        <w:t xml:space="preserve"> with meals</w:t>
      </w:r>
      <w:r w:rsidRPr="00D6340F">
        <w:rPr>
          <w:lang w:val="en-GB"/>
        </w:rPr>
        <w:t xml:space="preserve">.  </w:t>
      </w:r>
    </w:p>
    <w:p w14:paraId="2BAC8705" w14:textId="14D7D242" w:rsidR="00C605DA" w:rsidRDefault="00024282" w:rsidP="00C605DA">
      <w:pPr>
        <w:pStyle w:val="ep4"/>
        <w:numPr>
          <w:ilvl w:val="0"/>
          <w:numId w:val="0"/>
        </w:numPr>
        <w:rPr>
          <w:b/>
          <w:lang w:val="en-GB"/>
        </w:rPr>
      </w:pPr>
      <w:r w:rsidRPr="00D6340F">
        <w:rPr>
          <w:b/>
          <w:lang w:val="en-GB"/>
        </w:rPr>
        <w:t>AND</w:t>
      </w:r>
    </w:p>
    <w:p w14:paraId="36A9D7CA" w14:textId="1699CE94" w:rsidR="00C533E8" w:rsidRPr="00C533E8" w:rsidRDefault="00C533E8" w:rsidP="00C533E8">
      <w:pPr>
        <w:pStyle w:val="ListParagraph"/>
        <w:numPr>
          <w:ilvl w:val="0"/>
          <w:numId w:val="76"/>
        </w:numPr>
        <w:spacing w:line="240" w:lineRule="auto"/>
        <w:ind w:left="284" w:hanging="284"/>
        <w:rPr>
          <w:rFonts w:ascii="Arial" w:hAnsi="Arial" w:cs="Arial"/>
          <w:sz w:val="18"/>
        </w:rPr>
      </w:pPr>
      <w:r w:rsidRPr="00284929">
        <w:rPr>
          <w:rFonts w:ascii="Arial" w:hAnsi="Arial" w:cs="Arial"/>
          <w:sz w:val="18"/>
        </w:rPr>
        <w:t xml:space="preserve">Corticosteroids </w:t>
      </w:r>
      <w:r>
        <w:rPr>
          <w:rFonts w:ascii="Arial" w:hAnsi="Arial" w:cs="Arial"/>
          <w:sz w:val="18"/>
        </w:rPr>
        <w:t xml:space="preserve">(intermediate-acting) </w:t>
      </w:r>
      <w:r w:rsidRPr="00284929">
        <w:rPr>
          <w:rFonts w:ascii="Arial" w:hAnsi="Arial" w:cs="Arial"/>
          <w:sz w:val="18"/>
        </w:rPr>
        <w:t>e.g.:</w:t>
      </w: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C533E8" w:rsidRPr="00850446" w14:paraId="7687E8D3" w14:textId="77777777" w:rsidTr="00B8374E">
        <w:tc>
          <w:tcPr>
            <w:tcW w:w="1134" w:type="dxa"/>
            <w:shd w:val="clear" w:color="auto" w:fill="auto"/>
          </w:tcPr>
          <w:p w14:paraId="6C864813" w14:textId="77777777" w:rsidR="00C533E8" w:rsidRPr="00850446" w:rsidRDefault="00C533E8" w:rsidP="00B8374E">
            <w:pPr>
              <w:jc w:val="right"/>
              <w:rPr>
                <w:b/>
                <w:i/>
                <w:sz w:val="16"/>
                <w:lang w:val="en-GB"/>
              </w:rPr>
            </w:pPr>
            <w:proofErr w:type="spellStart"/>
            <w:proofErr w:type="gramStart"/>
            <w:r w:rsidRPr="00850446">
              <w:rPr>
                <w:i/>
                <w:sz w:val="16"/>
                <w:lang w:val="en-GB"/>
              </w:rPr>
              <w:t>LoE:II</w:t>
            </w:r>
            <w:proofErr w:type="gramEnd"/>
            <w:r w:rsidRPr="00850446">
              <w:rPr>
                <w:rStyle w:val="EndnoteReference"/>
                <w:i/>
                <w:sz w:val="16"/>
                <w:vertAlign w:val="baseline"/>
                <w:lang w:val="en-GB"/>
              </w:rPr>
              <w:t>I</w:t>
            </w:r>
            <w:proofErr w:type="spellEnd"/>
            <w:r>
              <w:rPr>
                <w:rStyle w:val="EndnoteReference"/>
                <w:i/>
                <w:sz w:val="16"/>
                <w:lang w:val="en-GB"/>
              </w:rPr>
              <w:endnoteReference w:id="43"/>
            </w:r>
          </w:p>
        </w:tc>
      </w:tr>
    </w:tbl>
    <w:p w14:paraId="14C4850A" w14:textId="77777777" w:rsidR="00C605DA" w:rsidRPr="00D6340F" w:rsidRDefault="00C605DA" w:rsidP="00C605DA">
      <w:pPr>
        <w:pStyle w:val="ep4"/>
        <w:rPr>
          <w:lang w:val="en-GB"/>
        </w:rPr>
      </w:pPr>
      <w:r w:rsidRPr="00D6340F">
        <w:rPr>
          <w:lang w:val="en-GB"/>
        </w:rPr>
        <w:t>Prednisone, oral, 40 mg daily</w:t>
      </w:r>
      <w:r w:rsidR="004575B1">
        <w:rPr>
          <w:lang w:val="en-GB"/>
        </w:rPr>
        <w:t xml:space="preserve"> (</w:t>
      </w:r>
      <w:r w:rsidRPr="00D6340F">
        <w:rPr>
          <w:lang w:val="en-GB"/>
        </w:rPr>
        <w:t>Specialist consultation</w:t>
      </w:r>
      <w:r w:rsidR="004575B1">
        <w:rPr>
          <w:lang w:val="en-GB"/>
        </w:rPr>
        <w:t>)</w:t>
      </w:r>
      <w:r w:rsidRPr="00D6340F">
        <w:rPr>
          <w:lang w:val="en-GB"/>
        </w:rPr>
        <w:t>.</w:t>
      </w:r>
    </w:p>
    <w:p w14:paraId="52308947" w14:textId="77777777" w:rsidR="00C605DA" w:rsidRPr="00D6340F" w:rsidRDefault="00C605DA" w:rsidP="00C605DA">
      <w:pPr>
        <w:pStyle w:val="ep4"/>
        <w:numPr>
          <w:ilvl w:val="0"/>
          <w:numId w:val="0"/>
        </w:numPr>
        <w:ind w:left="284" w:hanging="284"/>
        <w:rPr>
          <w:sz w:val="16"/>
          <w:szCs w:val="16"/>
          <w:lang w:val="en-GB"/>
        </w:rPr>
      </w:pPr>
    </w:p>
    <w:p w14:paraId="2B0F4EEC" w14:textId="77777777" w:rsidR="00C605DA" w:rsidRPr="00D6340F" w:rsidRDefault="00C605DA" w:rsidP="00110944">
      <w:pPr>
        <w:pStyle w:val="Heading2"/>
      </w:pPr>
      <w:r w:rsidRPr="00D6340F">
        <w:t>8.18.5 Thyroid crisis</w:t>
      </w:r>
    </w:p>
    <w:p w14:paraId="05537D51" w14:textId="77777777" w:rsidR="00200C80" w:rsidRPr="00C02921" w:rsidRDefault="00C02921" w:rsidP="00C02921">
      <w:r w:rsidRPr="00C02921">
        <w:rPr>
          <w:sz w:val="16"/>
        </w:rPr>
        <w:t>E</w:t>
      </w:r>
      <w:r w:rsidR="00C605DA" w:rsidRPr="00C02921">
        <w:rPr>
          <w:sz w:val="16"/>
        </w:rPr>
        <w:t>05.5</w:t>
      </w:r>
    </w:p>
    <w:p w14:paraId="6EFB4E23" w14:textId="77777777" w:rsidR="00200C80" w:rsidRPr="00200C80" w:rsidRDefault="00200C80" w:rsidP="00200C80">
      <w:pPr>
        <w:rPr>
          <w:lang w:val="en-GB"/>
        </w:rPr>
      </w:pPr>
    </w:p>
    <w:p w14:paraId="39F17A05" w14:textId="77777777" w:rsidR="00C605DA" w:rsidRDefault="00C605DA" w:rsidP="00C605DA">
      <w:pPr>
        <w:rPr>
          <w:rFonts w:cs="Arial"/>
          <w:b/>
          <w:sz w:val="20"/>
          <w:szCs w:val="20"/>
          <w:lang w:val="en-GB"/>
        </w:rPr>
      </w:pPr>
      <w:r w:rsidRPr="00D6340F">
        <w:rPr>
          <w:rFonts w:cs="Arial"/>
          <w:b/>
          <w:sz w:val="20"/>
          <w:szCs w:val="20"/>
          <w:lang w:val="en-GB"/>
        </w:rPr>
        <w:t>MEDICINE TREATMENT</w:t>
      </w:r>
    </w:p>
    <w:p w14:paraId="7FE2DB78" w14:textId="77777777" w:rsidR="00C605DA" w:rsidRPr="00D6340F" w:rsidRDefault="00C605DA" w:rsidP="00C605DA">
      <w:pPr>
        <w:rPr>
          <w:rFonts w:cs="Arial"/>
          <w:lang w:val="en-GB"/>
        </w:rPr>
      </w:pPr>
      <w:r w:rsidRPr="00D6340F">
        <w:rPr>
          <w:rFonts w:cs="Arial"/>
          <w:lang w:val="en-GB"/>
        </w:rPr>
        <w:t>IV fluids as indicated.</w:t>
      </w:r>
    </w:p>
    <w:p w14:paraId="3D0A79A3" w14:textId="77777777" w:rsidR="00C605DA" w:rsidRPr="00D6340F" w:rsidRDefault="00C605DA" w:rsidP="00C605DA">
      <w:pPr>
        <w:rPr>
          <w:rFonts w:cs="Arial"/>
          <w:sz w:val="16"/>
          <w:szCs w:val="16"/>
          <w:lang w:val="en-GB"/>
        </w:rPr>
      </w:pPr>
    </w:p>
    <w:p w14:paraId="55E9438C" w14:textId="728DC535" w:rsidR="00C605DA" w:rsidRPr="00D6340F" w:rsidRDefault="00C605DA" w:rsidP="00C605DA">
      <w:pPr>
        <w:pStyle w:val="ep4"/>
        <w:tabs>
          <w:tab w:val="clear" w:pos="360"/>
        </w:tabs>
        <w:rPr>
          <w:lang w:val="en-GB"/>
        </w:rPr>
      </w:pPr>
      <w:r w:rsidRPr="00D6340F">
        <w:rPr>
          <w:lang w:val="en-GB"/>
        </w:rPr>
        <w:t xml:space="preserve">Carbimazole, oral, </w:t>
      </w:r>
      <w:r w:rsidR="002D5B17">
        <w:rPr>
          <w:lang w:val="en-GB"/>
        </w:rPr>
        <w:t>40–60</w:t>
      </w:r>
      <w:r w:rsidR="002D5B17" w:rsidRPr="00D6340F">
        <w:rPr>
          <w:lang w:val="en-GB"/>
        </w:rPr>
        <w:t xml:space="preserve"> </w:t>
      </w:r>
      <w:r w:rsidRPr="00D6340F">
        <w:rPr>
          <w:lang w:val="en-GB"/>
        </w:rPr>
        <w:t xml:space="preserve">mg </w:t>
      </w:r>
      <w:r w:rsidR="00CF1E5F" w:rsidRPr="00D6340F">
        <w:rPr>
          <w:lang w:val="en-GB"/>
        </w:rPr>
        <w:t>6</w:t>
      </w:r>
      <w:r w:rsidRPr="00D6340F">
        <w:rPr>
          <w:lang w:val="en-GB"/>
        </w:rPr>
        <w:t xml:space="preserve"> hourly</w:t>
      </w:r>
      <w:r w:rsidR="00EA1187">
        <w:rPr>
          <w:lang w:val="en-GB"/>
        </w:rPr>
        <w:t xml:space="preserve"> until crisis is controlled</w:t>
      </w:r>
      <w:r w:rsidRPr="00D6340F">
        <w:rPr>
          <w:lang w:val="en-GB"/>
        </w:rPr>
        <w:t xml:space="preserve">. </w:t>
      </w:r>
    </w:p>
    <w:tbl>
      <w:tblPr>
        <w:tblStyle w:val="TableGrid"/>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272D93" w:rsidRPr="00D6340F" w14:paraId="233E66EF" w14:textId="77777777" w:rsidTr="00CD3CA2">
        <w:tc>
          <w:tcPr>
            <w:tcW w:w="1134" w:type="dxa"/>
            <w:shd w:val="clear" w:color="auto" w:fill="auto"/>
          </w:tcPr>
          <w:p w14:paraId="70D129D3" w14:textId="77777777" w:rsidR="00272D93" w:rsidRPr="00D6340F" w:rsidRDefault="00272D93" w:rsidP="00CD3CA2">
            <w:pPr>
              <w:jc w:val="right"/>
              <w:rPr>
                <w:b/>
                <w:i/>
                <w:lang w:val="en-GB"/>
              </w:rPr>
            </w:pPr>
            <w:proofErr w:type="spellStart"/>
            <w:proofErr w:type="gramStart"/>
            <w:r w:rsidRPr="00D6340F">
              <w:rPr>
                <w:i/>
                <w:lang w:val="en-GB"/>
              </w:rPr>
              <w:t>LoE:III</w:t>
            </w:r>
            <w:proofErr w:type="spellEnd"/>
            <w:proofErr w:type="gramEnd"/>
            <w:r w:rsidRPr="00D6340F">
              <w:rPr>
                <w:rStyle w:val="EndnoteReference"/>
                <w:i/>
                <w:lang w:val="en-GB"/>
              </w:rPr>
              <w:endnoteReference w:id="44"/>
            </w:r>
          </w:p>
        </w:tc>
      </w:tr>
    </w:tbl>
    <w:p w14:paraId="2BFFAC3A" w14:textId="77777777" w:rsidR="00AD7703" w:rsidRPr="00AD7703" w:rsidRDefault="00AD7703" w:rsidP="00AD7703">
      <w:pPr>
        <w:rPr>
          <w:rFonts w:cs="Arial"/>
          <w:sz w:val="10"/>
          <w:lang w:val="en-GB"/>
        </w:rPr>
      </w:pPr>
    </w:p>
    <w:p w14:paraId="0A7EF8E7" w14:textId="77777777" w:rsidR="00EA1187" w:rsidRPr="00AD7703" w:rsidRDefault="00EA1187" w:rsidP="00AD7703">
      <w:pPr>
        <w:rPr>
          <w:rFonts w:cs="Arial"/>
          <w:u w:val="single"/>
          <w:lang w:val="en-GB"/>
        </w:rPr>
      </w:pPr>
      <w:r w:rsidRPr="00AD7703">
        <w:rPr>
          <w:rFonts w:cs="Arial"/>
          <w:u w:val="single"/>
          <w:lang w:val="en-GB"/>
        </w:rPr>
        <w:t>30 minutes after the first dose of carbimazole:</w:t>
      </w:r>
    </w:p>
    <w:p w14:paraId="441F6280" w14:textId="77777777" w:rsidR="00EA1187" w:rsidRPr="00D6340F" w:rsidRDefault="00EA1187" w:rsidP="00AD7703">
      <w:pPr>
        <w:pStyle w:val="ep4"/>
        <w:tabs>
          <w:tab w:val="clear" w:pos="360"/>
        </w:tabs>
        <w:rPr>
          <w:lang w:val="en-GB"/>
        </w:rPr>
      </w:pPr>
      <w:r w:rsidRPr="0060702F">
        <w:rPr>
          <w:lang w:val="en-GB"/>
        </w:rPr>
        <w:t xml:space="preserve">Lugol’s iodine, oral, </w:t>
      </w:r>
      <w:r>
        <w:rPr>
          <w:lang w:val="en-GB"/>
        </w:rPr>
        <w:t>10 drops in milk, 8 hourly</w:t>
      </w:r>
      <w:r w:rsidR="00AD7703">
        <w:rPr>
          <w:lang w:val="en-GB"/>
        </w:rPr>
        <w:t>.</w:t>
      </w:r>
    </w:p>
    <w:p w14:paraId="0312A544" w14:textId="77777777" w:rsidR="00C15E52" w:rsidRPr="00D6340F" w:rsidRDefault="00C15E52" w:rsidP="00D20C13">
      <w:pPr>
        <w:ind w:left="360"/>
        <w:rPr>
          <w:rFonts w:cs="Arial"/>
          <w:sz w:val="2"/>
          <w:lang w:val="en-GB"/>
        </w:rPr>
      </w:pPr>
    </w:p>
    <w:p w14:paraId="7D5AD03B" w14:textId="77777777" w:rsidR="00AD7703" w:rsidRDefault="00AD7703" w:rsidP="00C605DA">
      <w:pPr>
        <w:pStyle w:val="Heading6"/>
        <w:rPr>
          <w:rFonts w:cs="Arial"/>
        </w:rPr>
      </w:pPr>
    </w:p>
    <w:p w14:paraId="1FF35FEC" w14:textId="77777777" w:rsidR="00C605DA" w:rsidRDefault="00731899" w:rsidP="00C605DA">
      <w:pPr>
        <w:pStyle w:val="Heading6"/>
        <w:rPr>
          <w:rFonts w:cs="Arial"/>
        </w:rPr>
      </w:pPr>
      <w:r w:rsidRPr="00D6340F">
        <w:rPr>
          <w:rFonts w:cs="Arial"/>
        </w:rPr>
        <w:t>AND</w:t>
      </w:r>
    </w:p>
    <w:p w14:paraId="56B3AE49" w14:textId="77777777" w:rsidR="0075237D" w:rsidRPr="005C0DFE" w:rsidRDefault="005C0DFE" w:rsidP="007E4E67">
      <w:pPr>
        <w:pStyle w:val="ListParagraph"/>
        <w:numPr>
          <w:ilvl w:val="0"/>
          <w:numId w:val="57"/>
        </w:numPr>
        <w:spacing w:line="240" w:lineRule="auto"/>
        <w:ind w:left="284" w:hanging="284"/>
        <w:rPr>
          <w:rFonts w:ascii="Arial" w:hAnsi="Arial" w:cs="Arial"/>
          <w:sz w:val="18"/>
          <w:szCs w:val="18"/>
          <w:lang w:val="en-GB"/>
        </w:rPr>
      </w:pPr>
      <w:r w:rsidRPr="005C0DFE">
        <w:rPr>
          <w:rFonts w:ascii="Arial" w:hAnsi="Arial" w:cs="Arial"/>
          <w:sz w:val="18"/>
          <w:szCs w:val="18"/>
          <w:lang w:val="en-GB"/>
        </w:rPr>
        <w:t>ß–blocker, e.g.:</w:t>
      </w:r>
    </w:p>
    <w:p w14:paraId="46320049" w14:textId="77777777" w:rsidR="00B614BC" w:rsidRPr="00D6340F" w:rsidRDefault="00B614BC" w:rsidP="00B614BC">
      <w:pPr>
        <w:pStyle w:val="ep4"/>
        <w:rPr>
          <w:lang w:val="en-GB"/>
        </w:rPr>
      </w:pPr>
      <w:r w:rsidRPr="00D6340F">
        <w:rPr>
          <w:lang w:val="en-GB"/>
        </w:rPr>
        <w:t xml:space="preserve">Atenolol, oral, 50 mg daily </w:t>
      </w:r>
    </w:p>
    <w:p w14:paraId="0741BB3A" w14:textId="77777777" w:rsidR="00D20C13" w:rsidRPr="00D6340F" w:rsidRDefault="00B614BC" w:rsidP="007E4E67">
      <w:pPr>
        <w:numPr>
          <w:ilvl w:val="0"/>
          <w:numId w:val="50"/>
        </w:numPr>
        <w:ind w:left="567" w:hanging="283"/>
        <w:rPr>
          <w:rFonts w:cs="Arial"/>
          <w:lang w:val="en-GB"/>
        </w:rPr>
      </w:pPr>
      <w:r w:rsidRPr="00D6340F">
        <w:rPr>
          <w:rFonts w:cs="Arial"/>
          <w:lang w:val="en-GB"/>
        </w:rPr>
        <w:t xml:space="preserve">Titrate according to symptom control up to </w:t>
      </w:r>
      <w:r w:rsidR="002E6931" w:rsidRPr="00D6340F">
        <w:rPr>
          <w:rFonts w:cs="Arial"/>
          <w:lang w:val="en-GB"/>
        </w:rPr>
        <w:t>100</w:t>
      </w:r>
      <w:r w:rsidR="005C0DFE">
        <w:rPr>
          <w:rFonts w:cs="Arial"/>
          <w:lang w:val="en-GB"/>
        </w:rPr>
        <w:t xml:space="preserve"> </w:t>
      </w:r>
      <w:r w:rsidRPr="00D6340F">
        <w:rPr>
          <w:rFonts w:cs="Arial"/>
          <w:lang w:val="en-GB"/>
        </w:rPr>
        <w:t xml:space="preserve">mg </w:t>
      </w:r>
      <w:r w:rsidR="002E6931" w:rsidRPr="00D6340F">
        <w:rPr>
          <w:rFonts w:cs="Arial"/>
          <w:lang w:val="en-GB"/>
        </w:rPr>
        <w:t>daily.</w:t>
      </w:r>
    </w:p>
    <w:p w14:paraId="7FB85737" w14:textId="77777777" w:rsidR="00B614BC" w:rsidRPr="002A1BA4" w:rsidRDefault="00B614BC" w:rsidP="00D20C13">
      <w:pPr>
        <w:ind w:left="720"/>
        <w:rPr>
          <w:rFonts w:cs="Arial"/>
          <w:sz w:val="10"/>
          <w:lang w:val="en-GB"/>
        </w:rPr>
      </w:pPr>
    </w:p>
    <w:p w14:paraId="5DF6CD31" w14:textId="77777777" w:rsidR="00C605DA" w:rsidRDefault="00C605DA" w:rsidP="001062E3">
      <w:pPr>
        <w:spacing w:line="276" w:lineRule="auto"/>
        <w:rPr>
          <w:rFonts w:cs="Arial"/>
          <w:u w:val="single"/>
          <w:lang w:val="en-GB"/>
        </w:rPr>
      </w:pPr>
      <w:r w:rsidRPr="00D6340F">
        <w:rPr>
          <w:rFonts w:cs="Arial"/>
          <w:u w:val="single"/>
          <w:lang w:val="en-GB"/>
        </w:rPr>
        <w:t>If life-threatening:</w:t>
      </w:r>
    </w:p>
    <w:p w14:paraId="602AC683" w14:textId="77777777" w:rsidR="00C605DA" w:rsidRPr="00D6340F" w:rsidRDefault="00C605DA" w:rsidP="00C605DA">
      <w:pPr>
        <w:rPr>
          <w:rFonts w:cs="Arial"/>
          <w:b/>
          <w:lang w:val="en-GB"/>
        </w:rPr>
      </w:pPr>
      <w:r w:rsidRPr="00D6340F">
        <w:rPr>
          <w:rFonts w:cs="Arial"/>
          <w:b/>
          <w:lang w:val="en-GB"/>
        </w:rPr>
        <w:t>ADD</w:t>
      </w:r>
    </w:p>
    <w:p w14:paraId="640E7724" w14:textId="77777777" w:rsidR="00C605DA" w:rsidRPr="00D6340F" w:rsidRDefault="00C605DA" w:rsidP="00C605DA">
      <w:pPr>
        <w:pStyle w:val="ep4"/>
        <w:rPr>
          <w:lang w:val="en-GB"/>
        </w:rPr>
      </w:pPr>
      <w:r w:rsidRPr="00D6340F">
        <w:rPr>
          <w:lang w:val="en-GB"/>
        </w:rPr>
        <w:t>Hydrocortisone, IV, 100 mg 8 hourly.</w:t>
      </w:r>
    </w:p>
    <w:p w14:paraId="19FD7AF8" w14:textId="77777777" w:rsidR="00C605DA" w:rsidRPr="002A1BA4" w:rsidRDefault="00C605DA" w:rsidP="00C605DA">
      <w:pPr>
        <w:rPr>
          <w:rFonts w:cs="Arial"/>
          <w:sz w:val="10"/>
          <w:lang w:val="en-GB"/>
        </w:rPr>
      </w:pPr>
    </w:p>
    <w:p w14:paraId="2C633C3C" w14:textId="77777777" w:rsidR="00C605DA" w:rsidRDefault="00C605DA" w:rsidP="00C605DA">
      <w:pPr>
        <w:rPr>
          <w:rFonts w:cs="Arial"/>
          <w:lang w:val="en-GB"/>
        </w:rPr>
      </w:pPr>
      <w:r w:rsidRPr="00D6340F">
        <w:rPr>
          <w:rFonts w:cs="Arial"/>
          <w:lang w:val="en-GB"/>
        </w:rPr>
        <w:lastRenderedPageBreak/>
        <w:t xml:space="preserve"> </w:t>
      </w:r>
      <w:r w:rsidR="00807CF6">
        <w:rPr>
          <w:rFonts w:cs="Arial"/>
          <w:lang w:val="en-GB"/>
        </w:rPr>
        <w:t xml:space="preserve">Actively </w:t>
      </w:r>
      <w:r w:rsidR="00F42001">
        <w:rPr>
          <w:rFonts w:cs="Arial"/>
          <w:lang w:val="en-GB"/>
        </w:rPr>
        <w:t>manage</w:t>
      </w:r>
      <w:r w:rsidR="00807CF6">
        <w:rPr>
          <w:rFonts w:cs="Arial"/>
          <w:lang w:val="en-GB"/>
        </w:rPr>
        <w:t xml:space="preserve"> </w:t>
      </w:r>
      <w:r w:rsidRPr="00D6340F">
        <w:rPr>
          <w:rFonts w:cs="Arial"/>
          <w:lang w:val="en-GB"/>
        </w:rPr>
        <w:t>precipitating illness and infection. ICU admission is desirable.</w:t>
      </w:r>
    </w:p>
    <w:p w14:paraId="760A8FDA" w14:textId="77777777" w:rsidR="00A478E8" w:rsidRDefault="00A478E8" w:rsidP="00C605DA">
      <w:pPr>
        <w:rPr>
          <w:rFonts w:cs="Arial"/>
          <w:lang w:val="en-GB"/>
        </w:rPr>
      </w:pPr>
    </w:p>
    <w:p w14:paraId="0E3D9808" w14:textId="77777777" w:rsidR="00A478E8" w:rsidRDefault="00A478E8" w:rsidP="00C605DA">
      <w:pPr>
        <w:rPr>
          <w:rFonts w:cs="Arial"/>
          <w:b/>
          <w:sz w:val="20"/>
          <w:lang w:val="en-GB"/>
        </w:rPr>
      </w:pPr>
      <w:r w:rsidRPr="00A478E8">
        <w:rPr>
          <w:rFonts w:cs="Arial"/>
          <w:b/>
          <w:sz w:val="20"/>
          <w:lang w:val="en-GB"/>
        </w:rPr>
        <w:t>REFFERRAL</w:t>
      </w:r>
    </w:p>
    <w:p w14:paraId="6BFE2BDE" w14:textId="77777777" w:rsidR="00F24BFF" w:rsidRPr="00F24BFF" w:rsidRDefault="00F24BFF" w:rsidP="00C605DA">
      <w:pPr>
        <w:rPr>
          <w:rFonts w:cs="Arial"/>
          <w:lang w:val="en-GB"/>
        </w:rPr>
      </w:pPr>
      <w:r w:rsidRPr="00F24BFF">
        <w:rPr>
          <w:rFonts w:cs="Arial"/>
          <w:lang w:val="en-GB"/>
        </w:rPr>
        <w:t>All patients once stabilised.</w:t>
      </w:r>
    </w:p>
    <w:p w14:paraId="10E5CFFF" w14:textId="77777777" w:rsidR="002E6931" w:rsidRDefault="002E6931" w:rsidP="00C605DA">
      <w:pPr>
        <w:rPr>
          <w:rFonts w:cs="Arial"/>
          <w:lang w:val="en-GB"/>
        </w:rPr>
      </w:pPr>
    </w:p>
    <w:p w14:paraId="5B693649" w14:textId="1454FA3B" w:rsidR="00B2345D" w:rsidRDefault="00B2345D">
      <w:pPr>
        <w:jc w:val="left"/>
        <w:rPr>
          <w:rFonts w:cs="Arial"/>
          <w:lang w:val="en-GB"/>
        </w:rPr>
      </w:pPr>
      <w:r>
        <w:rPr>
          <w:rFonts w:cs="Arial"/>
          <w:lang w:val="en-GB"/>
        </w:rPr>
        <w:br w:type="page"/>
      </w:r>
    </w:p>
    <w:p w14:paraId="1B1072A4" w14:textId="77777777" w:rsidR="008A068C" w:rsidRPr="00D6340F" w:rsidRDefault="008A068C" w:rsidP="00C605DA">
      <w:pPr>
        <w:rPr>
          <w:rFonts w:cs="Arial"/>
          <w:lang w:val="en-GB"/>
        </w:rPr>
      </w:pPr>
    </w:p>
    <w:sectPr w:rsidR="008A068C" w:rsidRPr="00D6340F" w:rsidSect="00C605DA">
      <w:headerReference w:type="even" r:id="rId8"/>
      <w:headerReference w:type="default" r:id="rId9"/>
      <w:footerReference w:type="even" r:id="rId10"/>
      <w:footerReference w:type="default" r:id="rId11"/>
      <w:footerReference w:type="first" r:id="rId12"/>
      <w:pgSz w:w="8392" w:h="11906" w:code="11"/>
      <w:pgMar w:top="709"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4E31F" w14:textId="77777777" w:rsidR="009C4C36" w:rsidRPr="005B13FA" w:rsidRDefault="009C4C36" w:rsidP="005B13FA">
      <w:pPr>
        <w:rPr>
          <w:b/>
          <w:sz w:val="12"/>
        </w:rPr>
      </w:pPr>
      <w:r w:rsidRPr="005B13FA">
        <w:rPr>
          <w:b/>
          <w:sz w:val="12"/>
        </w:rPr>
        <w:t>References:</w:t>
      </w:r>
    </w:p>
  </w:endnote>
  <w:endnote w:type="continuationSeparator" w:id="0">
    <w:p w14:paraId="39E506A2" w14:textId="77777777" w:rsidR="009C4C36" w:rsidRPr="005B13FA" w:rsidRDefault="009C4C36" w:rsidP="005B13FA">
      <w:pPr>
        <w:rPr>
          <w:sz w:val="12"/>
        </w:rPr>
      </w:pPr>
    </w:p>
  </w:endnote>
  <w:endnote w:type="continuationNotice" w:id="1">
    <w:p w14:paraId="7E6470D0" w14:textId="77777777" w:rsidR="009C4C36" w:rsidRPr="00443C7A" w:rsidRDefault="009C4C36">
      <w:pPr>
        <w:rPr>
          <w:sz w:val="12"/>
        </w:rPr>
      </w:pPr>
    </w:p>
  </w:endnote>
  <w:endnote w:id="2">
    <w:p w14:paraId="4B039DA8" w14:textId="77777777" w:rsidR="00F74C89" w:rsidRPr="00233C6C" w:rsidRDefault="00F74C89" w:rsidP="00364E88">
      <w:pPr>
        <w:pStyle w:val="EndnoteText"/>
        <w:tabs>
          <w:tab w:val="left" w:pos="142"/>
        </w:tabs>
        <w:ind w:left="0"/>
        <w:rPr>
          <w:sz w:val="12"/>
          <w:szCs w:val="12"/>
          <w:lang w:val="en-ZA"/>
        </w:rPr>
      </w:pPr>
      <w:r w:rsidRPr="00233C6C">
        <w:rPr>
          <w:rStyle w:val="EndnoteReference"/>
          <w:sz w:val="12"/>
          <w:szCs w:val="12"/>
        </w:rPr>
        <w:endnoteRef/>
      </w:r>
      <w:r>
        <w:rPr>
          <w:sz w:val="12"/>
          <w:szCs w:val="12"/>
          <w:lang w:val="en-ZA"/>
        </w:rPr>
        <w:tab/>
      </w:r>
      <w:r w:rsidRPr="00233C6C">
        <w:rPr>
          <w:sz w:val="12"/>
          <w:szCs w:val="12"/>
          <w:lang w:val="en-ZA"/>
        </w:rPr>
        <w:t xml:space="preserve">ACTH, IM: </w:t>
      </w:r>
      <w:r w:rsidRPr="00DF09AD">
        <w:rPr>
          <w:rFonts w:cs="Arial"/>
          <w:sz w:val="12"/>
          <w:szCs w:val="12"/>
        </w:rPr>
        <w:t xml:space="preserve">South </w:t>
      </w:r>
      <w:r>
        <w:rPr>
          <w:rFonts w:cs="Arial"/>
          <w:sz w:val="12"/>
          <w:szCs w:val="12"/>
        </w:rPr>
        <w:t>African Medicines Formulary.  12</w:t>
      </w:r>
      <w:r w:rsidRPr="00DF09AD">
        <w:rPr>
          <w:rFonts w:cs="Arial"/>
          <w:sz w:val="12"/>
          <w:szCs w:val="12"/>
        </w:rPr>
        <w:t>th Edition.  Division of Clinical Pharmacology</w:t>
      </w:r>
      <w:r>
        <w:rPr>
          <w:rFonts w:cs="Arial"/>
          <w:sz w:val="12"/>
          <w:szCs w:val="12"/>
        </w:rPr>
        <w:t>.University of Cape Town. 2016.</w:t>
      </w:r>
    </w:p>
  </w:endnote>
  <w:endnote w:id="3">
    <w:p w14:paraId="64C425BF" w14:textId="77777777" w:rsidR="00F74C89" w:rsidRPr="0043662D" w:rsidRDefault="00F74C89" w:rsidP="0043662D">
      <w:pPr>
        <w:pStyle w:val="EndnoteText"/>
        <w:ind w:left="0"/>
        <w:rPr>
          <w:sz w:val="12"/>
          <w:szCs w:val="12"/>
          <w:lang w:val="en-ZA"/>
        </w:rPr>
      </w:pPr>
      <w:r w:rsidRPr="0043662D">
        <w:rPr>
          <w:rStyle w:val="EndnoteReference"/>
          <w:sz w:val="12"/>
          <w:szCs w:val="12"/>
        </w:rPr>
        <w:endnoteRef/>
      </w:r>
      <w:r w:rsidRPr="0043662D">
        <w:rPr>
          <w:sz w:val="12"/>
          <w:szCs w:val="12"/>
          <w:lang w:val="en-ZA"/>
        </w:rPr>
        <w:t xml:space="preserve">Hydrocortisone, IV: </w:t>
      </w:r>
      <w:r w:rsidRPr="004F4331">
        <w:rPr>
          <w:rFonts w:cs="Arial"/>
          <w:sz w:val="12"/>
          <w:szCs w:val="12"/>
        </w:rPr>
        <w:t xml:space="preserve">Bornstein SR, Allolio B, Arlt W, Barthel A, Don-Wauchope A, Hammer GD, Husebye ES, Merke DP, Murad MH, Stratakis CA, Torpy DJ. Diagnosis and Treatment of Primary Adrenal Insufficiency: An Endocrine Society Clinical Practice Guideline.  J Clin Endocrinol Metab. 2016 Feb;101(2):364-89. </w:t>
      </w:r>
      <w:hyperlink r:id="rId1" w:history="1">
        <w:r w:rsidRPr="00053AB5">
          <w:rPr>
            <w:rStyle w:val="Hyperlink"/>
            <w:sz w:val="12"/>
            <w:szCs w:val="12"/>
          </w:rPr>
          <w:t>https://www.ncbi.nlm.nih.gov/pubmed/26760044</w:t>
        </w:r>
      </w:hyperlink>
      <w:r>
        <w:rPr>
          <w:rFonts w:cs="Arial"/>
          <w:sz w:val="12"/>
          <w:szCs w:val="12"/>
        </w:rPr>
        <w:t xml:space="preserve"> </w:t>
      </w:r>
    </w:p>
  </w:endnote>
  <w:endnote w:id="4">
    <w:p w14:paraId="53E909EB" w14:textId="77777777" w:rsidR="00F74C89" w:rsidRPr="005B13FA" w:rsidRDefault="00F74C89" w:rsidP="00364E88">
      <w:pPr>
        <w:pStyle w:val="EndnoteText"/>
        <w:tabs>
          <w:tab w:val="left" w:pos="142"/>
        </w:tabs>
        <w:ind w:left="0"/>
        <w:jc w:val="left"/>
        <w:rPr>
          <w:sz w:val="12"/>
        </w:rPr>
      </w:pPr>
      <w:r w:rsidRPr="005B13FA">
        <w:rPr>
          <w:rStyle w:val="EndnoteReference"/>
          <w:sz w:val="12"/>
        </w:rPr>
        <w:endnoteRef/>
      </w:r>
      <w:r>
        <w:rPr>
          <w:sz w:val="12"/>
        </w:rPr>
        <w:tab/>
      </w:r>
      <w:r w:rsidRPr="005B13FA">
        <w:rPr>
          <w:sz w:val="12"/>
        </w:rPr>
        <w:t>Sodium chloride 0.9%, IV:</w:t>
      </w:r>
      <w:r>
        <w:rPr>
          <w:sz w:val="12"/>
        </w:rPr>
        <w:t xml:space="preserve"> </w:t>
      </w:r>
      <w:r w:rsidRPr="000A2BB9">
        <w:rPr>
          <w:sz w:val="12"/>
        </w:rPr>
        <w:t>The Society for Endocrinology, Metabolism and Diabetes of South Africa Type 2 Diabetes Guidelines Expert Committee. The 2017 SEMDSA Guideline for the Management of Type 2 Diabetes Guideline Committee. JEMDSA 2017; 21(1)(Supplement 1): S1-S196.</w:t>
      </w:r>
      <w:r>
        <w:rPr>
          <w:sz w:val="12"/>
        </w:rPr>
        <w:t xml:space="preserve"> </w:t>
      </w:r>
      <w:hyperlink r:id="rId2" w:history="1">
        <w:r w:rsidRPr="000A2BB9">
          <w:rPr>
            <w:rStyle w:val="Hyperlink"/>
            <w:rFonts w:cs="Times New Roman"/>
            <w:sz w:val="12"/>
          </w:rPr>
          <w:t>http://www.jemdsa.co.za/index.php/JEMDSA/article/view/647/937</w:t>
        </w:r>
      </w:hyperlink>
      <w:r w:rsidRPr="00FD4E3A" w:rsidDel="000A2BB9">
        <w:rPr>
          <w:sz w:val="12"/>
        </w:rPr>
        <w:t xml:space="preserve"> </w:t>
      </w:r>
    </w:p>
    <w:p w14:paraId="2E2E6E0A" w14:textId="77777777" w:rsidR="00F74C89" w:rsidRPr="005B13FA" w:rsidRDefault="00F74C89" w:rsidP="000A2BB9">
      <w:pPr>
        <w:pStyle w:val="EndnoteText"/>
        <w:tabs>
          <w:tab w:val="left" w:pos="142"/>
        </w:tabs>
        <w:ind w:left="0"/>
        <w:jc w:val="left"/>
        <w:rPr>
          <w:sz w:val="12"/>
        </w:rPr>
      </w:pPr>
      <w:r>
        <w:rPr>
          <w:sz w:val="12"/>
        </w:rPr>
        <w:tab/>
      </w:r>
      <w:r w:rsidRPr="005B13FA">
        <w:rPr>
          <w:sz w:val="12"/>
        </w:rPr>
        <w:t>Dextrose 50%, IV:</w:t>
      </w:r>
      <w:r w:rsidRPr="000A2BB9">
        <w:rPr>
          <w:sz w:val="12"/>
        </w:rPr>
        <w:t xml:space="preserve"> The Society for Endocrinology, Metabolism and Diabetes of South Africa Type 2 Diabetes Guidelines Expert Committee. The 2017 SEMDSA Guideline for the Management of Type 2 Diabetes Guideline Committee. JEMDSA 2017; 21(1)(Supplement 1): S1-S196.</w:t>
      </w:r>
      <w:r>
        <w:rPr>
          <w:sz w:val="12"/>
        </w:rPr>
        <w:t xml:space="preserve"> </w:t>
      </w:r>
      <w:hyperlink r:id="rId3" w:history="1">
        <w:r w:rsidRPr="000A2BB9">
          <w:rPr>
            <w:rStyle w:val="Hyperlink"/>
            <w:rFonts w:cs="Times New Roman"/>
            <w:sz w:val="12"/>
          </w:rPr>
          <w:t>http://www.jemdsa.co.za/index.php/JEMDSA/article/view/647/937</w:t>
        </w:r>
      </w:hyperlink>
    </w:p>
    <w:p w14:paraId="46403E2A" w14:textId="77777777" w:rsidR="00F74C89" w:rsidRDefault="00F74C89" w:rsidP="00364E88">
      <w:pPr>
        <w:pStyle w:val="EndnoteText"/>
        <w:tabs>
          <w:tab w:val="left" w:pos="142"/>
        </w:tabs>
        <w:ind w:left="0"/>
        <w:jc w:val="left"/>
      </w:pPr>
      <w:r>
        <w:rPr>
          <w:sz w:val="12"/>
        </w:rPr>
        <w:tab/>
      </w:r>
      <w:r w:rsidRPr="005B13FA">
        <w:rPr>
          <w:sz w:val="12"/>
        </w:rPr>
        <w:t>Sodium chloride 0.9%/ dextrose 5%, IV:</w:t>
      </w:r>
      <w:r>
        <w:rPr>
          <w:sz w:val="12"/>
        </w:rPr>
        <w:t xml:space="preserve"> </w:t>
      </w:r>
      <w:r w:rsidRPr="000A2BB9">
        <w:rPr>
          <w:sz w:val="12"/>
        </w:rPr>
        <w:t>The Society for Endocrinology, Metabolism and Diabetes of South Africa Type 2 Diabetes Guidelines Expert Committee. The 2017 SEMDSA Guideline for the Management of Type 2 Diabetes Guideline Committee. JEMDSA 2017; 21(1)(Supplement 1): S1-S196.</w:t>
      </w:r>
      <w:r>
        <w:rPr>
          <w:sz w:val="12"/>
        </w:rPr>
        <w:t xml:space="preserve"> </w:t>
      </w:r>
      <w:hyperlink r:id="rId4" w:history="1">
        <w:r w:rsidRPr="000A2BB9">
          <w:rPr>
            <w:rStyle w:val="Hyperlink"/>
            <w:rFonts w:cs="Times New Roman"/>
            <w:sz w:val="12"/>
          </w:rPr>
          <w:t>http://www.jemdsa.co.za/index.php/JEMDSA/article/view/647/937</w:t>
        </w:r>
      </w:hyperlink>
    </w:p>
  </w:endnote>
  <w:endnote w:id="5">
    <w:p w14:paraId="06A8E596" w14:textId="371AF486" w:rsidR="00F74C89" w:rsidRPr="001F6931" w:rsidRDefault="00F74C89" w:rsidP="001F6931">
      <w:pPr>
        <w:pStyle w:val="EndnoteText"/>
        <w:ind w:left="0"/>
        <w:rPr>
          <w:sz w:val="12"/>
          <w:szCs w:val="12"/>
          <w:lang w:val="en-ZA"/>
        </w:rPr>
      </w:pPr>
      <w:r w:rsidRPr="001F6931">
        <w:rPr>
          <w:rStyle w:val="EndnoteReference"/>
          <w:sz w:val="12"/>
          <w:szCs w:val="12"/>
        </w:rPr>
        <w:endnoteRef/>
      </w:r>
      <w:r w:rsidRPr="001F6931">
        <w:rPr>
          <w:sz w:val="12"/>
          <w:szCs w:val="12"/>
        </w:rPr>
        <w:t xml:space="preserve"> </w:t>
      </w:r>
      <w:r w:rsidRPr="001F6931">
        <w:rPr>
          <w:sz w:val="12"/>
          <w:szCs w:val="12"/>
          <w:lang w:val="en-ZA"/>
        </w:rPr>
        <w:t xml:space="preserve">Corticosteroids, oral (intermediate-acting therapeutic class): </w:t>
      </w:r>
      <w:r w:rsidRPr="001F6931">
        <w:rPr>
          <w:rFonts w:cs="Arial"/>
          <w:sz w:val="12"/>
          <w:szCs w:val="12"/>
        </w:rPr>
        <w:t>South African Medicines Formulary.  12th Edition.  Division of Clinical Pharmacology.University of Cape Town. 2016.</w:t>
      </w:r>
    </w:p>
  </w:endnote>
  <w:endnote w:id="6">
    <w:p w14:paraId="299DA481" w14:textId="77777777" w:rsidR="00F74C89" w:rsidRPr="0096377C" w:rsidRDefault="00F74C89" w:rsidP="0096377C">
      <w:pPr>
        <w:pStyle w:val="EndnoteText"/>
        <w:tabs>
          <w:tab w:val="left" w:pos="180"/>
        </w:tabs>
        <w:ind w:left="0"/>
        <w:jc w:val="left"/>
        <w:rPr>
          <w:sz w:val="12"/>
        </w:rPr>
      </w:pPr>
      <w:r w:rsidRPr="005B13FA">
        <w:rPr>
          <w:rStyle w:val="EndnoteReference"/>
          <w:sz w:val="12"/>
        </w:rPr>
        <w:endnoteRef/>
      </w:r>
      <w:r>
        <w:rPr>
          <w:sz w:val="12"/>
        </w:rPr>
        <w:tab/>
        <w:t>Fludrocortisone, oral</w:t>
      </w:r>
      <w:r w:rsidRPr="005B13FA">
        <w:rPr>
          <w:sz w:val="12"/>
        </w:rPr>
        <w:t>:</w:t>
      </w:r>
      <w:r>
        <w:rPr>
          <w:sz w:val="12"/>
        </w:rPr>
        <w:t xml:space="preserve"> </w:t>
      </w:r>
      <w:r w:rsidRPr="000A2BB9">
        <w:rPr>
          <w:sz w:val="12"/>
        </w:rPr>
        <w:t>The Society for Endocrinology, Metabolism and Diabetes of South Africa Type 2 Diabetes Guidelines Expert Committee. The 2017 SEMDSA Guideline for the Management of Type 2 Diabetes Guideline Committee. JEMDSA 2017; 21(1)(Supplement 1): S1-S196.</w:t>
      </w:r>
      <w:r>
        <w:rPr>
          <w:sz w:val="12"/>
        </w:rPr>
        <w:t xml:space="preserve"> </w:t>
      </w:r>
      <w:hyperlink r:id="rId5" w:history="1">
        <w:r w:rsidRPr="000A2BB9">
          <w:rPr>
            <w:rStyle w:val="Hyperlink"/>
            <w:rFonts w:cs="Times New Roman"/>
            <w:sz w:val="12"/>
          </w:rPr>
          <w:t>http://www.jemdsa.co.za/index.php/JEMDSA/article/view/647/937</w:t>
        </w:r>
      </w:hyperlink>
      <w:r w:rsidRPr="005B13FA" w:rsidDel="000A2BB9">
        <w:rPr>
          <w:sz w:val="12"/>
        </w:rPr>
        <w:t xml:space="preserve"> </w:t>
      </w:r>
    </w:p>
  </w:endnote>
  <w:endnote w:id="7">
    <w:p w14:paraId="1FBCBB23" w14:textId="77777777" w:rsidR="00F74C89" w:rsidRPr="0043662D" w:rsidRDefault="00F74C89" w:rsidP="00B702D2">
      <w:pPr>
        <w:pStyle w:val="EndnoteText"/>
        <w:tabs>
          <w:tab w:val="left" w:pos="180"/>
        </w:tabs>
        <w:ind w:left="0"/>
        <w:jc w:val="left"/>
        <w:rPr>
          <w:sz w:val="12"/>
          <w:szCs w:val="12"/>
          <w:lang w:val="en-ZA"/>
        </w:rPr>
      </w:pPr>
      <w:r w:rsidRPr="0043662D">
        <w:rPr>
          <w:rStyle w:val="EndnoteReference"/>
          <w:sz w:val="12"/>
          <w:szCs w:val="12"/>
        </w:rPr>
        <w:endnoteRef/>
      </w:r>
      <w:r w:rsidRPr="0043662D">
        <w:rPr>
          <w:sz w:val="12"/>
          <w:szCs w:val="12"/>
          <w:lang w:val="en-ZA"/>
        </w:rPr>
        <w:t xml:space="preserve">Hydrocortisone, IV: </w:t>
      </w:r>
      <w:r w:rsidRPr="004F4331">
        <w:rPr>
          <w:rFonts w:cs="Arial"/>
          <w:sz w:val="12"/>
          <w:szCs w:val="12"/>
        </w:rPr>
        <w:t xml:space="preserve">Bornstein SR, Allolio B, Arlt W, Barthel A, Don-Wauchope A, Hammer GD, Husebye ES, Merke DP, Murad MH, Stratakis CA, Torpy DJ. Diagnosis and Treatment of Primary Adrenal Insufficiency: An Endocrine Society Clinical Practice Guideline.  J Clin Endocrinol Metab. 2016 Feb;101(2):364-89. </w:t>
      </w:r>
      <w:hyperlink r:id="rId6" w:history="1">
        <w:r w:rsidRPr="00053AB5">
          <w:rPr>
            <w:rStyle w:val="Hyperlink"/>
            <w:sz w:val="12"/>
            <w:szCs w:val="12"/>
          </w:rPr>
          <w:t>https://www.ncbi.nlm.nih.gov/pubmed/26760044</w:t>
        </w:r>
      </w:hyperlink>
    </w:p>
  </w:endnote>
  <w:endnote w:id="8">
    <w:p w14:paraId="2663F220" w14:textId="77777777" w:rsidR="00F74C89" w:rsidRPr="006779F1" w:rsidRDefault="00F74C89" w:rsidP="00172D98">
      <w:pPr>
        <w:pStyle w:val="EndnoteText"/>
        <w:ind w:left="0"/>
        <w:rPr>
          <w:sz w:val="12"/>
          <w:szCs w:val="12"/>
        </w:rPr>
      </w:pPr>
      <w:r w:rsidRPr="00172D98">
        <w:rPr>
          <w:rStyle w:val="EndnoteReference"/>
          <w:sz w:val="12"/>
          <w:szCs w:val="12"/>
        </w:rPr>
        <w:endnoteRef/>
      </w:r>
      <w:r w:rsidRPr="00172D98">
        <w:rPr>
          <w:sz w:val="12"/>
          <w:szCs w:val="12"/>
        </w:rPr>
        <w:t xml:space="preserve"> Testosterone cypionate, IM: Fernández-Balsells MM, Murad MH, Lane M, Lampropulos JF, Albuquerque F, Mullan RJ, Agrwal N, Elamin MB, Gallegos-Orozco JF, Wang AT, Erwin PJ, Bhasin S, Montori VM. Clinical review 1: Adverse effects of testosterone therapy in adult men: a systematic review and meta-analysis. J Clin Endocrinol </w:t>
      </w:r>
      <w:r w:rsidRPr="006779F1">
        <w:rPr>
          <w:sz w:val="12"/>
          <w:szCs w:val="12"/>
        </w:rPr>
        <w:t xml:space="preserve">Metab. 2010 Jun;95(6):2560-75. </w:t>
      </w:r>
      <w:hyperlink r:id="rId7" w:history="1">
        <w:r w:rsidRPr="006779F1">
          <w:rPr>
            <w:rStyle w:val="Hyperlink"/>
            <w:rFonts w:cs="Times New Roman"/>
            <w:sz w:val="12"/>
            <w:szCs w:val="12"/>
          </w:rPr>
          <w:t>https://www.ncbi.nlm.nih.gov/pubmed/20525906</w:t>
        </w:r>
      </w:hyperlink>
    </w:p>
    <w:p w14:paraId="634C893E" w14:textId="77777777" w:rsidR="00F74C89" w:rsidRPr="0094687A" w:rsidRDefault="00F74C89" w:rsidP="00172D98">
      <w:pPr>
        <w:pStyle w:val="EndnoteText"/>
        <w:tabs>
          <w:tab w:val="left" w:pos="142"/>
        </w:tabs>
        <w:ind w:left="0"/>
        <w:rPr>
          <w:sz w:val="12"/>
          <w:szCs w:val="12"/>
          <w:lang w:val="en-ZA"/>
        </w:rPr>
      </w:pPr>
      <w:r w:rsidRPr="006779F1">
        <w:rPr>
          <w:sz w:val="12"/>
          <w:szCs w:val="12"/>
        </w:rPr>
        <w:tab/>
        <w:t xml:space="preserve">Testosterone cypionate, IM: </w:t>
      </w:r>
      <w:r>
        <w:rPr>
          <w:sz w:val="12"/>
          <w:szCs w:val="12"/>
        </w:rPr>
        <w:t>Pfizer, MCC registered package insert: Depo-testosterone</w:t>
      </w:r>
      <w:r>
        <w:rPr>
          <w:rFonts w:cs="Arial"/>
          <w:sz w:val="12"/>
          <w:szCs w:val="12"/>
        </w:rPr>
        <w:t>™</w:t>
      </w:r>
      <w:r>
        <w:rPr>
          <w:sz w:val="12"/>
          <w:szCs w:val="12"/>
        </w:rPr>
        <w:t>, 31 January 2016.</w:t>
      </w:r>
    </w:p>
  </w:endnote>
  <w:endnote w:id="9">
    <w:p w14:paraId="0A3A04A4" w14:textId="77777777" w:rsidR="00F74C89" w:rsidRDefault="00F74C89" w:rsidP="004912BF">
      <w:pPr>
        <w:pStyle w:val="EndnoteText"/>
        <w:tabs>
          <w:tab w:val="left" w:pos="180"/>
        </w:tabs>
        <w:ind w:left="0"/>
      </w:pPr>
      <w:r w:rsidRPr="004912BF">
        <w:rPr>
          <w:rStyle w:val="EndnoteReference"/>
          <w:sz w:val="12"/>
          <w:szCs w:val="12"/>
        </w:rPr>
        <w:endnoteRef/>
      </w:r>
      <w:r>
        <w:rPr>
          <w:sz w:val="12"/>
          <w:szCs w:val="12"/>
        </w:rPr>
        <w:tab/>
      </w:r>
      <w:r w:rsidRPr="004912BF">
        <w:rPr>
          <w:sz w:val="12"/>
          <w:szCs w:val="12"/>
        </w:rPr>
        <w:t>Dexamethasone, oral: Findling JW, Raff H, Aron DC. The low-dose dexamethasone suppression test: a reevaluation in patients with Cushing's syndrome. J Clin</w:t>
      </w:r>
      <w:r>
        <w:rPr>
          <w:sz w:val="12"/>
          <w:szCs w:val="12"/>
        </w:rPr>
        <w:t xml:space="preserve"> </w:t>
      </w:r>
      <w:r w:rsidRPr="004912BF">
        <w:rPr>
          <w:sz w:val="12"/>
          <w:szCs w:val="12"/>
        </w:rPr>
        <w:t>Endocrinol</w:t>
      </w:r>
      <w:r>
        <w:rPr>
          <w:sz w:val="12"/>
          <w:szCs w:val="12"/>
        </w:rPr>
        <w:t xml:space="preserve"> </w:t>
      </w:r>
      <w:r w:rsidRPr="004912BF">
        <w:rPr>
          <w:sz w:val="12"/>
          <w:szCs w:val="12"/>
        </w:rPr>
        <w:t xml:space="preserve">Metab. 2004 Mar;89(3):1222-6. </w:t>
      </w:r>
      <w:hyperlink r:id="rId8" w:history="1">
        <w:r w:rsidRPr="0038176C">
          <w:rPr>
            <w:rStyle w:val="Hyperlink"/>
            <w:rFonts w:cs="Times New Roman"/>
            <w:sz w:val="12"/>
            <w:szCs w:val="12"/>
          </w:rPr>
          <w:t>http://www.ncbi.nlm.nih.gov/pubmed/15001614</w:t>
        </w:r>
      </w:hyperlink>
    </w:p>
  </w:endnote>
  <w:endnote w:id="10">
    <w:p w14:paraId="6ED0B761" w14:textId="77777777" w:rsidR="00F74C89" w:rsidRDefault="00F74C89" w:rsidP="00203651">
      <w:pPr>
        <w:pStyle w:val="EndnoteText"/>
        <w:tabs>
          <w:tab w:val="left" w:pos="180"/>
        </w:tabs>
        <w:ind w:left="0"/>
        <w:jc w:val="left"/>
      </w:pPr>
      <w:r w:rsidRPr="005B13FA">
        <w:rPr>
          <w:rStyle w:val="EndnoteReference"/>
          <w:sz w:val="12"/>
        </w:rPr>
        <w:endnoteRef/>
      </w:r>
      <w:r>
        <w:rPr>
          <w:sz w:val="12"/>
        </w:rPr>
        <w:tab/>
        <w:t>Diagnosis of diabetes mellitus</w:t>
      </w:r>
      <w:r w:rsidRPr="005B13FA">
        <w:rPr>
          <w:sz w:val="12"/>
        </w:rPr>
        <w:t>:</w:t>
      </w:r>
      <w:r>
        <w:rPr>
          <w:sz w:val="12"/>
        </w:rPr>
        <w:t xml:space="preserve"> </w:t>
      </w:r>
      <w:r w:rsidRPr="000A2BB9">
        <w:rPr>
          <w:sz w:val="12"/>
        </w:rPr>
        <w:t>The Society for Endocrinology, Metabolism and Diabetes of South Africa Type 2 Diabetes Guidelines Expert Committee. The 2017 SEMDSA Guideline for the Management of Type 2 Diabetes Guideline Committee. JEMDSA 2017; 21(1)(Supplement 1): S1-S196.</w:t>
      </w:r>
      <w:r>
        <w:rPr>
          <w:sz w:val="12"/>
        </w:rPr>
        <w:t xml:space="preserve"> </w:t>
      </w:r>
      <w:hyperlink r:id="rId9" w:history="1">
        <w:r w:rsidRPr="000A2BB9">
          <w:rPr>
            <w:rStyle w:val="Hyperlink"/>
            <w:rFonts w:cs="Times New Roman"/>
            <w:sz w:val="12"/>
          </w:rPr>
          <w:t>http://www.jemdsa.co.za/index.php/JEMDSA/article/view/647/937</w:t>
        </w:r>
      </w:hyperlink>
    </w:p>
    <w:p w14:paraId="58180018" w14:textId="77777777" w:rsidR="00F74C89" w:rsidRDefault="00F74C89" w:rsidP="00203651">
      <w:pPr>
        <w:pStyle w:val="EndnoteText"/>
        <w:tabs>
          <w:tab w:val="left" w:pos="180"/>
        </w:tabs>
        <w:ind w:left="0"/>
        <w:jc w:val="left"/>
        <w:rPr>
          <w:rFonts w:eastAsiaTheme="minorHAnsi" w:cs="Arial"/>
          <w:bCs w:val="0"/>
          <w:color w:val="0000FF" w:themeColor="hyperlink"/>
          <w:sz w:val="12"/>
          <w:szCs w:val="12"/>
          <w:u w:val="single"/>
          <w:lang w:val="en-GB"/>
        </w:rPr>
      </w:pPr>
      <w:r>
        <w:tab/>
      </w:r>
      <w:r w:rsidRPr="00203651">
        <w:rPr>
          <w:rFonts w:cs="Arial"/>
          <w:sz w:val="12"/>
          <w:szCs w:val="12"/>
        </w:rPr>
        <w:t xml:space="preserve">Diagnosis of diabetes mellitus: </w:t>
      </w:r>
      <w:r w:rsidRPr="00203651">
        <w:rPr>
          <w:rFonts w:eastAsiaTheme="minorHAnsi" w:cs="Arial"/>
          <w:bCs w:val="0"/>
          <w:color w:val="auto"/>
          <w:sz w:val="12"/>
          <w:szCs w:val="12"/>
          <w:lang w:val="en-GB"/>
        </w:rPr>
        <w:t xml:space="preserve">National Department of Health: Affordable Medicines, EDP-Adult Hospital level. Review: HbA1c as a diagnostic test for diabetes, October 2017. </w:t>
      </w:r>
      <w:hyperlink r:id="rId10" w:history="1">
        <w:r w:rsidRPr="00203651">
          <w:rPr>
            <w:rFonts w:eastAsiaTheme="minorHAnsi" w:cs="Arial"/>
            <w:bCs w:val="0"/>
            <w:color w:val="0000FF" w:themeColor="hyperlink"/>
            <w:sz w:val="12"/>
            <w:szCs w:val="12"/>
            <w:u w:val="single"/>
            <w:lang w:val="en-GB"/>
          </w:rPr>
          <w:t>http://www.health.gov.za/</w:t>
        </w:r>
      </w:hyperlink>
    </w:p>
    <w:p w14:paraId="2BC87C4D" w14:textId="77777777" w:rsidR="00F74C89" w:rsidRDefault="00F74C89" w:rsidP="00203651">
      <w:pPr>
        <w:pStyle w:val="EndnoteText"/>
        <w:tabs>
          <w:tab w:val="left" w:pos="180"/>
        </w:tabs>
        <w:ind w:left="0"/>
        <w:jc w:val="left"/>
        <w:rPr>
          <w:rFonts w:eastAsiaTheme="minorHAnsi" w:cs="Arial"/>
          <w:bCs w:val="0"/>
          <w:color w:val="0000FF" w:themeColor="hyperlink"/>
          <w:sz w:val="12"/>
          <w:szCs w:val="12"/>
          <w:u w:val="single"/>
          <w:lang w:val="en-GB"/>
        </w:rPr>
      </w:pPr>
      <w:r w:rsidRPr="0057023A">
        <w:rPr>
          <w:rFonts w:eastAsiaTheme="minorHAnsi" w:cs="Arial"/>
          <w:bCs w:val="0"/>
          <w:color w:val="0000FF" w:themeColor="hyperlink"/>
          <w:sz w:val="12"/>
          <w:szCs w:val="12"/>
          <w:lang w:val="en-GB"/>
        </w:rPr>
        <w:tab/>
      </w:r>
      <w:r w:rsidRPr="00203651">
        <w:rPr>
          <w:rFonts w:eastAsiaTheme="minorHAnsi" w:cs="Arial"/>
          <w:bCs w:val="0"/>
          <w:color w:val="auto"/>
          <w:sz w:val="12"/>
          <w:szCs w:val="12"/>
          <w:lang w:val="en-GB"/>
        </w:rPr>
        <w:t xml:space="preserve">Diagnosis of diabetes mellitus: Wheeler E, Leong A, Liu CT, et al. Impact of common genetic determinants of Hemoglobin A1c on type 2 diabetes risk and diagnosis in ancestrally diverse populations: A transethnic genome-wide meta-analysis. PLoS Med. 2017 Sep 12;14(9):e1002383. </w:t>
      </w:r>
      <w:hyperlink r:id="rId11" w:history="1">
        <w:r w:rsidRPr="00053AB5">
          <w:rPr>
            <w:rStyle w:val="Hyperlink"/>
            <w:rFonts w:eastAsiaTheme="minorHAnsi"/>
            <w:bCs w:val="0"/>
            <w:sz w:val="12"/>
            <w:szCs w:val="12"/>
            <w:lang w:val="en-GB"/>
          </w:rPr>
          <w:t>https://www.ncbi.nlm.nih.gov/pubmed/28898252</w:t>
        </w:r>
      </w:hyperlink>
      <w:r>
        <w:rPr>
          <w:rFonts w:eastAsiaTheme="minorHAnsi" w:cs="Arial"/>
          <w:bCs w:val="0"/>
          <w:color w:val="0000FF" w:themeColor="hyperlink"/>
          <w:sz w:val="12"/>
          <w:szCs w:val="12"/>
          <w:u w:val="single"/>
          <w:lang w:val="en-GB"/>
        </w:rPr>
        <w:t xml:space="preserve"> </w:t>
      </w:r>
    </w:p>
    <w:p w14:paraId="455558CF" w14:textId="77777777" w:rsidR="00F74C89" w:rsidRPr="0057023A" w:rsidRDefault="00F74C89" w:rsidP="0057023A">
      <w:pPr>
        <w:pStyle w:val="EndnoteText"/>
        <w:tabs>
          <w:tab w:val="left" w:pos="180"/>
        </w:tabs>
        <w:ind w:left="0"/>
        <w:jc w:val="left"/>
        <w:rPr>
          <w:rFonts w:eastAsiaTheme="minorHAnsi" w:cs="Arial"/>
          <w:bCs w:val="0"/>
          <w:color w:val="auto"/>
          <w:sz w:val="12"/>
          <w:szCs w:val="12"/>
          <w:lang w:val="en-GB"/>
        </w:rPr>
      </w:pPr>
      <w:r w:rsidRPr="0057023A">
        <w:rPr>
          <w:rFonts w:eastAsiaTheme="minorHAnsi" w:cs="Arial"/>
          <w:bCs w:val="0"/>
          <w:color w:val="0000FF" w:themeColor="hyperlink"/>
          <w:sz w:val="12"/>
          <w:szCs w:val="12"/>
          <w:lang w:val="en-GB"/>
        </w:rPr>
        <w:tab/>
      </w:r>
      <w:r w:rsidRPr="00203651">
        <w:rPr>
          <w:rFonts w:eastAsiaTheme="minorHAnsi" w:cs="Arial"/>
          <w:bCs w:val="0"/>
          <w:color w:val="auto"/>
          <w:sz w:val="12"/>
          <w:szCs w:val="12"/>
          <w:lang w:val="en-GB"/>
        </w:rPr>
        <w:t>Diagnosis of diabetes mellitus:</w:t>
      </w:r>
      <w:r>
        <w:rPr>
          <w:rFonts w:eastAsiaTheme="minorHAnsi" w:cs="Arial"/>
          <w:bCs w:val="0"/>
          <w:color w:val="auto"/>
          <w:sz w:val="12"/>
          <w:szCs w:val="12"/>
          <w:lang w:val="en-GB"/>
        </w:rPr>
        <w:t xml:space="preserve"> </w:t>
      </w:r>
      <w:r w:rsidRPr="0057023A">
        <w:rPr>
          <w:rFonts w:eastAsiaTheme="minorHAnsi" w:cs="Arial"/>
          <w:bCs w:val="0"/>
          <w:color w:val="auto"/>
          <w:sz w:val="12"/>
          <w:szCs w:val="12"/>
          <w:lang w:val="en-GB"/>
        </w:rPr>
        <w:t>Herman WH, Ma Y, Uwaifo G, et al. Diabetes Prevention Program Research Group. Differences in A1C by race and ethnicity among patients with impaired glucose tolerance in the Diabetes Prevention Program. Diabetes Care 2007;30:2453–2457.</w:t>
      </w:r>
    </w:p>
    <w:p w14:paraId="763CD7EF" w14:textId="77777777" w:rsidR="00F74C89" w:rsidRPr="00203651" w:rsidRDefault="00F74C89" w:rsidP="0057023A">
      <w:pPr>
        <w:pStyle w:val="EndnoteText"/>
        <w:tabs>
          <w:tab w:val="left" w:pos="180"/>
        </w:tabs>
        <w:ind w:left="0"/>
        <w:jc w:val="left"/>
        <w:rPr>
          <w:rFonts w:cs="Arial"/>
          <w:sz w:val="12"/>
          <w:szCs w:val="12"/>
        </w:rPr>
      </w:pPr>
      <w:hyperlink r:id="rId12" w:history="1">
        <w:r w:rsidRPr="00053AB5">
          <w:rPr>
            <w:rStyle w:val="Hyperlink"/>
            <w:sz w:val="12"/>
            <w:szCs w:val="12"/>
          </w:rPr>
          <w:t>https://www.ncbi.nlm.nih.gov/pubmed/17536077</w:t>
        </w:r>
      </w:hyperlink>
      <w:r>
        <w:rPr>
          <w:rFonts w:cs="Arial"/>
          <w:sz w:val="12"/>
          <w:szCs w:val="12"/>
        </w:rPr>
        <w:t xml:space="preserve"> </w:t>
      </w:r>
    </w:p>
  </w:endnote>
  <w:endnote w:id="11">
    <w:p w14:paraId="1734EAC1" w14:textId="77777777" w:rsidR="00F74C89" w:rsidRPr="0096377C" w:rsidRDefault="00F74C89" w:rsidP="00536F88">
      <w:pPr>
        <w:pStyle w:val="EndnoteText"/>
        <w:tabs>
          <w:tab w:val="left" w:pos="180"/>
        </w:tabs>
        <w:ind w:left="0"/>
        <w:jc w:val="left"/>
        <w:rPr>
          <w:sz w:val="12"/>
        </w:rPr>
      </w:pPr>
      <w:r w:rsidRPr="005B13FA">
        <w:rPr>
          <w:rStyle w:val="EndnoteReference"/>
          <w:sz w:val="12"/>
        </w:rPr>
        <w:endnoteRef/>
      </w:r>
      <w:r>
        <w:rPr>
          <w:sz w:val="12"/>
        </w:rPr>
        <w:tab/>
        <w:t>Monitoring of diabetes mellitus</w:t>
      </w:r>
      <w:r w:rsidRPr="005B13FA">
        <w:rPr>
          <w:sz w:val="12"/>
        </w:rPr>
        <w:t>:</w:t>
      </w:r>
      <w:r>
        <w:rPr>
          <w:sz w:val="12"/>
        </w:rPr>
        <w:t xml:space="preserve"> </w:t>
      </w:r>
      <w:r w:rsidRPr="000A2BB9">
        <w:rPr>
          <w:sz w:val="12"/>
        </w:rPr>
        <w:t>The Society for Endocrinology, Metabolism and Diabetes of South Africa Type 2 Diabetes Guidelines Expert Committee. The 2017 SEMDSA Guideline for the Management of Type 2 Diabetes Guideline Committee. JEMDSA 2017; 21(1)(Supplement 1): S1-S196.</w:t>
      </w:r>
      <w:r>
        <w:rPr>
          <w:sz w:val="12"/>
        </w:rPr>
        <w:t xml:space="preserve"> </w:t>
      </w:r>
      <w:hyperlink r:id="rId13" w:history="1">
        <w:r w:rsidRPr="000A2BB9">
          <w:rPr>
            <w:rStyle w:val="Hyperlink"/>
            <w:rFonts w:cs="Times New Roman"/>
            <w:sz w:val="12"/>
          </w:rPr>
          <w:t>http://www.jemdsa.co.za/index.php/JEMDSA/article/view/647/937</w:t>
        </w:r>
      </w:hyperlink>
      <w:r>
        <w:tab/>
      </w:r>
    </w:p>
  </w:endnote>
  <w:endnote w:id="12">
    <w:p w14:paraId="641EBC90" w14:textId="77777777" w:rsidR="00F74C89" w:rsidRPr="00536F88" w:rsidRDefault="00F74C89" w:rsidP="00536F88">
      <w:pPr>
        <w:pStyle w:val="EndnoteText"/>
        <w:tabs>
          <w:tab w:val="left" w:pos="142"/>
        </w:tabs>
        <w:ind w:left="0"/>
        <w:jc w:val="left"/>
        <w:rPr>
          <w:sz w:val="12"/>
          <w:szCs w:val="12"/>
        </w:rPr>
      </w:pPr>
      <w:r w:rsidRPr="00536F88">
        <w:rPr>
          <w:rStyle w:val="EndnoteReference"/>
          <w:sz w:val="12"/>
          <w:szCs w:val="12"/>
        </w:rPr>
        <w:endnoteRef/>
      </w:r>
      <w:r w:rsidRPr="00536F88">
        <w:rPr>
          <w:sz w:val="12"/>
          <w:szCs w:val="12"/>
        </w:rPr>
        <w:tab/>
        <w:t>Urine protein monitoring by dipstix: McFarlane P. Gilbert RE, MacCallum L, Senior P. Chronic Kidney Disease in Diabetes. Can J Diabetes 37 (2013) S129eS136.</w:t>
      </w:r>
    </w:p>
    <w:p w14:paraId="0A34C0F9" w14:textId="77777777" w:rsidR="00F74C89" w:rsidRPr="00536F88" w:rsidRDefault="00F74C89" w:rsidP="00536F88">
      <w:pPr>
        <w:pStyle w:val="EndnoteText"/>
        <w:tabs>
          <w:tab w:val="left" w:pos="142"/>
        </w:tabs>
        <w:ind w:left="0"/>
        <w:jc w:val="left"/>
        <w:rPr>
          <w:sz w:val="12"/>
          <w:szCs w:val="12"/>
        </w:rPr>
      </w:pPr>
      <w:r w:rsidRPr="00536F88">
        <w:rPr>
          <w:sz w:val="12"/>
          <w:szCs w:val="12"/>
        </w:rPr>
        <w:tab/>
        <w:t xml:space="preserve">Urine protein monitoring by dipstix: </w:t>
      </w:r>
      <w:r w:rsidRPr="000A2BB9">
        <w:rPr>
          <w:sz w:val="12"/>
        </w:rPr>
        <w:t>The Society for Endocrinology, Metabolism and Diabetes of South Africa Type 2 Diabetes Guidelines Expert Committee. The 2017 SEMDSA Guideline for the Management of Type 2 Diabetes Guideline Committee. JEMDSA 2017; 21(1)(Supplement 1): S1-S196.</w:t>
      </w:r>
      <w:r>
        <w:rPr>
          <w:sz w:val="12"/>
        </w:rPr>
        <w:t xml:space="preserve"> </w:t>
      </w:r>
      <w:hyperlink r:id="rId14" w:history="1">
        <w:r w:rsidRPr="000A2BB9">
          <w:rPr>
            <w:rStyle w:val="Hyperlink"/>
            <w:rFonts w:cs="Times New Roman"/>
            <w:sz w:val="12"/>
          </w:rPr>
          <w:t>http://www.jemdsa.co.za/index.php/JEMDSA/article/view/647/937</w:t>
        </w:r>
      </w:hyperlink>
    </w:p>
    <w:p w14:paraId="24DBD013" w14:textId="77777777" w:rsidR="00F74C89" w:rsidRPr="00536F88" w:rsidRDefault="00F74C89" w:rsidP="00536F88">
      <w:pPr>
        <w:pStyle w:val="EndnoteText"/>
        <w:tabs>
          <w:tab w:val="left" w:pos="180"/>
        </w:tabs>
        <w:ind w:left="0"/>
        <w:jc w:val="left"/>
        <w:rPr>
          <w:sz w:val="12"/>
          <w:szCs w:val="12"/>
        </w:rPr>
      </w:pPr>
      <w:r>
        <w:rPr>
          <w:sz w:val="12"/>
          <w:szCs w:val="12"/>
        </w:rPr>
        <w:tab/>
      </w:r>
      <w:r w:rsidRPr="00536F88">
        <w:rPr>
          <w:sz w:val="12"/>
          <w:szCs w:val="12"/>
        </w:rPr>
        <w:t>Urine protein monitoring by dipstix</w:t>
      </w:r>
      <w:r>
        <w:rPr>
          <w:sz w:val="12"/>
          <w:szCs w:val="12"/>
        </w:rPr>
        <w:t>:</w:t>
      </w:r>
      <w:r w:rsidRPr="00536F88">
        <w:rPr>
          <w:sz w:val="12"/>
          <w:szCs w:val="12"/>
        </w:rPr>
        <w:t xml:space="preserve"> Noubiap JJ, Naidoo J, Kengne AP. Diabetic nephropathy in Africa: A systematic</w:t>
      </w:r>
      <w:r>
        <w:rPr>
          <w:sz w:val="12"/>
          <w:szCs w:val="12"/>
        </w:rPr>
        <w:t xml:space="preserve"> </w:t>
      </w:r>
      <w:r w:rsidRPr="00536F88">
        <w:rPr>
          <w:sz w:val="12"/>
          <w:szCs w:val="12"/>
        </w:rPr>
        <w:t xml:space="preserve">review. World J Diabetes. 2015 Jun 10;6(5):759-73. </w:t>
      </w:r>
      <w:hyperlink r:id="rId15" w:history="1">
        <w:r w:rsidRPr="00E45F21">
          <w:rPr>
            <w:rStyle w:val="Hyperlink"/>
            <w:rFonts w:cs="Times New Roman"/>
            <w:sz w:val="12"/>
            <w:szCs w:val="12"/>
          </w:rPr>
          <w:t>https://www.ncbi.nlm.nih.gov/pubmed/26069725</w:t>
        </w:r>
      </w:hyperlink>
      <w:r>
        <w:rPr>
          <w:sz w:val="12"/>
          <w:szCs w:val="12"/>
        </w:rPr>
        <w:t xml:space="preserve"> </w:t>
      </w:r>
    </w:p>
    <w:p w14:paraId="1FCA248C" w14:textId="77777777" w:rsidR="00F74C89" w:rsidRPr="0096377C" w:rsidRDefault="00F74C89" w:rsidP="00536F88">
      <w:pPr>
        <w:pStyle w:val="EndnoteText"/>
        <w:tabs>
          <w:tab w:val="left" w:pos="142"/>
        </w:tabs>
        <w:ind w:left="0"/>
        <w:jc w:val="left"/>
        <w:rPr>
          <w:sz w:val="12"/>
        </w:rPr>
      </w:pPr>
      <w:r w:rsidRPr="00536F88">
        <w:rPr>
          <w:sz w:val="12"/>
          <w:szCs w:val="12"/>
        </w:rPr>
        <w:t xml:space="preserve">  </w:t>
      </w:r>
      <w:r w:rsidRPr="00536F88">
        <w:rPr>
          <w:sz w:val="12"/>
          <w:szCs w:val="12"/>
        </w:rPr>
        <w:tab/>
        <w:t>Urine protein monitoring by dipstix</w:t>
      </w:r>
      <w:r>
        <w:rPr>
          <w:sz w:val="12"/>
          <w:szCs w:val="12"/>
        </w:rPr>
        <w:t xml:space="preserve">: </w:t>
      </w:r>
      <w:r w:rsidRPr="00536F88">
        <w:rPr>
          <w:sz w:val="12"/>
          <w:szCs w:val="12"/>
        </w:rPr>
        <w:t xml:space="preserve"> MR Davids, N Marais, JC Jacobs. South African Renal Registry. Annual Report</w:t>
      </w:r>
      <w:r>
        <w:rPr>
          <w:sz w:val="12"/>
          <w:szCs w:val="12"/>
        </w:rPr>
        <w:t xml:space="preserve"> </w:t>
      </w:r>
      <w:r w:rsidRPr="00536F88">
        <w:rPr>
          <w:sz w:val="12"/>
          <w:szCs w:val="12"/>
        </w:rPr>
        <w:t>2012. South African Renal Society, Cape Town 2014</w:t>
      </w:r>
      <w:r>
        <w:rPr>
          <w:sz w:val="12"/>
          <w:szCs w:val="12"/>
        </w:rPr>
        <w:t xml:space="preserve">. </w:t>
      </w:r>
      <w:hyperlink r:id="rId16" w:history="1">
        <w:r w:rsidRPr="00E45F21">
          <w:rPr>
            <w:rStyle w:val="Hyperlink"/>
            <w:rFonts w:cs="Times New Roman"/>
            <w:sz w:val="12"/>
            <w:szCs w:val="12"/>
          </w:rPr>
          <w:t>http://sa-renalsociety.org/registry/</w:t>
        </w:r>
      </w:hyperlink>
      <w:r>
        <w:rPr>
          <w:sz w:val="12"/>
          <w:szCs w:val="12"/>
        </w:rPr>
        <w:t xml:space="preserve"> </w:t>
      </w:r>
    </w:p>
  </w:endnote>
  <w:endnote w:id="13">
    <w:p w14:paraId="28E8D8D1" w14:textId="77777777" w:rsidR="00F74C89" w:rsidRDefault="00F74C89" w:rsidP="005E1803">
      <w:pPr>
        <w:pStyle w:val="EndnoteText"/>
        <w:tabs>
          <w:tab w:val="left" w:pos="180"/>
        </w:tabs>
        <w:ind w:left="0"/>
        <w:jc w:val="left"/>
        <w:rPr>
          <w:sz w:val="12"/>
        </w:rPr>
      </w:pPr>
      <w:r w:rsidRPr="005B13FA">
        <w:rPr>
          <w:rStyle w:val="EndnoteReference"/>
          <w:sz w:val="12"/>
        </w:rPr>
        <w:endnoteRef/>
      </w:r>
      <w:r>
        <w:rPr>
          <w:sz w:val="12"/>
        </w:rPr>
        <w:tab/>
        <w:t xml:space="preserve">Metformin: </w:t>
      </w:r>
      <w:r w:rsidRPr="005E1803">
        <w:rPr>
          <w:sz w:val="12"/>
        </w:rPr>
        <w:t>Effect of intensive blood-glucose control with metformin on complications inoverweight patients with type 2 diabetes (UKPDS 34). UK Prospective Diabet</w:t>
      </w:r>
      <w:r>
        <w:rPr>
          <w:sz w:val="12"/>
        </w:rPr>
        <w:t xml:space="preserve">es </w:t>
      </w:r>
      <w:r w:rsidRPr="005E1803">
        <w:rPr>
          <w:sz w:val="12"/>
        </w:rPr>
        <w:t xml:space="preserve">Study </w:t>
      </w:r>
      <w:r>
        <w:rPr>
          <w:sz w:val="12"/>
        </w:rPr>
        <w:t xml:space="preserve">(UKPDS) Group.Lancet. 1998 Sep </w:t>
      </w:r>
      <w:r w:rsidRPr="005E1803">
        <w:rPr>
          <w:sz w:val="12"/>
        </w:rPr>
        <w:t>12;352(9131):854-65. Erratum in: Lancet1998 Nov 7;352(9139):1558.</w:t>
      </w:r>
      <w:hyperlink r:id="rId17" w:history="1">
        <w:r w:rsidRPr="0038176C">
          <w:rPr>
            <w:rStyle w:val="Hyperlink"/>
            <w:rFonts w:cs="Times New Roman"/>
            <w:sz w:val="12"/>
          </w:rPr>
          <w:t>http://www.ncbi.nlm.nih.gov/pubmed/9742977</w:t>
        </w:r>
      </w:hyperlink>
    </w:p>
    <w:p w14:paraId="07D2881F" w14:textId="77777777" w:rsidR="00F74C89" w:rsidRPr="0096377C" w:rsidRDefault="00F74C89" w:rsidP="005E1803">
      <w:pPr>
        <w:pStyle w:val="EndnoteText"/>
        <w:tabs>
          <w:tab w:val="left" w:pos="180"/>
        </w:tabs>
        <w:ind w:left="0"/>
        <w:jc w:val="left"/>
        <w:rPr>
          <w:sz w:val="12"/>
        </w:rPr>
      </w:pPr>
      <w:r>
        <w:rPr>
          <w:sz w:val="12"/>
        </w:rPr>
        <w:tab/>
        <w:t xml:space="preserve">Metformin: </w:t>
      </w:r>
      <w:r w:rsidRPr="00DF09AD">
        <w:rPr>
          <w:rFonts w:cs="Arial"/>
          <w:sz w:val="12"/>
          <w:szCs w:val="12"/>
        </w:rPr>
        <w:t xml:space="preserve">South </w:t>
      </w:r>
      <w:r>
        <w:rPr>
          <w:rFonts w:cs="Arial"/>
          <w:sz w:val="12"/>
          <w:szCs w:val="12"/>
        </w:rPr>
        <w:t>African Medicines Formulary.  12</w:t>
      </w:r>
      <w:r w:rsidRPr="00DF09AD">
        <w:rPr>
          <w:rFonts w:cs="Arial"/>
          <w:sz w:val="12"/>
          <w:szCs w:val="12"/>
        </w:rPr>
        <w:t>th Edition.  Division of Clinical Pharmacology</w:t>
      </w:r>
      <w:r>
        <w:rPr>
          <w:rFonts w:cs="Arial"/>
          <w:sz w:val="12"/>
          <w:szCs w:val="12"/>
        </w:rPr>
        <w:t>.University of Cape Town. 2016.</w:t>
      </w:r>
    </w:p>
  </w:endnote>
  <w:endnote w:id="14">
    <w:p w14:paraId="32BCB799" w14:textId="77777777" w:rsidR="00F74C89" w:rsidRDefault="00F74C89" w:rsidP="005E1803">
      <w:pPr>
        <w:pStyle w:val="EndnoteText"/>
        <w:ind w:left="180" w:hanging="180"/>
        <w:jc w:val="left"/>
        <w:rPr>
          <w:sz w:val="12"/>
          <w:szCs w:val="12"/>
        </w:rPr>
      </w:pPr>
      <w:r w:rsidRPr="00D20C13">
        <w:rPr>
          <w:rStyle w:val="EndnoteReference"/>
          <w:sz w:val="12"/>
          <w:szCs w:val="12"/>
        </w:rPr>
        <w:endnoteRef/>
      </w:r>
      <w:r>
        <w:rPr>
          <w:sz w:val="12"/>
          <w:szCs w:val="12"/>
        </w:rPr>
        <w:tab/>
        <w:t>Metformin (renal impairment)</w:t>
      </w:r>
      <w:r w:rsidRPr="00D20C13">
        <w:rPr>
          <w:sz w:val="12"/>
          <w:szCs w:val="12"/>
        </w:rPr>
        <w:t xml:space="preserve">: </w:t>
      </w:r>
      <w:r w:rsidRPr="005E1803">
        <w:rPr>
          <w:sz w:val="12"/>
          <w:szCs w:val="12"/>
        </w:rPr>
        <w:t>Canadian Diabetes Association Clinical Practi</w:t>
      </w:r>
      <w:r>
        <w:rPr>
          <w:sz w:val="12"/>
          <w:szCs w:val="12"/>
        </w:rPr>
        <w:t>ce Guidelines Expert Committee.</w:t>
      </w:r>
    </w:p>
    <w:p w14:paraId="0CDC341D" w14:textId="77777777" w:rsidR="00F74C89" w:rsidRDefault="00F74C89" w:rsidP="005E1803">
      <w:pPr>
        <w:pStyle w:val="EndnoteText"/>
        <w:ind w:left="180" w:hanging="180"/>
        <w:jc w:val="left"/>
        <w:rPr>
          <w:sz w:val="12"/>
          <w:szCs w:val="12"/>
        </w:rPr>
      </w:pPr>
      <w:r w:rsidRPr="005E1803">
        <w:rPr>
          <w:sz w:val="12"/>
          <w:szCs w:val="12"/>
        </w:rPr>
        <w:t>Canadian Diabetes Association 2013 Clinical Practice Guidelines for the Preven</w:t>
      </w:r>
      <w:r>
        <w:rPr>
          <w:sz w:val="12"/>
          <w:szCs w:val="12"/>
        </w:rPr>
        <w:t>tion and Management of Diabetes</w:t>
      </w:r>
    </w:p>
    <w:p w14:paraId="76C7F39B" w14:textId="77777777" w:rsidR="00F74C89" w:rsidRPr="005E1803" w:rsidRDefault="00F74C89" w:rsidP="005E1803">
      <w:pPr>
        <w:pStyle w:val="EndnoteText"/>
        <w:ind w:left="180" w:hanging="180"/>
        <w:jc w:val="left"/>
        <w:rPr>
          <w:sz w:val="12"/>
          <w:szCs w:val="12"/>
        </w:rPr>
      </w:pPr>
      <w:r w:rsidRPr="005E1803">
        <w:rPr>
          <w:sz w:val="12"/>
          <w:szCs w:val="12"/>
        </w:rPr>
        <w:t xml:space="preserve">in Canada. Can J Diabetes 2013;37(suppl 1):S1-S212. </w:t>
      </w:r>
      <w:hyperlink r:id="rId18" w:history="1">
        <w:r w:rsidRPr="0038176C">
          <w:rPr>
            <w:rStyle w:val="Hyperlink"/>
            <w:rFonts w:cs="Times New Roman"/>
            <w:sz w:val="12"/>
            <w:szCs w:val="12"/>
          </w:rPr>
          <w:t>http://guidelines.diabetes.ca/app_themes/cdacpg/resources/cpg_2013_full_en.pdf</w:t>
        </w:r>
      </w:hyperlink>
    </w:p>
    <w:p w14:paraId="6FD96E8D" w14:textId="77777777" w:rsidR="00F74C89" w:rsidRPr="005E1803" w:rsidRDefault="00F74C89" w:rsidP="00B06DD5">
      <w:pPr>
        <w:pStyle w:val="EndnoteText"/>
        <w:tabs>
          <w:tab w:val="left" w:pos="142"/>
        </w:tabs>
        <w:ind w:left="0"/>
        <w:rPr>
          <w:sz w:val="12"/>
          <w:szCs w:val="12"/>
        </w:rPr>
      </w:pPr>
      <w:r>
        <w:rPr>
          <w:sz w:val="12"/>
          <w:szCs w:val="12"/>
        </w:rPr>
        <w:tab/>
        <w:t xml:space="preserve">Metformin (renal impairment): The </w:t>
      </w:r>
      <w:r w:rsidRPr="00B06DD5">
        <w:rPr>
          <w:sz w:val="12"/>
          <w:szCs w:val="12"/>
        </w:rPr>
        <w:t>National Institute for Health and Care</w:t>
      </w:r>
      <w:r>
        <w:rPr>
          <w:sz w:val="12"/>
          <w:szCs w:val="12"/>
        </w:rPr>
        <w:t xml:space="preserve"> Excellence. </w:t>
      </w:r>
      <w:r w:rsidRPr="00B06DD5">
        <w:rPr>
          <w:sz w:val="12"/>
          <w:szCs w:val="12"/>
        </w:rPr>
        <w:t>Type 2 diabetes in adults: management</w:t>
      </w:r>
      <w:r>
        <w:rPr>
          <w:sz w:val="12"/>
          <w:szCs w:val="12"/>
        </w:rPr>
        <w:t xml:space="preserve"> Clinical Guideline, 2 December 2015. </w:t>
      </w:r>
      <w:hyperlink r:id="rId19" w:history="1">
        <w:r w:rsidRPr="00053AB5">
          <w:rPr>
            <w:rStyle w:val="Hyperlink"/>
            <w:rFonts w:cs="Times New Roman"/>
            <w:sz w:val="12"/>
            <w:szCs w:val="12"/>
          </w:rPr>
          <w:t>https://www.nice.org.uk/guidance/ng28</w:t>
        </w:r>
      </w:hyperlink>
      <w:r>
        <w:rPr>
          <w:sz w:val="12"/>
          <w:szCs w:val="12"/>
        </w:rPr>
        <w:t xml:space="preserve"> </w:t>
      </w:r>
    </w:p>
    <w:p w14:paraId="03731123" w14:textId="77777777" w:rsidR="00F74C89" w:rsidRDefault="00F74C89" w:rsidP="00546DAB">
      <w:pPr>
        <w:pStyle w:val="EndnoteText"/>
        <w:tabs>
          <w:tab w:val="left" w:pos="142"/>
        </w:tabs>
        <w:ind w:left="0"/>
        <w:rPr>
          <w:sz w:val="12"/>
          <w:szCs w:val="12"/>
        </w:rPr>
      </w:pPr>
      <w:r>
        <w:rPr>
          <w:sz w:val="12"/>
          <w:szCs w:val="12"/>
        </w:rPr>
        <w:tab/>
        <w:t xml:space="preserve">Metformin (renal impairment): </w:t>
      </w:r>
      <w:r w:rsidRPr="005E1803">
        <w:rPr>
          <w:sz w:val="12"/>
          <w:szCs w:val="12"/>
        </w:rPr>
        <w:t>Aronoff, Bennett et al. Drug Prescribing in Renal</w:t>
      </w:r>
      <w:r>
        <w:rPr>
          <w:sz w:val="12"/>
          <w:szCs w:val="12"/>
        </w:rPr>
        <w:t xml:space="preserve"> Failure: Dosing Guidelines for</w:t>
      </w:r>
    </w:p>
    <w:p w14:paraId="70650D35" w14:textId="77777777" w:rsidR="00F74C89" w:rsidRPr="005E1803" w:rsidRDefault="00F74C89" w:rsidP="00364E88">
      <w:pPr>
        <w:pStyle w:val="EndnoteText"/>
        <w:ind w:left="142" w:hanging="180"/>
        <w:jc w:val="left"/>
        <w:rPr>
          <w:sz w:val="12"/>
          <w:szCs w:val="12"/>
        </w:rPr>
      </w:pPr>
      <w:r w:rsidRPr="005E1803">
        <w:rPr>
          <w:sz w:val="12"/>
          <w:szCs w:val="12"/>
        </w:rPr>
        <w:t>Adults and Children, 5th Edition.</w:t>
      </w:r>
      <w:r>
        <w:rPr>
          <w:sz w:val="12"/>
          <w:szCs w:val="12"/>
        </w:rPr>
        <w:t xml:space="preserve"> </w:t>
      </w:r>
      <w:r w:rsidRPr="005E1803">
        <w:rPr>
          <w:sz w:val="12"/>
          <w:szCs w:val="12"/>
        </w:rPr>
        <w:t>American College of Physicians.United States of America, 2007.</w:t>
      </w:r>
    </w:p>
    <w:p w14:paraId="6FB88B82" w14:textId="77777777" w:rsidR="00F74C89" w:rsidRDefault="00F74C89" w:rsidP="00525B17">
      <w:pPr>
        <w:pStyle w:val="EndnoteText"/>
        <w:ind w:left="180" w:hanging="180"/>
        <w:jc w:val="left"/>
        <w:rPr>
          <w:sz w:val="12"/>
          <w:szCs w:val="12"/>
        </w:rPr>
      </w:pPr>
      <w:r>
        <w:rPr>
          <w:sz w:val="12"/>
          <w:szCs w:val="12"/>
        </w:rPr>
        <w:tab/>
        <w:t xml:space="preserve">Metformin (renal impairment): </w:t>
      </w:r>
      <w:r w:rsidRPr="005E1803">
        <w:rPr>
          <w:sz w:val="12"/>
          <w:szCs w:val="12"/>
        </w:rPr>
        <w:t>Lipska KJ, Bailey CJ, Inzucchi SE. Use of metf</w:t>
      </w:r>
      <w:r>
        <w:rPr>
          <w:sz w:val="12"/>
          <w:szCs w:val="12"/>
        </w:rPr>
        <w:t>ormin in the setting of mild-to</w:t>
      </w:r>
    </w:p>
    <w:p w14:paraId="15CCF1BD" w14:textId="77777777" w:rsidR="00F74C89" w:rsidRDefault="00F74C89" w:rsidP="00525B17">
      <w:pPr>
        <w:pStyle w:val="EndnoteText"/>
        <w:ind w:left="180" w:hanging="180"/>
        <w:jc w:val="left"/>
        <w:rPr>
          <w:sz w:val="12"/>
          <w:szCs w:val="12"/>
        </w:rPr>
      </w:pPr>
      <w:r w:rsidRPr="005E1803">
        <w:rPr>
          <w:sz w:val="12"/>
          <w:szCs w:val="12"/>
        </w:rPr>
        <w:t xml:space="preserve">moderate renal insufficiency. Diabetes Care. 2011 Jun;34(6):1431-7. </w:t>
      </w:r>
      <w:hyperlink r:id="rId20" w:history="1">
        <w:r w:rsidRPr="0038176C">
          <w:rPr>
            <w:rStyle w:val="Hyperlink"/>
            <w:rFonts w:cs="Times New Roman"/>
            <w:sz w:val="12"/>
            <w:szCs w:val="12"/>
          </w:rPr>
          <w:t>http://www.ncbi.nlm.nih.gov/pubmed/21617112</w:t>
        </w:r>
      </w:hyperlink>
    </w:p>
    <w:p w14:paraId="7262AEB5" w14:textId="77777777" w:rsidR="00F74C89" w:rsidRDefault="00F74C89" w:rsidP="00364E88">
      <w:pPr>
        <w:pStyle w:val="EndnoteText"/>
        <w:tabs>
          <w:tab w:val="left" w:pos="142"/>
        </w:tabs>
        <w:ind w:left="0"/>
      </w:pPr>
      <w:r>
        <w:rPr>
          <w:sz w:val="12"/>
          <w:szCs w:val="12"/>
        </w:rPr>
        <w:tab/>
        <w:t xml:space="preserve">Metformin (renal impairment): </w:t>
      </w:r>
      <w:r w:rsidRPr="00DF09AD">
        <w:rPr>
          <w:rFonts w:cs="Arial"/>
          <w:sz w:val="12"/>
          <w:szCs w:val="12"/>
        </w:rPr>
        <w:t xml:space="preserve">South </w:t>
      </w:r>
      <w:r>
        <w:rPr>
          <w:rFonts w:cs="Arial"/>
          <w:sz w:val="12"/>
          <w:szCs w:val="12"/>
        </w:rPr>
        <w:t>African Medicines Formulary.  12</w:t>
      </w:r>
      <w:r w:rsidRPr="00DF09AD">
        <w:rPr>
          <w:rFonts w:cs="Arial"/>
          <w:sz w:val="12"/>
          <w:szCs w:val="12"/>
        </w:rPr>
        <w:t>th Edition.  Division of Clinical Pharmacology</w:t>
      </w:r>
      <w:r>
        <w:rPr>
          <w:rFonts w:cs="Arial"/>
          <w:sz w:val="12"/>
          <w:szCs w:val="12"/>
        </w:rPr>
        <w:t>.University of Cape Town. 2016.</w:t>
      </w:r>
    </w:p>
  </w:endnote>
  <w:endnote w:id="15">
    <w:p w14:paraId="4ED547CB" w14:textId="77777777" w:rsidR="00F74C89" w:rsidRPr="0096377C" w:rsidRDefault="00F74C89" w:rsidP="00AD7703">
      <w:pPr>
        <w:pStyle w:val="EndnoteText"/>
        <w:tabs>
          <w:tab w:val="left" w:pos="180"/>
        </w:tabs>
        <w:ind w:left="0"/>
        <w:jc w:val="left"/>
        <w:rPr>
          <w:sz w:val="12"/>
        </w:rPr>
      </w:pPr>
      <w:r w:rsidRPr="005B13FA">
        <w:rPr>
          <w:rStyle w:val="EndnoteReference"/>
          <w:sz w:val="12"/>
        </w:rPr>
        <w:endnoteRef/>
      </w:r>
      <w:r>
        <w:rPr>
          <w:sz w:val="12"/>
        </w:rPr>
        <w:tab/>
        <w:t xml:space="preserve">Glimepiride: </w:t>
      </w:r>
      <w:r w:rsidRPr="00DF09AD">
        <w:rPr>
          <w:rFonts w:cs="Arial"/>
          <w:sz w:val="12"/>
          <w:szCs w:val="12"/>
        </w:rPr>
        <w:t xml:space="preserve">South </w:t>
      </w:r>
      <w:r>
        <w:rPr>
          <w:rFonts w:cs="Arial"/>
          <w:sz w:val="12"/>
          <w:szCs w:val="12"/>
        </w:rPr>
        <w:t>African Medicines Formulary.  12</w:t>
      </w:r>
      <w:r w:rsidRPr="00DF09AD">
        <w:rPr>
          <w:rFonts w:cs="Arial"/>
          <w:sz w:val="12"/>
          <w:szCs w:val="12"/>
        </w:rPr>
        <w:t>th Edition.  Division of Clinical Pharmacology</w:t>
      </w:r>
      <w:r>
        <w:rPr>
          <w:rFonts w:cs="Arial"/>
          <w:sz w:val="12"/>
          <w:szCs w:val="12"/>
        </w:rPr>
        <w:t>. University of Cape Town. 2016.</w:t>
      </w:r>
    </w:p>
  </w:endnote>
  <w:endnote w:id="16">
    <w:p w14:paraId="67302244" w14:textId="77777777" w:rsidR="00F74C89" w:rsidRPr="0096377C" w:rsidRDefault="00F74C89" w:rsidP="002109AE">
      <w:pPr>
        <w:pStyle w:val="EndnoteText"/>
        <w:tabs>
          <w:tab w:val="left" w:pos="180"/>
        </w:tabs>
        <w:ind w:left="0"/>
        <w:jc w:val="left"/>
        <w:rPr>
          <w:sz w:val="12"/>
        </w:rPr>
      </w:pPr>
      <w:r w:rsidRPr="005B13FA">
        <w:rPr>
          <w:rStyle w:val="EndnoteReference"/>
          <w:sz w:val="12"/>
        </w:rPr>
        <w:endnoteRef/>
      </w:r>
      <w:r>
        <w:rPr>
          <w:sz w:val="12"/>
        </w:rPr>
        <w:tab/>
        <w:t xml:space="preserve">Sulfonylureas: </w:t>
      </w:r>
      <w:r w:rsidRPr="002109AE">
        <w:rPr>
          <w:rFonts w:cs="Arial"/>
          <w:sz w:val="12"/>
          <w:szCs w:val="12"/>
        </w:rPr>
        <w:t>Niemi M, Backman JT, Neuvonen M, Neuvonen PJ, Kivistö KT. Effects of rifampin  on the pharmacokinetics and pharmacodynamics of glyburide and glipizide. Clin Pharmacol Ther. 2001 Jun;69(6):400-6.</w:t>
      </w:r>
      <w:r>
        <w:rPr>
          <w:rFonts w:cs="Arial"/>
          <w:sz w:val="12"/>
          <w:szCs w:val="12"/>
        </w:rPr>
        <w:t xml:space="preserve"> </w:t>
      </w:r>
      <w:hyperlink r:id="rId21" w:history="1">
        <w:r w:rsidRPr="002109AE">
          <w:rPr>
            <w:rStyle w:val="Hyperlink"/>
            <w:sz w:val="12"/>
            <w:szCs w:val="12"/>
          </w:rPr>
          <w:t>https://www.ncbi.nlm.nih.gov/pubmed/11406737</w:t>
        </w:r>
      </w:hyperlink>
    </w:p>
  </w:endnote>
  <w:endnote w:id="17">
    <w:p w14:paraId="31B90F80" w14:textId="08893B2E" w:rsidR="00F74C89" w:rsidRPr="0096377C" w:rsidRDefault="00F74C89" w:rsidP="00793955">
      <w:pPr>
        <w:pStyle w:val="EndnoteText"/>
        <w:tabs>
          <w:tab w:val="left" w:pos="180"/>
        </w:tabs>
        <w:ind w:left="0"/>
        <w:jc w:val="left"/>
        <w:rPr>
          <w:sz w:val="12"/>
        </w:rPr>
      </w:pPr>
      <w:r w:rsidRPr="005B13FA">
        <w:rPr>
          <w:rStyle w:val="EndnoteReference"/>
          <w:sz w:val="12"/>
        </w:rPr>
        <w:endnoteRef/>
      </w:r>
      <w:r>
        <w:rPr>
          <w:sz w:val="12"/>
        </w:rPr>
        <w:tab/>
      </w:r>
      <w:r w:rsidRPr="00793955">
        <w:rPr>
          <w:sz w:val="12"/>
        </w:rPr>
        <w:t>Insulin, biphasic, SC (starting dose): The Society for Endocrinology, Metabolism and Diabetes of South Africa Type 2</w:t>
      </w:r>
      <w:r>
        <w:rPr>
          <w:sz w:val="12"/>
        </w:rPr>
        <w:t xml:space="preserve"> </w:t>
      </w:r>
      <w:r w:rsidRPr="00793955">
        <w:rPr>
          <w:sz w:val="12"/>
        </w:rPr>
        <w:t>Diabetes Guidelines Expert Committee. The 2017 SEMDSA Guideline for the Management of Type 2 Diabetes Guideline</w:t>
      </w:r>
      <w:r>
        <w:rPr>
          <w:sz w:val="12"/>
        </w:rPr>
        <w:t xml:space="preserve"> </w:t>
      </w:r>
      <w:r w:rsidRPr="00793955">
        <w:rPr>
          <w:sz w:val="12"/>
        </w:rPr>
        <w:t xml:space="preserve">Committee. JEMDSA 2017; 21(1)(Supplement 1): S1-S196. </w:t>
      </w:r>
      <w:hyperlink r:id="rId22" w:history="1">
        <w:r w:rsidRPr="00E3538E">
          <w:rPr>
            <w:rStyle w:val="Hyperlink"/>
            <w:rFonts w:cs="Times New Roman"/>
            <w:sz w:val="12"/>
          </w:rPr>
          <w:t>http://www.jemdsa.co.za/index.php/JEMDSA/article/view/647/937</w:t>
        </w:r>
      </w:hyperlink>
      <w:r>
        <w:rPr>
          <w:sz w:val="12"/>
        </w:rPr>
        <w:t xml:space="preserve"> </w:t>
      </w:r>
    </w:p>
  </w:endnote>
  <w:endnote w:id="18">
    <w:p w14:paraId="3C9F7DA5" w14:textId="77777777" w:rsidR="00F74C89" w:rsidRPr="0096377C" w:rsidRDefault="00F74C89" w:rsidP="00364E88">
      <w:pPr>
        <w:pStyle w:val="EndnoteText"/>
        <w:tabs>
          <w:tab w:val="left" w:pos="142"/>
        </w:tabs>
        <w:ind w:left="0"/>
        <w:jc w:val="left"/>
        <w:rPr>
          <w:sz w:val="12"/>
        </w:rPr>
      </w:pPr>
      <w:r w:rsidRPr="005B13FA">
        <w:rPr>
          <w:rStyle w:val="EndnoteReference"/>
          <w:sz w:val="12"/>
        </w:rPr>
        <w:endnoteRef/>
      </w:r>
      <w:r>
        <w:rPr>
          <w:sz w:val="12"/>
        </w:rPr>
        <w:tab/>
        <w:t>Insulin therapy (Type 2 diabetes mellitus)</w:t>
      </w:r>
      <w:r w:rsidRPr="005B13FA">
        <w:rPr>
          <w:sz w:val="12"/>
        </w:rPr>
        <w:t>:</w:t>
      </w:r>
      <w:r>
        <w:rPr>
          <w:sz w:val="12"/>
        </w:rPr>
        <w:t xml:space="preserve"> </w:t>
      </w:r>
      <w:r w:rsidRPr="000A2BB9">
        <w:rPr>
          <w:sz w:val="12"/>
        </w:rPr>
        <w:t>The Society for Endocrinology, Metabolism and Diabetes of South Africa Type 2 Diabetes Guidelines Expert Committee. The 2017 SEMDSA Guideline for the Management of Type 2 Diabetes Guideline Committee. JEMDSA 2017; 21(1)(Supplement 1): S1-S196.</w:t>
      </w:r>
      <w:r>
        <w:rPr>
          <w:sz w:val="12"/>
        </w:rPr>
        <w:t xml:space="preserve"> </w:t>
      </w:r>
      <w:hyperlink r:id="rId23" w:history="1">
        <w:r w:rsidRPr="000A2BB9">
          <w:rPr>
            <w:rStyle w:val="Hyperlink"/>
            <w:rFonts w:cs="Times New Roman"/>
            <w:sz w:val="12"/>
          </w:rPr>
          <w:t>http://www.jemdsa.co.za/index.php/JEMDSA/article/view/647/937</w:t>
        </w:r>
      </w:hyperlink>
      <w:r w:rsidRPr="00FD4E3A" w:rsidDel="000A2BB9">
        <w:rPr>
          <w:sz w:val="12"/>
        </w:rPr>
        <w:t xml:space="preserve"> </w:t>
      </w:r>
    </w:p>
  </w:endnote>
  <w:endnote w:id="19">
    <w:p w14:paraId="4DA3EED8" w14:textId="77777777" w:rsidR="00F74C89" w:rsidRPr="0096377C" w:rsidRDefault="00F74C89" w:rsidP="00FC490D">
      <w:pPr>
        <w:pStyle w:val="EndnoteText"/>
        <w:tabs>
          <w:tab w:val="left" w:pos="180"/>
        </w:tabs>
        <w:ind w:left="0"/>
        <w:jc w:val="left"/>
        <w:rPr>
          <w:sz w:val="12"/>
        </w:rPr>
      </w:pPr>
      <w:r w:rsidRPr="005B13FA">
        <w:rPr>
          <w:rStyle w:val="EndnoteReference"/>
          <w:sz w:val="12"/>
        </w:rPr>
        <w:endnoteRef/>
      </w:r>
      <w:r>
        <w:rPr>
          <w:sz w:val="12"/>
        </w:rPr>
        <w:tab/>
        <w:t>ACE-inhibitor</w:t>
      </w:r>
      <w:r w:rsidRPr="005B13FA">
        <w:rPr>
          <w:sz w:val="12"/>
        </w:rPr>
        <w:t>:</w:t>
      </w:r>
      <w:r w:rsidRPr="00164A35">
        <w:rPr>
          <w:rFonts w:cs="Arial"/>
          <w:sz w:val="12"/>
          <w:lang w:val="en-GB"/>
        </w:rPr>
        <w:t>ACEI (ACE Inhibitors in Diabetic Nephropathy Trialist Group). Should all patients with type 1 diabetes mellitus and microalbuminuria receive angiotensin converting enzyme inhibitors? A meta</w:t>
      </w:r>
      <w:r w:rsidRPr="00164A35">
        <w:rPr>
          <w:rFonts w:ascii="Cambria Math" w:hAnsi="Cambria Math" w:cs="Arial"/>
          <w:sz w:val="12"/>
          <w:lang w:val="en-GB"/>
        </w:rPr>
        <w:t>‐</w:t>
      </w:r>
      <w:r w:rsidRPr="00164A35">
        <w:rPr>
          <w:rFonts w:cs="Arial"/>
          <w:sz w:val="12"/>
          <w:lang w:val="en-GB"/>
        </w:rPr>
        <w:t>analysis of individual patient data</w:t>
      </w:r>
      <w:r>
        <w:rPr>
          <w:rFonts w:cs="Arial"/>
          <w:sz w:val="12"/>
          <w:lang w:val="en-GB"/>
        </w:rPr>
        <w:t>.</w:t>
      </w:r>
      <w:r w:rsidRPr="00164A35">
        <w:rPr>
          <w:rFonts w:cs="Arial"/>
          <w:sz w:val="12"/>
          <w:lang w:val="en-GB"/>
        </w:rPr>
        <w:t xml:space="preserve"> Annals of Internal Medicine</w:t>
      </w:r>
      <w:r>
        <w:rPr>
          <w:rFonts w:cs="Arial"/>
          <w:sz w:val="12"/>
          <w:lang w:val="en-GB"/>
        </w:rPr>
        <w:t xml:space="preserve"> 2001;</w:t>
      </w:r>
      <w:r w:rsidRPr="00164A35">
        <w:rPr>
          <w:rFonts w:cs="Arial"/>
          <w:sz w:val="12"/>
          <w:lang w:val="en-GB"/>
        </w:rPr>
        <w:t>134(5): 370–379.</w:t>
      </w:r>
      <w:r>
        <w:rPr>
          <w:rFonts w:cs="Arial"/>
          <w:sz w:val="12"/>
          <w:lang w:val="en-GB"/>
        </w:rPr>
        <w:t xml:space="preserve"> </w:t>
      </w:r>
      <w:hyperlink r:id="rId24" w:history="1">
        <w:r w:rsidRPr="00164A35">
          <w:rPr>
            <w:rStyle w:val="Hyperlink"/>
            <w:sz w:val="12"/>
            <w:lang w:val="en-GB"/>
          </w:rPr>
          <w:t>http://www.ncbi.nlm.nih.gov/pubmed/11242497</w:t>
        </w:r>
      </w:hyperlink>
    </w:p>
  </w:endnote>
  <w:endnote w:id="20">
    <w:p w14:paraId="250EAE62" w14:textId="77777777" w:rsidR="00F74C89" w:rsidRPr="00C4696B" w:rsidRDefault="00F74C89" w:rsidP="00FC490D">
      <w:pPr>
        <w:pStyle w:val="EndnoteText"/>
        <w:tabs>
          <w:tab w:val="left" w:pos="0"/>
          <w:tab w:val="left" w:pos="180"/>
        </w:tabs>
        <w:ind w:left="0"/>
        <w:jc w:val="left"/>
        <w:rPr>
          <w:sz w:val="12"/>
          <w:szCs w:val="12"/>
        </w:rPr>
      </w:pPr>
      <w:r w:rsidRPr="00296894">
        <w:rPr>
          <w:rStyle w:val="EndnoteReference"/>
          <w:sz w:val="12"/>
          <w:szCs w:val="12"/>
        </w:rPr>
        <w:endnoteRef/>
      </w:r>
      <w:r w:rsidRPr="00605F2D">
        <w:rPr>
          <w:sz w:val="12"/>
          <w:szCs w:val="12"/>
        </w:rPr>
        <w:tab/>
        <w:t>Enalapril, oral (maximum daily dose of 40 mg):</w:t>
      </w:r>
      <w:r w:rsidRPr="00296894">
        <w:rPr>
          <w:sz w:val="12"/>
          <w:szCs w:val="12"/>
        </w:rPr>
        <w:t xml:space="preserve"> </w:t>
      </w:r>
      <w:r w:rsidRPr="00605F2D">
        <w:rPr>
          <w:sz w:val="12"/>
          <w:szCs w:val="12"/>
        </w:rPr>
        <w:t>Joint Formulary Committee. British National Formulary. London: BMJ Group and Pharmaceutical Press; 2018.</w:t>
      </w:r>
    </w:p>
  </w:endnote>
  <w:endnote w:id="21">
    <w:p w14:paraId="3F44BE3E" w14:textId="77777777" w:rsidR="00F74C89" w:rsidRPr="004578E2" w:rsidRDefault="00F74C89" w:rsidP="004578E2">
      <w:pPr>
        <w:pStyle w:val="EndnoteText"/>
        <w:tabs>
          <w:tab w:val="left" w:pos="180"/>
        </w:tabs>
        <w:ind w:left="0"/>
        <w:jc w:val="left"/>
        <w:rPr>
          <w:sz w:val="12"/>
        </w:rPr>
      </w:pPr>
      <w:r w:rsidRPr="005B13FA">
        <w:rPr>
          <w:rStyle w:val="EndnoteReference"/>
          <w:sz w:val="12"/>
        </w:rPr>
        <w:endnoteRef/>
      </w:r>
      <w:r>
        <w:rPr>
          <w:sz w:val="12"/>
        </w:rPr>
        <w:tab/>
        <w:t>Home blood glucose monitoring</w:t>
      </w:r>
      <w:r w:rsidRPr="005B13FA">
        <w:rPr>
          <w:sz w:val="12"/>
        </w:rPr>
        <w:t>:</w:t>
      </w:r>
      <w:r w:rsidRPr="004578E2">
        <w:rPr>
          <w:sz w:val="12"/>
        </w:rPr>
        <w:t>Gerstein HC, Miller ME, Byington RP, Goff DC, Bigger JT, Buse JB, Cushman WC, Genuth S, Ismail-Beigi F, Grimm RH. et al. Effects of intensive glucose lowering in type 2 diabetes. N Engl J Med.2008;358(24):2545–2559.</w:t>
      </w:r>
      <w:hyperlink r:id="rId25" w:history="1">
        <w:r w:rsidRPr="0038176C">
          <w:rPr>
            <w:rStyle w:val="Hyperlink"/>
            <w:rFonts w:cs="Times New Roman"/>
            <w:sz w:val="12"/>
          </w:rPr>
          <w:t>http://www.ncbi.nlm.nih.gov/pubmed/18539917</w:t>
        </w:r>
      </w:hyperlink>
    </w:p>
    <w:p w14:paraId="4B4325CB" w14:textId="77777777" w:rsidR="00F74C89" w:rsidRPr="000A2BB9" w:rsidRDefault="00F74C89" w:rsidP="004578E2">
      <w:pPr>
        <w:pStyle w:val="EndnoteText"/>
        <w:tabs>
          <w:tab w:val="left" w:pos="180"/>
        </w:tabs>
        <w:ind w:left="0"/>
        <w:jc w:val="left"/>
        <w:rPr>
          <w:sz w:val="12"/>
        </w:rPr>
      </w:pPr>
      <w:r>
        <w:rPr>
          <w:sz w:val="12"/>
        </w:rPr>
        <w:tab/>
        <w:t>Home blood glucose monitoring</w:t>
      </w:r>
      <w:r w:rsidRPr="005B13FA">
        <w:rPr>
          <w:sz w:val="12"/>
        </w:rPr>
        <w:t>:</w:t>
      </w:r>
      <w:r w:rsidRPr="004578E2">
        <w:rPr>
          <w:sz w:val="12"/>
        </w:rPr>
        <w:t xml:space="preserve">Östgren CJ, Sundström J, Svennblad B, Lohm L, Nilsson PM, Johansson G. Associations of HbA1c and educational level with risk of cardiovascular events in 32,871 drug-treated patients with Type 2 diabetes: a cohort study in primary care. Diabet Med. 2013 May;30(5):e170-7. </w:t>
      </w:r>
      <w:hyperlink r:id="rId26" w:history="1">
        <w:r w:rsidRPr="000A2BB9">
          <w:rPr>
            <w:rStyle w:val="Hyperlink"/>
            <w:rFonts w:cs="Times New Roman"/>
            <w:sz w:val="12"/>
          </w:rPr>
          <w:t>http://www.ncbi.nlm.nih.gov/pubmed/23350893</w:t>
        </w:r>
      </w:hyperlink>
    </w:p>
  </w:endnote>
  <w:endnote w:id="22">
    <w:p w14:paraId="6A0DAB58" w14:textId="77777777" w:rsidR="00F74C89" w:rsidRPr="000A2BB9" w:rsidRDefault="00F74C89" w:rsidP="00503E7F">
      <w:pPr>
        <w:pStyle w:val="EndnoteText"/>
        <w:tabs>
          <w:tab w:val="left" w:pos="180"/>
        </w:tabs>
        <w:ind w:left="0"/>
        <w:jc w:val="left"/>
        <w:rPr>
          <w:sz w:val="12"/>
        </w:rPr>
      </w:pPr>
      <w:r w:rsidRPr="000A2BB9">
        <w:rPr>
          <w:rStyle w:val="EndnoteReference"/>
          <w:sz w:val="12"/>
        </w:rPr>
        <w:endnoteRef/>
      </w:r>
      <w:r w:rsidRPr="000A2BB9">
        <w:rPr>
          <w:sz w:val="12"/>
        </w:rPr>
        <w:tab/>
        <w:t xml:space="preserve">Dextrose 50%, IV: Moore C, Woollard M. Dextrose 10% or 50% in the treatment of hypoglycaemia out of hospital? A </w:t>
      </w:r>
      <w:r>
        <w:rPr>
          <w:sz w:val="12"/>
        </w:rPr>
        <w:t xml:space="preserve"> </w:t>
      </w:r>
      <w:r w:rsidRPr="000A2BB9">
        <w:rPr>
          <w:sz w:val="12"/>
        </w:rPr>
        <w:t>randomised controlled trial. Emerg Med J. 2005 Jul;22(7):512-5.</w:t>
      </w:r>
      <w:r>
        <w:rPr>
          <w:sz w:val="12"/>
        </w:rPr>
        <w:t xml:space="preserve"> </w:t>
      </w:r>
      <w:hyperlink r:id="rId27" w:history="1">
        <w:r w:rsidRPr="00E45F21">
          <w:rPr>
            <w:rStyle w:val="Hyperlink"/>
            <w:rFonts w:cs="Times New Roman"/>
            <w:sz w:val="12"/>
          </w:rPr>
          <w:t>https://www.ncbi.nlm.nih.gov/pubmed/15983093</w:t>
        </w:r>
      </w:hyperlink>
      <w:r>
        <w:rPr>
          <w:sz w:val="12"/>
        </w:rPr>
        <w:t xml:space="preserve"> </w:t>
      </w:r>
    </w:p>
    <w:p w14:paraId="29733D91" w14:textId="77777777" w:rsidR="00F74C89" w:rsidRPr="0096377C" w:rsidRDefault="00F74C89" w:rsidP="00503E7F">
      <w:pPr>
        <w:pStyle w:val="EndnoteText"/>
        <w:tabs>
          <w:tab w:val="left" w:pos="180"/>
        </w:tabs>
        <w:ind w:left="0"/>
        <w:jc w:val="left"/>
        <w:rPr>
          <w:sz w:val="12"/>
        </w:rPr>
      </w:pPr>
      <w:r w:rsidRPr="000A2BB9">
        <w:rPr>
          <w:sz w:val="12"/>
        </w:rPr>
        <w:tab/>
        <w:t>Dextrose 50%, IV: The Society for Endocrinology, Metabolism and Diabetes of South Africa Type 2 Diabetes Guidelines Expert Committee. The 2017 SEMDSA Guideline for the Management of Type 2 Diabetes Guideline Committee. JEMDSA 2017; 21(1)(Supplement 1): S1-S196.</w:t>
      </w:r>
      <w:r>
        <w:rPr>
          <w:sz w:val="12"/>
        </w:rPr>
        <w:t xml:space="preserve"> </w:t>
      </w:r>
      <w:hyperlink r:id="rId28" w:history="1">
        <w:r w:rsidRPr="000A2BB9">
          <w:rPr>
            <w:rStyle w:val="Hyperlink"/>
            <w:rFonts w:cs="Times New Roman"/>
            <w:sz w:val="12"/>
          </w:rPr>
          <w:t>http://www.jemdsa.co.za/index.php/JEMDSA/article/view/647/937</w:t>
        </w:r>
      </w:hyperlink>
    </w:p>
  </w:endnote>
  <w:endnote w:id="23">
    <w:p w14:paraId="450D9B0C" w14:textId="77777777" w:rsidR="00F74C89" w:rsidRDefault="00F74C89" w:rsidP="00837A07">
      <w:pPr>
        <w:pStyle w:val="EndnoteText"/>
        <w:tabs>
          <w:tab w:val="left" w:pos="180"/>
        </w:tabs>
        <w:ind w:left="0"/>
        <w:jc w:val="left"/>
        <w:rPr>
          <w:sz w:val="12"/>
        </w:rPr>
      </w:pPr>
      <w:r w:rsidRPr="005B13FA">
        <w:rPr>
          <w:rStyle w:val="EndnoteReference"/>
          <w:sz w:val="12"/>
        </w:rPr>
        <w:endnoteRef/>
      </w:r>
      <w:r w:rsidRPr="00837A07">
        <w:rPr>
          <w:sz w:val="12"/>
        </w:rPr>
        <w:tab/>
        <w:t>Dextrose 5%</w:t>
      </w:r>
      <w:r>
        <w:rPr>
          <w:sz w:val="12"/>
        </w:rPr>
        <w:t xml:space="preserve">, IV: </w:t>
      </w:r>
      <w:r w:rsidRPr="000A2BB9">
        <w:rPr>
          <w:sz w:val="12"/>
        </w:rPr>
        <w:t>The Society for Endocrinology, Metabolism and Diabetes of South Africa Type 2 Diabetes Guidelines Expert Committee. The 2017 SEMDSA Guideline for the Management of Type 2 Diabetes Guideline Committee. JEMDSA 2017; 21(1)(Supplement 1): S1-S196.</w:t>
      </w:r>
      <w:r>
        <w:rPr>
          <w:sz w:val="12"/>
        </w:rPr>
        <w:t xml:space="preserve"> </w:t>
      </w:r>
      <w:hyperlink r:id="rId29" w:history="1">
        <w:r w:rsidRPr="000A2BB9">
          <w:rPr>
            <w:rStyle w:val="Hyperlink"/>
            <w:rFonts w:cs="Times New Roman"/>
            <w:sz w:val="12"/>
          </w:rPr>
          <w:t>http://www.jemdsa.co.za/index.php/JEMDSA/article/view/647/937</w:t>
        </w:r>
      </w:hyperlink>
    </w:p>
    <w:p w14:paraId="3601FE1E" w14:textId="77777777" w:rsidR="00F74C89" w:rsidRPr="0096377C" w:rsidRDefault="00F74C89" w:rsidP="00837A07">
      <w:pPr>
        <w:pStyle w:val="EndnoteText"/>
        <w:tabs>
          <w:tab w:val="left" w:pos="180"/>
        </w:tabs>
        <w:ind w:left="0"/>
        <w:jc w:val="left"/>
        <w:rPr>
          <w:sz w:val="12"/>
        </w:rPr>
      </w:pPr>
      <w:r>
        <w:rPr>
          <w:sz w:val="12"/>
        </w:rPr>
        <w:tab/>
        <w:t>D</w:t>
      </w:r>
      <w:r w:rsidRPr="00837A07">
        <w:rPr>
          <w:sz w:val="12"/>
        </w:rPr>
        <w:t>extrose</w:t>
      </w:r>
      <w:r>
        <w:rPr>
          <w:sz w:val="12"/>
        </w:rPr>
        <w:t xml:space="preserve"> 5% in sodium chloride 0.9%, IV: </w:t>
      </w:r>
      <w:r w:rsidRPr="000A2BB9">
        <w:rPr>
          <w:sz w:val="12"/>
        </w:rPr>
        <w:t>The Society for Endocrinology, Metabolism and Diabetes of South Africa Type 2 Diabetes Guidelines Expert Committee. The 2017 SEMDSA Guideline for the Management of Type 2 Diabetes Guideline Committee. JEMDSA 2017; 21(1)(Supplement 1): S1-S196.</w:t>
      </w:r>
      <w:r>
        <w:rPr>
          <w:sz w:val="12"/>
        </w:rPr>
        <w:t xml:space="preserve"> </w:t>
      </w:r>
      <w:hyperlink r:id="rId30" w:history="1">
        <w:r w:rsidRPr="000A2BB9">
          <w:rPr>
            <w:rStyle w:val="Hyperlink"/>
            <w:rFonts w:cs="Times New Roman"/>
            <w:sz w:val="12"/>
          </w:rPr>
          <w:t>http://www.jemdsa.co.za/index.php/JEMDSA/article/view/647/937</w:t>
        </w:r>
      </w:hyperlink>
    </w:p>
  </w:endnote>
  <w:endnote w:id="24">
    <w:p w14:paraId="057E87D0" w14:textId="77777777" w:rsidR="00F74C89" w:rsidRDefault="00F74C89" w:rsidP="00E942C5">
      <w:pPr>
        <w:pStyle w:val="EndnoteText"/>
        <w:ind w:left="0"/>
      </w:pPr>
      <w:r w:rsidRPr="00B343D1">
        <w:rPr>
          <w:rStyle w:val="EndnoteReference"/>
          <w:sz w:val="12"/>
        </w:rPr>
        <w:endnoteRef/>
      </w:r>
      <w:r w:rsidRPr="00B343D1">
        <w:rPr>
          <w:sz w:val="12"/>
        </w:rPr>
        <w:t>Enoxaparin:</w:t>
      </w:r>
      <w:r>
        <w:rPr>
          <w:sz w:val="12"/>
        </w:rPr>
        <w:t xml:space="preserve"> </w:t>
      </w:r>
      <w:r w:rsidRPr="00E64236">
        <w:rPr>
          <w:sz w:val="12"/>
          <w:szCs w:val="12"/>
        </w:rPr>
        <w:t xml:space="preserve">Wein L, Wein S, Haas SJ, Shaw J, Krum H. Pharmacological venous thromboembolism prophylaxis in hospitalized medical patients: a meta-analysis of randomized controlled trials. Arch Intern Med. 2007 Jul 23;167(14):1476-86. </w:t>
      </w:r>
      <w:hyperlink r:id="rId31" w:history="1">
        <w:r w:rsidRPr="00E64236">
          <w:rPr>
            <w:rStyle w:val="Hyperlink"/>
            <w:sz w:val="12"/>
            <w:szCs w:val="12"/>
          </w:rPr>
          <w:t>http://www.ncbi.nlm.nih.gov/pubmed/17646601</w:t>
        </w:r>
      </w:hyperlink>
    </w:p>
  </w:endnote>
  <w:endnote w:id="25">
    <w:p w14:paraId="622CF1E7" w14:textId="77777777" w:rsidR="00F74C89" w:rsidRDefault="00F74C89" w:rsidP="00064140">
      <w:pPr>
        <w:pStyle w:val="EndnoteText"/>
        <w:ind w:left="0"/>
        <w:rPr>
          <w:sz w:val="12"/>
        </w:rPr>
      </w:pPr>
      <w:r w:rsidRPr="00B343D1">
        <w:rPr>
          <w:rStyle w:val="EndnoteReference"/>
          <w:sz w:val="12"/>
        </w:rPr>
        <w:endnoteRef/>
      </w:r>
      <w:r w:rsidRPr="00064140">
        <w:rPr>
          <w:sz w:val="12"/>
        </w:rPr>
        <w:t>HMGCoA reductase inhibitor</w:t>
      </w:r>
      <w:r>
        <w:rPr>
          <w:sz w:val="12"/>
        </w:rPr>
        <w:t xml:space="preserve"> (indications - CKD, albuminuria): </w:t>
      </w:r>
      <w:r w:rsidRPr="00064140">
        <w:rPr>
          <w:sz w:val="12"/>
        </w:rPr>
        <w:t xml:space="preserve">Hou W, Lv J, Perkovic V, Yang L, Zhao N, Jardine MJ, Cass A, Zhang H, Wang H.  Effect of statin therapy on cardiovascular and renal outcomes in patients with chronic kidney disease: a systematic review and meta-analysis. Eur Heart J. 2013  Jun;34(24):1807-17. </w:t>
      </w:r>
      <w:hyperlink r:id="rId32" w:history="1">
        <w:r w:rsidRPr="00064140">
          <w:rPr>
            <w:rStyle w:val="Hyperlink"/>
            <w:rFonts w:cs="Times New Roman"/>
            <w:sz w:val="12"/>
          </w:rPr>
          <w:t>https://www.ncbi.nlm.nih.gov/pubmed/23470492</w:t>
        </w:r>
      </w:hyperlink>
    </w:p>
    <w:p w14:paraId="714925B9" w14:textId="77777777" w:rsidR="00F74C89" w:rsidRDefault="00F74C89" w:rsidP="00064140">
      <w:pPr>
        <w:pStyle w:val="EndnoteText"/>
        <w:tabs>
          <w:tab w:val="left" w:pos="142"/>
        </w:tabs>
        <w:ind w:left="0"/>
      </w:pPr>
      <w:r>
        <w:rPr>
          <w:sz w:val="12"/>
        </w:rPr>
        <w:tab/>
      </w:r>
      <w:r w:rsidRPr="00064140">
        <w:rPr>
          <w:sz w:val="12"/>
        </w:rPr>
        <w:t>HMGCoA reductase inhibitor</w:t>
      </w:r>
      <w:r>
        <w:rPr>
          <w:sz w:val="12"/>
        </w:rPr>
        <w:t xml:space="preserve"> (indications - CKD, albuminuria): </w:t>
      </w:r>
      <w:r w:rsidRPr="00064140">
        <w:rPr>
          <w:sz w:val="12"/>
        </w:rPr>
        <w:t xml:space="preserve">Qin X, Dong H, Fang K, Lu F. The effect of statins on renal outcomes in patients with diabetic kidney disease: A systematic review and meta-analysis. Diabetes Metab Res Rev. 2017 Sep;33(6). </w:t>
      </w:r>
      <w:hyperlink r:id="rId33" w:history="1">
        <w:r w:rsidRPr="00064140">
          <w:rPr>
            <w:rStyle w:val="Hyperlink"/>
            <w:rFonts w:cs="Times New Roman"/>
            <w:sz w:val="12"/>
          </w:rPr>
          <w:t>https://www.ncbi.nlm.nih.gov/pubmed/28477396</w:t>
        </w:r>
      </w:hyperlink>
    </w:p>
  </w:endnote>
  <w:endnote w:id="26">
    <w:p w14:paraId="1E391F3F" w14:textId="77777777" w:rsidR="00F74C89" w:rsidRDefault="00F74C89" w:rsidP="00FD0C19">
      <w:pPr>
        <w:pStyle w:val="EndnoteText"/>
        <w:tabs>
          <w:tab w:val="left" w:pos="142"/>
        </w:tabs>
        <w:ind w:left="0"/>
        <w:rPr>
          <w:rFonts w:cs="Arial"/>
          <w:bCs w:val="0"/>
          <w:sz w:val="12"/>
          <w:szCs w:val="12"/>
          <w:lang w:val="en-ZA"/>
        </w:rPr>
      </w:pPr>
      <w:r w:rsidRPr="00AF373D">
        <w:rPr>
          <w:rStyle w:val="EndnoteReference"/>
          <w:rFonts w:cs="Arial"/>
          <w:sz w:val="12"/>
          <w:szCs w:val="12"/>
        </w:rPr>
        <w:endnoteRef/>
      </w:r>
      <w:r w:rsidRPr="00AF373D">
        <w:rPr>
          <w:rFonts w:cs="Arial"/>
          <w:sz w:val="12"/>
          <w:szCs w:val="12"/>
        </w:rPr>
        <w:t xml:space="preserve"> </w:t>
      </w:r>
      <w:r>
        <w:rPr>
          <w:rFonts w:cs="Arial"/>
          <w:sz w:val="12"/>
          <w:szCs w:val="12"/>
          <w:lang w:val="en-ZA"/>
        </w:rPr>
        <w:t>Simvastatin 40 mg, oral (secondary prevention of ischaemic events): National Department of Health.</w:t>
      </w:r>
      <w:r w:rsidRPr="002E1510">
        <w:t xml:space="preserve"> </w:t>
      </w:r>
      <w:r w:rsidRPr="002E1510">
        <w:rPr>
          <w:rFonts w:cs="Arial"/>
          <w:sz w:val="12"/>
          <w:szCs w:val="12"/>
          <w:lang w:val="en-ZA"/>
        </w:rPr>
        <w:t>Affordable Medicines, EDP-</w:t>
      </w:r>
      <w:r>
        <w:rPr>
          <w:rFonts w:cs="Arial"/>
          <w:sz w:val="12"/>
          <w:szCs w:val="12"/>
          <w:lang w:val="en-ZA"/>
        </w:rPr>
        <w:t>Primary Health Care</w:t>
      </w:r>
      <w:r w:rsidRPr="002E1510">
        <w:rPr>
          <w:rFonts w:cs="Arial"/>
          <w:sz w:val="12"/>
          <w:szCs w:val="12"/>
          <w:lang w:val="en-ZA"/>
        </w:rPr>
        <w:t>. Cost-effectiveness analysis of high, intermediate, and low dose statins for the secondary prevention of cardiovascular disease</w:t>
      </w:r>
      <w:r>
        <w:rPr>
          <w:rFonts w:cs="Arial"/>
          <w:sz w:val="12"/>
          <w:szCs w:val="12"/>
          <w:lang w:val="en-ZA"/>
        </w:rPr>
        <w:t xml:space="preserve">, 31 January 2018. </w:t>
      </w:r>
      <w:hyperlink r:id="rId34" w:history="1">
        <w:r w:rsidRPr="001D2B21">
          <w:rPr>
            <w:rStyle w:val="Hyperlink"/>
            <w:sz w:val="12"/>
            <w:szCs w:val="12"/>
            <w:lang w:val="en-ZA"/>
          </w:rPr>
          <w:t>www.health.gov.za</w:t>
        </w:r>
      </w:hyperlink>
      <w:r>
        <w:rPr>
          <w:rFonts w:cs="Arial"/>
          <w:sz w:val="12"/>
          <w:szCs w:val="12"/>
          <w:lang w:val="en-ZA"/>
        </w:rPr>
        <w:t>/</w:t>
      </w:r>
    </w:p>
    <w:p w14:paraId="1070833D" w14:textId="77777777" w:rsidR="00F74C89" w:rsidRDefault="00F74C89" w:rsidP="00FD0C19">
      <w:pPr>
        <w:pStyle w:val="EndnoteText"/>
        <w:tabs>
          <w:tab w:val="left" w:pos="142"/>
        </w:tabs>
        <w:ind w:left="0"/>
        <w:rPr>
          <w:rFonts w:cs="Arial"/>
          <w:bCs w:val="0"/>
          <w:sz w:val="12"/>
          <w:szCs w:val="12"/>
          <w:lang w:val="en-ZA"/>
        </w:rPr>
      </w:pPr>
      <w:r>
        <w:rPr>
          <w:rFonts w:cs="Arial"/>
          <w:sz w:val="12"/>
          <w:szCs w:val="12"/>
          <w:lang w:val="en-ZA"/>
        </w:rPr>
        <w:tab/>
        <w:t xml:space="preserve">Simvastatin 40 mg, oral (secondary prevention of ischaemic events): </w:t>
      </w:r>
      <w:r w:rsidRPr="002E1510">
        <w:rPr>
          <w:rFonts w:cs="Arial"/>
          <w:sz w:val="12"/>
          <w:szCs w:val="12"/>
          <w:lang w:val="en-ZA"/>
        </w:rPr>
        <w:t>Cholesterol Treatment Trialists' (CTT) Collaboration. Efficacy and safety of more intensive lowering of LDL cholesterol: a meta-analysis of data from 170 000 participants in 26 randomised trials. The Lancet 2010; 376(9753): 1670-81.</w:t>
      </w:r>
      <w:r>
        <w:rPr>
          <w:rFonts w:cs="Arial"/>
          <w:sz w:val="12"/>
          <w:szCs w:val="12"/>
          <w:lang w:val="en-ZA"/>
        </w:rPr>
        <w:t xml:space="preserve"> </w:t>
      </w:r>
      <w:hyperlink r:id="rId35" w:history="1">
        <w:r w:rsidRPr="002E1510">
          <w:rPr>
            <w:rStyle w:val="Hyperlink"/>
            <w:sz w:val="12"/>
            <w:szCs w:val="12"/>
            <w:lang w:val="en-ZA"/>
          </w:rPr>
          <w:t>https://www.ncbi.nlm.nih.gov/pubmed/21067804</w:t>
        </w:r>
      </w:hyperlink>
    </w:p>
    <w:p w14:paraId="47677C59" w14:textId="77777777" w:rsidR="00F74C89" w:rsidRPr="00AF373D" w:rsidRDefault="00F74C89" w:rsidP="00FD0C19">
      <w:pPr>
        <w:pStyle w:val="EndnoteText"/>
        <w:tabs>
          <w:tab w:val="left" w:pos="142"/>
        </w:tabs>
        <w:ind w:left="0"/>
        <w:rPr>
          <w:lang w:val="en-ZA"/>
        </w:rPr>
      </w:pPr>
      <w:r>
        <w:rPr>
          <w:rFonts w:cs="Arial"/>
          <w:sz w:val="12"/>
          <w:szCs w:val="12"/>
          <w:lang w:val="en-ZA"/>
        </w:rPr>
        <w:tab/>
        <w:t xml:space="preserve">Simvastatin 40 mg, oral (secondary prevention of ischaemic events): </w:t>
      </w:r>
      <w:r w:rsidRPr="002E1510">
        <w:rPr>
          <w:rFonts w:cs="Arial"/>
          <w:sz w:val="12"/>
          <w:szCs w:val="12"/>
          <w:lang w:val="en-ZA"/>
        </w:rPr>
        <w:t>Naci H, Brugts JJ, Fleurence R, Ades A. Dose-comparative effects of different statins on serum lipid levels: a network meta-analysis of 256,827 individuals in 181 randomized controlled trials. European journal of preventive cardiology 2013; 20(4): 658-70.</w:t>
      </w:r>
      <w:r>
        <w:rPr>
          <w:rFonts w:cs="Arial"/>
          <w:sz w:val="12"/>
          <w:szCs w:val="12"/>
          <w:lang w:val="en-ZA"/>
        </w:rPr>
        <w:t xml:space="preserve"> </w:t>
      </w:r>
      <w:hyperlink r:id="rId36" w:history="1">
        <w:r w:rsidRPr="002E1510">
          <w:rPr>
            <w:rStyle w:val="Hyperlink"/>
            <w:sz w:val="12"/>
            <w:szCs w:val="12"/>
            <w:lang w:val="en-ZA"/>
          </w:rPr>
          <w:t>https://www.ncbi.nlm.nih.gov/pubmed/23529608</w:t>
        </w:r>
      </w:hyperlink>
    </w:p>
  </w:endnote>
  <w:endnote w:id="27">
    <w:p w14:paraId="681A3D38" w14:textId="77777777" w:rsidR="00F74C89" w:rsidRDefault="00F74C89" w:rsidP="00FD0C19">
      <w:pPr>
        <w:pStyle w:val="EndnoteText"/>
        <w:tabs>
          <w:tab w:val="left" w:pos="142"/>
        </w:tabs>
        <w:ind w:left="0"/>
        <w:rPr>
          <w:rFonts w:cs="Arial"/>
          <w:bCs w:val="0"/>
          <w:sz w:val="12"/>
          <w:szCs w:val="12"/>
          <w:lang w:val="en-ZA"/>
        </w:rPr>
      </w:pPr>
      <w:r w:rsidRPr="001B0D1A">
        <w:rPr>
          <w:rStyle w:val="EndnoteReference"/>
          <w:rFonts w:cs="Arial"/>
          <w:sz w:val="12"/>
          <w:szCs w:val="12"/>
        </w:rPr>
        <w:endnoteRef/>
      </w:r>
      <w:r w:rsidRPr="001B0D1A">
        <w:rPr>
          <w:rFonts w:cs="Arial"/>
          <w:sz w:val="12"/>
          <w:szCs w:val="12"/>
        </w:rPr>
        <w:tab/>
      </w:r>
      <w:r>
        <w:rPr>
          <w:rFonts w:cs="Arial"/>
          <w:sz w:val="12"/>
          <w:szCs w:val="12"/>
          <w:lang w:val="en-ZA"/>
        </w:rPr>
        <w:t xml:space="preserve">Atorvastatin 10 mg, oral (secondary prevention of ischaemic events – patients on protease inhibitors): </w:t>
      </w:r>
      <w:r w:rsidRPr="003951E1">
        <w:rPr>
          <w:rFonts w:cs="Arial"/>
          <w:sz w:val="12"/>
          <w:szCs w:val="12"/>
          <w:lang w:val="en-ZA"/>
        </w:rPr>
        <w:t xml:space="preserve">Chastain DB, Stover KR, Riche DM. Evidence-based review of statin use in patients with HIV on antiretroviral therapy. J Clin Transl Endocrinol. 2017 Feb 22;8:6-14. </w:t>
      </w:r>
      <w:hyperlink r:id="rId37" w:history="1">
        <w:r w:rsidRPr="003951E1">
          <w:rPr>
            <w:rStyle w:val="Hyperlink"/>
            <w:sz w:val="12"/>
            <w:szCs w:val="12"/>
            <w:lang w:val="en-ZA"/>
          </w:rPr>
          <w:t>https://www.ncbi.nlm.nih.gov/pubmed/29067253</w:t>
        </w:r>
      </w:hyperlink>
    </w:p>
    <w:p w14:paraId="51AB73D8" w14:textId="77777777" w:rsidR="00F74C89" w:rsidRDefault="00F74C89" w:rsidP="00FD0C19">
      <w:pPr>
        <w:pStyle w:val="EndnoteText"/>
        <w:tabs>
          <w:tab w:val="left" w:pos="142"/>
        </w:tabs>
        <w:ind w:left="0"/>
        <w:rPr>
          <w:rFonts w:cs="Arial"/>
          <w:bCs w:val="0"/>
          <w:sz w:val="12"/>
          <w:szCs w:val="12"/>
          <w:lang w:val="en-ZA"/>
        </w:rPr>
      </w:pPr>
      <w:r>
        <w:rPr>
          <w:rFonts w:cs="Arial"/>
          <w:sz w:val="12"/>
          <w:szCs w:val="12"/>
          <w:lang w:val="en-ZA"/>
        </w:rPr>
        <w:tab/>
        <w:t>Atorvastatin 10 mg, oral (secondary prevention of ischaemic events – patients on protease inhibitors): National Department of Health.</w:t>
      </w:r>
      <w:r w:rsidRPr="002E1510">
        <w:t xml:space="preserve"> </w:t>
      </w:r>
      <w:r w:rsidRPr="002E1510">
        <w:rPr>
          <w:rFonts w:cs="Arial"/>
          <w:sz w:val="12"/>
          <w:szCs w:val="12"/>
          <w:lang w:val="en-ZA"/>
        </w:rPr>
        <w:t>Affordable Medicines, EDP-</w:t>
      </w:r>
      <w:r>
        <w:rPr>
          <w:rFonts w:cs="Arial"/>
          <w:sz w:val="12"/>
          <w:szCs w:val="12"/>
          <w:lang w:val="en-ZA"/>
        </w:rPr>
        <w:t>Primary Health Care</w:t>
      </w:r>
      <w:r w:rsidRPr="002E1510">
        <w:rPr>
          <w:rFonts w:cs="Arial"/>
          <w:sz w:val="12"/>
          <w:szCs w:val="12"/>
          <w:lang w:val="en-ZA"/>
        </w:rPr>
        <w:t>. Cost-effectiveness analysis of high, intermediate, and low dose statins for the secondary prevention of cardiovascular disease</w:t>
      </w:r>
      <w:r>
        <w:rPr>
          <w:rFonts w:cs="Arial"/>
          <w:sz w:val="12"/>
          <w:szCs w:val="12"/>
          <w:lang w:val="en-ZA"/>
        </w:rPr>
        <w:t xml:space="preserve">, 31 January 2018. </w:t>
      </w:r>
      <w:hyperlink r:id="rId38" w:history="1">
        <w:r w:rsidRPr="001D2B21">
          <w:rPr>
            <w:rStyle w:val="Hyperlink"/>
            <w:sz w:val="12"/>
            <w:szCs w:val="12"/>
            <w:lang w:val="en-ZA"/>
          </w:rPr>
          <w:t>www.health.gov.za</w:t>
        </w:r>
      </w:hyperlink>
      <w:r>
        <w:rPr>
          <w:rFonts w:cs="Arial"/>
          <w:sz w:val="12"/>
          <w:szCs w:val="12"/>
          <w:lang w:val="en-ZA"/>
        </w:rPr>
        <w:t>/</w:t>
      </w:r>
    </w:p>
    <w:p w14:paraId="398811E4" w14:textId="77777777" w:rsidR="00F74C89" w:rsidRDefault="00F74C89" w:rsidP="00FD0C19">
      <w:pPr>
        <w:pStyle w:val="EndnoteText"/>
        <w:tabs>
          <w:tab w:val="left" w:pos="142"/>
        </w:tabs>
        <w:ind w:left="0"/>
        <w:rPr>
          <w:rFonts w:cs="Arial"/>
          <w:bCs w:val="0"/>
          <w:sz w:val="12"/>
          <w:szCs w:val="12"/>
          <w:lang w:val="en-ZA"/>
        </w:rPr>
      </w:pPr>
      <w:r>
        <w:rPr>
          <w:rFonts w:cs="Arial"/>
          <w:sz w:val="12"/>
          <w:szCs w:val="12"/>
          <w:lang w:val="en-ZA"/>
        </w:rPr>
        <w:tab/>
        <w:t xml:space="preserve">Atorvastatin 10 mg, oral (secondary prevention of ischaemic events – patients on protease inhibitors): </w:t>
      </w:r>
      <w:r w:rsidRPr="002E1510">
        <w:rPr>
          <w:rFonts w:cs="Arial"/>
          <w:sz w:val="12"/>
          <w:szCs w:val="12"/>
          <w:lang w:val="en-ZA"/>
        </w:rPr>
        <w:t>Cholesterol Treatment Trialists' (CTT) Collaboration. Efficacy and safety of more intensive lowering of LDL cholesterol: a meta-analysis of data from 170 000 participants in 26 randomised trials. The Lancet 2010; 376(9753): 1670-81.</w:t>
      </w:r>
      <w:r>
        <w:rPr>
          <w:rFonts w:cs="Arial"/>
          <w:sz w:val="12"/>
          <w:szCs w:val="12"/>
          <w:lang w:val="en-ZA"/>
        </w:rPr>
        <w:t xml:space="preserve"> </w:t>
      </w:r>
      <w:hyperlink r:id="rId39" w:history="1">
        <w:r w:rsidRPr="002E1510">
          <w:rPr>
            <w:rStyle w:val="Hyperlink"/>
            <w:sz w:val="12"/>
            <w:szCs w:val="12"/>
            <w:lang w:val="en-ZA"/>
          </w:rPr>
          <w:t>https://www.ncbi.nlm.nih.gov/pubmed/21067804</w:t>
        </w:r>
      </w:hyperlink>
    </w:p>
    <w:p w14:paraId="34232B4D" w14:textId="77777777" w:rsidR="00F74C89" w:rsidRDefault="00F74C89" w:rsidP="00FD0C19">
      <w:pPr>
        <w:pStyle w:val="EndnoteText"/>
        <w:tabs>
          <w:tab w:val="left" w:pos="142"/>
        </w:tabs>
        <w:ind w:left="0"/>
        <w:rPr>
          <w:rStyle w:val="Hyperlink"/>
          <w:spacing w:val="-2"/>
          <w:sz w:val="12"/>
          <w:szCs w:val="12"/>
        </w:rPr>
      </w:pPr>
      <w:r>
        <w:rPr>
          <w:rFonts w:cs="Arial"/>
          <w:sz w:val="12"/>
          <w:szCs w:val="12"/>
          <w:lang w:val="en-ZA"/>
        </w:rPr>
        <w:tab/>
        <w:t xml:space="preserve">Atorvastatin 10 mg, oral (secondary prevention of ischaemic events – patients on protease inhibitors): </w:t>
      </w:r>
      <w:r w:rsidRPr="002E1510">
        <w:rPr>
          <w:rFonts w:cs="Arial"/>
          <w:sz w:val="12"/>
          <w:szCs w:val="12"/>
          <w:lang w:val="en-ZA"/>
        </w:rPr>
        <w:t>Naci H, Brugts JJ, Fleurence R, Ades A. Dose-comparative effects of different statins on serum lipid levels: a network meta-analysis of 256,827 individuals in 181 randomized controlled trials. European journal of preventive cardiology 2013; 20(4): 658-70.</w:t>
      </w:r>
      <w:r>
        <w:rPr>
          <w:rFonts w:cs="Arial"/>
          <w:sz w:val="12"/>
          <w:szCs w:val="12"/>
          <w:lang w:val="en-ZA"/>
        </w:rPr>
        <w:t xml:space="preserve"> </w:t>
      </w:r>
      <w:hyperlink r:id="rId40" w:history="1">
        <w:r w:rsidRPr="002E1510">
          <w:rPr>
            <w:rStyle w:val="Hyperlink"/>
            <w:sz w:val="12"/>
            <w:szCs w:val="12"/>
            <w:lang w:val="en-ZA"/>
          </w:rPr>
          <w:t>https://www.ncbi.nlm.nih.gov/pubmed/23529608</w:t>
        </w:r>
      </w:hyperlink>
    </w:p>
    <w:p w14:paraId="4440E9C9" w14:textId="77777777" w:rsidR="00F74C89" w:rsidRPr="00CE7BB6" w:rsidRDefault="00F74C89" w:rsidP="00FD0C19">
      <w:pPr>
        <w:pStyle w:val="EndnoteText"/>
        <w:tabs>
          <w:tab w:val="left" w:pos="142"/>
        </w:tabs>
        <w:ind w:left="0"/>
        <w:rPr>
          <w:rFonts w:cs="Arial"/>
          <w:sz w:val="12"/>
          <w:szCs w:val="12"/>
        </w:rPr>
      </w:pPr>
      <w:r w:rsidRPr="005B707E">
        <w:rPr>
          <w:rStyle w:val="Hyperlink"/>
          <w:spacing w:val="-2"/>
          <w:sz w:val="12"/>
          <w:szCs w:val="12"/>
        </w:rPr>
        <w:tab/>
      </w:r>
      <w:r w:rsidRPr="00CE7BB6">
        <w:rPr>
          <w:rFonts w:cs="Arial"/>
          <w:sz w:val="12"/>
          <w:szCs w:val="12"/>
          <w:lang w:val="en-ZA"/>
        </w:rPr>
        <w:t xml:space="preserve">Atorvastatin, oral </w:t>
      </w:r>
      <w:r w:rsidRPr="00CE7BB6">
        <w:rPr>
          <w:rFonts w:cs="Arial"/>
          <w:sz w:val="12"/>
          <w:szCs w:val="12"/>
        </w:rPr>
        <w:t xml:space="preserve">(drug-drug interaction with protease inhibitors): University of Liverpool. HIV drug interaction database. </w:t>
      </w:r>
      <w:hyperlink r:id="rId41" w:history="1">
        <w:r w:rsidRPr="00CE7BB6">
          <w:rPr>
            <w:rFonts w:cs="Arial"/>
            <w:color w:val="0000FF" w:themeColor="hyperlink"/>
            <w:sz w:val="12"/>
            <w:szCs w:val="12"/>
            <w:u w:val="single"/>
          </w:rPr>
          <w:t>https://www.hiv-druginteractions.org/</w:t>
        </w:r>
      </w:hyperlink>
    </w:p>
  </w:endnote>
  <w:endnote w:id="28">
    <w:p w14:paraId="661B155C" w14:textId="33AAF90C" w:rsidR="00A65302" w:rsidRDefault="00F74C89" w:rsidP="00A65302">
      <w:pPr>
        <w:pStyle w:val="EndnoteText"/>
        <w:ind w:left="0"/>
        <w:jc w:val="left"/>
        <w:rPr>
          <w:rFonts w:cs="Arial"/>
          <w:spacing w:val="-2"/>
          <w:sz w:val="12"/>
          <w:szCs w:val="12"/>
          <w:lang w:val="en-ZA"/>
        </w:rPr>
      </w:pPr>
      <w:r w:rsidRPr="00AF373D">
        <w:rPr>
          <w:rStyle w:val="EndnoteReference"/>
          <w:rFonts w:cs="Arial"/>
          <w:sz w:val="12"/>
          <w:szCs w:val="12"/>
        </w:rPr>
        <w:endnoteRef/>
      </w:r>
      <w:r w:rsidRPr="00AF373D">
        <w:rPr>
          <w:rFonts w:cs="Arial"/>
          <w:sz w:val="12"/>
          <w:szCs w:val="12"/>
        </w:rPr>
        <w:t xml:space="preserve"> </w:t>
      </w:r>
      <w:r w:rsidR="00A65302" w:rsidRPr="001D0FAB">
        <w:rPr>
          <w:rFonts w:cs="Arial"/>
          <w:spacing w:val="-2"/>
          <w:sz w:val="12"/>
          <w:szCs w:val="12"/>
          <w:lang w:val="en-ZA"/>
        </w:rPr>
        <w:t xml:space="preserve">Simvastatin 40 mg, oral (amlodipine drug interaction): </w:t>
      </w:r>
      <w:r w:rsidR="00A65302" w:rsidRPr="00E567A5">
        <w:rPr>
          <w:rFonts w:cs="Arial"/>
          <w:spacing w:val="-2"/>
          <w:sz w:val="12"/>
          <w:szCs w:val="12"/>
          <w:lang w:val="en-ZA"/>
        </w:rPr>
        <w:t>Nishio S, Watanabe H, Kosuge K, Uchida S, Hayashi H, Ohashi K. Interaction between amlodipine and simvastatin in patients with hypercholesterolemia and hypertension. Hypertens Res. 2005;28(3):223–7.</w:t>
      </w:r>
      <w:r w:rsidR="00A65302">
        <w:rPr>
          <w:rFonts w:cs="Arial"/>
          <w:spacing w:val="-2"/>
          <w:sz w:val="12"/>
          <w:szCs w:val="12"/>
          <w:lang w:val="en-ZA"/>
        </w:rPr>
        <w:t xml:space="preserve"> </w:t>
      </w:r>
      <w:hyperlink r:id="rId42" w:history="1">
        <w:r w:rsidR="00A65302" w:rsidRPr="00873DD6">
          <w:rPr>
            <w:rStyle w:val="Hyperlink"/>
            <w:spacing w:val="-2"/>
            <w:sz w:val="12"/>
            <w:szCs w:val="12"/>
            <w:lang w:val="en-ZA"/>
          </w:rPr>
          <w:t>https://www.ncbi.nlm.nih.gov/pubmed/16097365</w:t>
        </w:r>
      </w:hyperlink>
      <w:r w:rsidR="00A65302">
        <w:rPr>
          <w:rFonts w:cs="Arial"/>
          <w:spacing w:val="-2"/>
          <w:sz w:val="12"/>
          <w:szCs w:val="12"/>
          <w:lang w:val="en-ZA"/>
        </w:rPr>
        <w:t xml:space="preserve"> </w:t>
      </w:r>
      <w:r w:rsidR="00A65302" w:rsidRPr="00E567A5">
        <w:rPr>
          <w:rFonts w:cs="Arial"/>
          <w:spacing w:val="-2"/>
          <w:sz w:val="12"/>
          <w:szCs w:val="12"/>
          <w:lang w:val="en-ZA"/>
        </w:rPr>
        <w:t xml:space="preserve"> </w:t>
      </w:r>
    </w:p>
    <w:p w14:paraId="0955A26F" w14:textId="6233E442" w:rsidR="00F74C89" w:rsidRPr="00AF373D" w:rsidRDefault="00A65302" w:rsidP="00A65302">
      <w:pPr>
        <w:pStyle w:val="EndnoteText"/>
        <w:tabs>
          <w:tab w:val="left" w:pos="142"/>
        </w:tabs>
        <w:ind w:left="0"/>
        <w:jc w:val="left"/>
        <w:rPr>
          <w:rFonts w:cs="Arial"/>
          <w:sz w:val="12"/>
          <w:szCs w:val="12"/>
          <w:lang w:val="en-ZA"/>
        </w:rPr>
      </w:pPr>
      <w:r>
        <w:rPr>
          <w:rFonts w:cs="Arial"/>
          <w:spacing w:val="-2"/>
          <w:sz w:val="12"/>
          <w:szCs w:val="12"/>
          <w:lang w:val="en-ZA"/>
        </w:rPr>
        <w:tab/>
      </w:r>
      <w:r w:rsidRPr="001D0FAB">
        <w:rPr>
          <w:rFonts w:cs="Arial"/>
          <w:spacing w:val="-2"/>
          <w:sz w:val="12"/>
          <w:szCs w:val="12"/>
          <w:lang w:val="en-ZA"/>
        </w:rPr>
        <w:t>Simvastatin 40 mg, oral (amlodipine drug interaction):</w:t>
      </w:r>
      <w:r>
        <w:rPr>
          <w:rFonts w:cs="Arial"/>
          <w:spacing w:val="-2"/>
          <w:sz w:val="12"/>
          <w:szCs w:val="12"/>
          <w:lang w:val="en-ZA"/>
        </w:rPr>
        <w:t xml:space="preserve"> </w:t>
      </w:r>
      <w:r w:rsidRPr="00BB244C">
        <w:rPr>
          <w:rFonts w:cs="Arial"/>
          <w:spacing w:val="-2"/>
          <w:sz w:val="12"/>
          <w:szCs w:val="12"/>
          <w:lang w:val="en-ZA"/>
        </w:rPr>
        <w:t>Son H, Lee D, Lim LA, Jang SB, Roh H, Park K. Development of a pharmacokinetic interaction model for co-administration of simvastatin and amlodipine. Drug Metab Pharmacokinet. 2014;29(2):120–8.</w:t>
      </w:r>
      <w:r>
        <w:rPr>
          <w:rFonts w:cs="Arial"/>
          <w:spacing w:val="-2"/>
          <w:sz w:val="12"/>
          <w:szCs w:val="12"/>
          <w:lang w:val="en-ZA"/>
        </w:rPr>
        <w:t xml:space="preserve"> </w:t>
      </w:r>
      <w:hyperlink r:id="rId43" w:history="1">
        <w:r w:rsidRPr="00873DD6">
          <w:rPr>
            <w:rStyle w:val="Hyperlink"/>
            <w:spacing w:val="-2"/>
            <w:sz w:val="12"/>
            <w:szCs w:val="12"/>
            <w:lang w:val="en-ZA"/>
          </w:rPr>
          <w:t>https://www.ncbi.nlm.nih.gov/pubmed/23965645</w:t>
        </w:r>
      </w:hyperlink>
      <w:r>
        <w:rPr>
          <w:rFonts w:cs="Arial"/>
          <w:spacing w:val="-2"/>
          <w:sz w:val="12"/>
          <w:szCs w:val="12"/>
          <w:lang w:val="en-ZA"/>
        </w:rPr>
        <w:t xml:space="preserve"> </w:t>
      </w:r>
    </w:p>
  </w:endnote>
  <w:endnote w:id="29">
    <w:p w14:paraId="35452AB5" w14:textId="77777777" w:rsidR="00F74C89" w:rsidRPr="00CE7BB6" w:rsidRDefault="00F74C89" w:rsidP="00FD0C19">
      <w:pPr>
        <w:pStyle w:val="EndnoteText"/>
        <w:ind w:left="0"/>
        <w:rPr>
          <w:rFonts w:cs="Arial"/>
          <w:sz w:val="12"/>
          <w:szCs w:val="12"/>
          <w:lang w:val="en-ZA"/>
        </w:rPr>
      </w:pPr>
      <w:r w:rsidRPr="00CE7BB6">
        <w:rPr>
          <w:rStyle w:val="EndnoteReference"/>
          <w:rFonts w:cs="Arial"/>
          <w:sz w:val="12"/>
          <w:szCs w:val="12"/>
        </w:rPr>
        <w:endnoteRef/>
      </w:r>
      <w:r w:rsidRPr="00CE7BB6">
        <w:rPr>
          <w:rFonts w:cs="Arial"/>
          <w:sz w:val="12"/>
          <w:szCs w:val="12"/>
        </w:rPr>
        <w:t xml:space="preserve"> High dose statins </w:t>
      </w:r>
      <w:r w:rsidRPr="00CE7BB6">
        <w:rPr>
          <w:rFonts w:cs="Arial"/>
          <w:sz w:val="12"/>
          <w:szCs w:val="12"/>
          <w:lang w:val="en-ZA"/>
        </w:rPr>
        <w:t>(management of adverse drug reactions): NICE: Cardiovascular disease: risk assessment and reduction, including lipid modification. Clinical guideline, 18 July 2014</w:t>
      </w:r>
      <w:r w:rsidRPr="00CE7BB6">
        <w:rPr>
          <w:rStyle w:val="Hyperlink"/>
          <w:spacing w:val="-2"/>
          <w:sz w:val="12"/>
          <w:szCs w:val="12"/>
        </w:rPr>
        <w:t xml:space="preserve">. </w:t>
      </w:r>
      <w:hyperlink r:id="rId44" w:history="1">
        <w:r w:rsidRPr="00CE7BB6">
          <w:rPr>
            <w:rStyle w:val="Hyperlink"/>
            <w:spacing w:val="-2"/>
            <w:sz w:val="12"/>
            <w:szCs w:val="12"/>
          </w:rPr>
          <w:t>www.nice.org.uk/guidance/cg181</w:t>
        </w:r>
      </w:hyperlink>
    </w:p>
  </w:endnote>
  <w:endnote w:id="30">
    <w:p w14:paraId="398425F0" w14:textId="77777777" w:rsidR="00F74C89" w:rsidRPr="0096377C" w:rsidRDefault="00F74C89" w:rsidP="00EE7C44">
      <w:pPr>
        <w:pStyle w:val="EndnoteText"/>
        <w:tabs>
          <w:tab w:val="left" w:pos="142"/>
        </w:tabs>
        <w:ind w:left="0"/>
        <w:jc w:val="left"/>
        <w:rPr>
          <w:sz w:val="12"/>
        </w:rPr>
      </w:pPr>
      <w:r w:rsidRPr="005B13FA">
        <w:rPr>
          <w:rStyle w:val="EndnoteReference"/>
          <w:sz w:val="12"/>
        </w:rPr>
        <w:endnoteRef/>
      </w:r>
      <w:r>
        <w:rPr>
          <w:sz w:val="12"/>
        </w:rPr>
        <w:t>Aspirin</w:t>
      </w:r>
      <w:r w:rsidRPr="005B13FA">
        <w:rPr>
          <w:sz w:val="12"/>
        </w:rPr>
        <w:t>:</w:t>
      </w:r>
      <w:r>
        <w:rPr>
          <w:sz w:val="12"/>
        </w:rPr>
        <w:t xml:space="preserve"> </w:t>
      </w:r>
      <w:r w:rsidRPr="004B51B4">
        <w:rPr>
          <w:sz w:val="12"/>
        </w:rPr>
        <w:t>DeBerardis G, Sacco M, Strippoli GF, Pellegrini F, Graziano G, Tognoni G, Nicolucci A. Aspirin for primary prevention of cardiovascular events in people with diabetes: meta-analysis of randomised controlled trials. BMJ. 2009 Nov6;339:b4531.</w:t>
      </w:r>
      <w:hyperlink r:id="rId45" w:history="1">
        <w:r w:rsidRPr="0038176C">
          <w:rPr>
            <w:rStyle w:val="Hyperlink"/>
            <w:rFonts w:cs="Times New Roman"/>
            <w:sz w:val="12"/>
          </w:rPr>
          <w:t>http://www.ncbi.nlm.nih.gov/pubmed/19897665</w:t>
        </w:r>
      </w:hyperlink>
    </w:p>
  </w:endnote>
  <w:endnote w:id="31">
    <w:p w14:paraId="1DB04D45" w14:textId="77777777" w:rsidR="00F74C89" w:rsidRDefault="00F74C89" w:rsidP="00EE7C44">
      <w:pPr>
        <w:pStyle w:val="EndnoteText"/>
        <w:tabs>
          <w:tab w:val="left" w:pos="142"/>
        </w:tabs>
        <w:ind w:left="0"/>
        <w:jc w:val="left"/>
        <w:rPr>
          <w:sz w:val="12"/>
        </w:rPr>
      </w:pPr>
      <w:r w:rsidRPr="005B13FA">
        <w:rPr>
          <w:rStyle w:val="EndnoteReference"/>
          <w:sz w:val="12"/>
        </w:rPr>
        <w:endnoteRef/>
      </w:r>
      <w:r>
        <w:rPr>
          <w:sz w:val="12"/>
        </w:rPr>
        <w:t xml:space="preserve">Bisphosphonates, IV (therapeutic grouping): </w:t>
      </w:r>
      <w:r w:rsidRPr="003C3C12">
        <w:rPr>
          <w:sz w:val="12"/>
        </w:rPr>
        <w:t xml:space="preserve">National Department of Health: Affordable Medicines, EDP-Adult Hospital level. Medicine Review: </w:t>
      </w:r>
      <w:r>
        <w:rPr>
          <w:sz w:val="12"/>
        </w:rPr>
        <w:t>Bisphosphonates,</w:t>
      </w:r>
      <w:r w:rsidRPr="003C3C12">
        <w:rPr>
          <w:sz w:val="12"/>
        </w:rPr>
        <w:t xml:space="preserve"> therapeutic class for</w:t>
      </w:r>
      <w:r>
        <w:rPr>
          <w:sz w:val="12"/>
        </w:rPr>
        <w:t xml:space="preserve"> h</w:t>
      </w:r>
      <w:r w:rsidRPr="003C3C12">
        <w:rPr>
          <w:sz w:val="12"/>
        </w:rPr>
        <w:t xml:space="preserve">ypercalcaemia, including primary hyperparathyroidism, </w:t>
      </w:r>
      <w:r>
        <w:rPr>
          <w:sz w:val="12"/>
        </w:rPr>
        <w:t>September 2017</w:t>
      </w:r>
      <w:r w:rsidRPr="003C3C12">
        <w:rPr>
          <w:sz w:val="12"/>
        </w:rPr>
        <w:t xml:space="preserve">. </w:t>
      </w:r>
      <w:hyperlink r:id="rId46" w:history="1">
        <w:r w:rsidRPr="00811647">
          <w:rPr>
            <w:rStyle w:val="Hyperlink"/>
            <w:rFonts w:cs="Times New Roman"/>
            <w:sz w:val="12"/>
          </w:rPr>
          <w:t>http://www.health.gov.za/</w:t>
        </w:r>
      </w:hyperlink>
      <w:r>
        <w:rPr>
          <w:sz w:val="12"/>
        </w:rPr>
        <w:t xml:space="preserve"> </w:t>
      </w:r>
    </w:p>
    <w:p w14:paraId="0F9104D2" w14:textId="77777777" w:rsidR="00F74C89" w:rsidRDefault="00F74C89" w:rsidP="00EE7C44">
      <w:pPr>
        <w:pStyle w:val="EndnoteText"/>
        <w:tabs>
          <w:tab w:val="left" w:pos="142"/>
        </w:tabs>
        <w:ind w:left="0"/>
        <w:jc w:val="left"/>
        <w:rPr>
          <w:sz w:val="12"/>
        </w:rPr>
      </w:pPr>
      <w:r>
        <w:rPr>
          <w:sz w:val="12"/>
        </w:rPr>
        <w:tab/>
        <w:t xml:space="preserve">Bisphosphonates, IV (therapeutic grouping): </w:t>
      </w:r>
      <w:r w:rsidRPr="003C3C12">
        <w:rPr>
          <w:sz w:val="12"/>
        </w:rPr>
        <w:t>Ross JR, Saunders Y, Edmonds PM, Patel S, Wonderling D,</w:t>
      </w:r>
      <w:r>
        <w:rPr>
          <w:sz w:val="12"/>
        </w:rPr>
        <w:t xml:space="preserve"> </w:t>
      </w:r>
      <w:r w:rsidRPr="003C3C12">
        <w:rPr>
          <w:sz w:val="12"/>
        </w:rPr>
        <w:t xml:space="preserve">Normand C, Broadley K. A systematic review of the role of bisphosphonates in metastatic disease. Health  Technol Assess. 2004;8(4):1-176. </w:t>
      </w:r>
      <w:hyperlink r:id="rId47" w:history="1">
        <w:r w:rsidRPr="00811647">
          <w:rPr>
            <w:rStyle w:val="Hyperlink"/>
            <w:rFonts w:cs="Times New Roman"/>
            <w:sz w:val="12"/>
          </w:rPr>
          <w:t>https://www.ncbi.nlm.nih.gov/pubmed/14960258</w:t>
        </w:r>
      </w:hyperlink>
      <w:r>
        <w:rPr>
          <w:sz w:val="12"/>
        </w:rPr>
        <w:t xml:space="preserve"> </w:t>
      </w:r>
    </w:p>
    <w:p w14:paraId="49729AF8" w14:textId="77777777" w:rsidR="00F74C89" w:rsidRDefault="00F74C89" w:rsidP="00EE7C44">
      <w:pPr>
        <w:pStyle w:val="EndnoteText"/>
        <w:tabs>
          <w:tab w:val="left" w:pos="142"/>
        </w:tabs>
        <w:ind w:left="0"/>
        <w:jc w:val="left"/>
        <w:rPr>
          <w:sz w:val="12"/>
        </w:rPr>
      </w:pPr>
      <w:r>
        <w:rPr>
          <w:sz w:val="12"/>
        </w:rPr>
        <w:tab/>
        <w:t xml:space="preserve">Zoledronic acid, IV (dosing): </w:t>
      </w:r>
      <w:r w:rsidRPr="000A2BB9">
        <w:rPr>
          <w:sz w:val="12"/>
        </w:rPr>
        <w:t>The Society for Endocrinology, Metabolism and Diabetes of South Africa Type 2 Diabetes Guidelines Expert Committee. The 2017 SEMDSA Guideline for the Management of Type 2 Diabetes Guideline Committee. JEMDSA 2017; 21(1)(Supplement 1): S1-S196.</w:t>
      </w:r>
      <w:r>
        <w:rPr>
          <w:sz w:val="12"/>
        </w:rPr>
        <w:t xml:space="preserve"> </w:t>
      </w:r>
      <w:hyperlink r:id="rId48" w:history="1">
        <w:r w:rsidRPr="000A2BB9">
          <w:rPr>
            <w:rStyle w:val="Hyperlink"/>
            <w:rFonts w:cs="Times New Roman"/>
            <w:sz w:val="12"/>
          </w:rPr>
          <w:t>http://www.jemdsa.co.za/index.php/JEMDSA/article/view/647/937</w:t>
        </w:r>
      </w:hyperlink>
      <w:r w:rsidRPr="00FD4E3A" w:rsidDel="000A2BB9">
        <w:rPr>
          <w:sz w:val="12"/>
        </w:rPr>
        <w:t xml:space="preserve"> </w:t>
      </w:r>
    </w:p>
    <w:p w14:paraId="4CAFFC27" w14:textId="77777777" w:rsidR="00F74C89" w:rsidRPr="0096377C" w:rsidRDefault="00F74C89" w:rsidP="00EE7C44">
      <w:pPr>
        <w:pStyle w:val="EndnoteText"/>
        <w:tabs>
          <w:tab w:val="left" w:pos="142"/>
        </w:tabs>
        <w:ind w:left="0"/>
        <w:jc w:val="left"/>
        <w:rPr>
          <w:sz w:val="12"/>
        </w:rPr>
      </w:pPr>
      <w:r>
        <w:rPr>
          <w:sz w:val="12"/>
        </w:rPr>
        <w:tab/>
        <w:t xml:space="preserve">Zoledronic acid, IV (dosing): </w:t>
      </w:r>
      <w:r w:rsidRPr="00EE7C44">
        <w:rPr>
          <w:sz w:val="12"/>
        </w:rPr>
        <w:t>South African Medicines Formulary.  12th Edition.  Division of Clinical</w:t>
      </w:r>
      <w:r>
        <w:rPr>
          <w:sz w:val="12"/>
        </w:rPr>
        <w:t xml:space="preserve"> </w:t>
      </w:r>
      <w:r w:rsidRPr="00EE7C44">
        <w:rPr>
          <w:sz w:val="12"/>
        </w:rPr>
        <w:t>Pharmacology.  University of Cape Town, 2016.</w:t>
      </w:r>
    </w:p>
  </w:endnote>
  <w:endnote w:id="32">
    <w:p w14:paraId="23A7A922" w14:textId="273A52D9" w:rsidR="00A23C9F" w:rsidRPr="00A23C9F" w:rsidRDefault="00A23C9F" w:rsidP="00A23C9F">
      <w:pPr>
        <w:pStyle w:val="EndnoteText"/>
        <w:ind w:left="0"/>
        <w:rPr>
          <w:sz w:val="12"/>
          <w:szCs w:val="12"/>
          <w:lang w:val="en-ZA"/>
        </w:rPr>
      </w:pPr>
      <w:r w:rsidRPr="00A23C9F">
        <w:rPr>
          <w:rStyle w:val="EndnoteReference"/>
          <w:sz w:val="12"/>
          <w:szCs w:val="12"/>
        </w:rPr>
        <w:endnoteRef/>
      </w:r>
      <w:r w:rsidRPr="00A23C9F">
        <w:rPr>
          <w:sz w:val="12"/>
          <w:szCs w:val="12"/>
        </w:rPr>
        <w:t xml:space="preserve"> </w:t>
      </w:r>
      <w:r w:rsidRPr="00A23C9F">
        <w:rPr>
          <w:sz w:val="12"/>
          <w:szCs w:val="12"/>
          <w:lang w:val="en-ZA"/>
        </w:rPr>
        <w:t xml:space="preserve">Corticosteroids, oral (intermediate-acting therapeutic class): </w:t>
      </w:r>
      <w:r w:rsidRPr="00A23C9F">
        <w:rPr>
          <w:rFonts w:cs="Arial"/>
          <w:sz w:val="12"/>
          <w:szCs w:val="12"/>
        </w:rPr>
        <w:t>South African Medicines Formulary.  12th Edition.  Division of Clinical Pharmacology.University of Cape Town. 2016.</w:t>
      </w:r>
    </w:p>
  </w:endnote>
  <w:endnote w:id="33">
    <w:p w14:paraId="166938C4" w14:textId="77777777" w:rsidR="00F74C89" w:rsidRPr="0083000E" w:rsidRDefault="00F74C89" w:rsidP="006776A0">
      <w:pPr>
        <w:pStyle w:val="EndnoteText"/>
        <w:ind w:left="0"/>
        <w:jc w:val="left"/>
        <w:rPr>
          <w:lang w:val="en-ZA"/>
        </w:rPr>
      </w:pPr>
      <w:r w:rsidRPr="0083000E">
        <w:rPr>
          <w:rStyle w:val="EndnoteReference"/>
          <w:sz w:val="12"/>
          <w:szCs w:val="12"/>
        </w:rPr>
        <w:endnoteRef/>
      </w:r>
      <w:r w:rsidRPr="0083000E">
        <w:rPr>
          <w:sz w:val="12"/>
          <w:szCs w:val="12"/>
        </w:rPr>
        <w:t xml:space="preserve"> </w:t>
      </w:r>
      <w:r w:rsidRPr="006776A0">
        <w:rPr>
          <w:rFonts w:cs="Arial"/>
          <w:sz w:val="12"/>
          <w:szCs w:val="12"/>
          <w:lang w:val="en-ZA"/>
        </w:rPr>
        <w:t>Calcium gluconate 10%, infusion (</w:t>
      </w:r>
      <w:r w:rsidRPr="006776A0">
        <w:rPr>
          <w:rFonts w:cs="Arial"/>
          <w:spacing w:val="-2"/>
          <w:sz w:val="12"/>
          <w:szCs w:val="12"/>
          <w:lang w:val="en-GB"/>
        </w:rPr>
        <w:t xml:space="preserve">serum calcium &lt;2 mmol/L): Tohme JF, Bilezikian JP. Diagnosis and treatment of hypocalcaemic emergencies. The Endocrinologist. 1996; 10-18. </w:t>
      </w:r>
      <w:hyperlink r:id="rId49" w:history="1">
        <w:r w:rsidRPr="006776A0">
          <w:rPr>
            <w:rStyle w:val="Hyperlink"/>
            <w:spacing w:val="-2"/>
            <w:sz w:val="12"/>
            <w:szCs w:val="12"/>
            <w:lang w:val="en-GB"/>
          </w:rPr>
          <w:t>http://journals.lww.com/theendocrinologist/Abstract/1996/01000/Diagnosis_and_Treatment_of_Hypocalcemic.3.aspx</w:t>
        </w:r>
      </w:hyperlink>
    </w:p>
  </w:endnote>
  <w:endnote w:id="34">
    <w:p w14:paraId="5DB36D73" w14:textId="77777777" w:rsidR="00F74C89" w:rsidRDefault="00F74C89" w:rsidP="00E74E36">
      <w:pPr>
        <w:pStyle w:val="EndnoteText"/>
        <w:tabs>
          <w:tab w:val="left" w:pos="180"/>
        </w:tabs>
        <w:ind w:left="0"/>
        <w:rPr>
          <w:sz w:val="12"/>
        </w:rPr>
      </w:pPr>
      <w:r w:rsidRPr="00FC265C">
        <w:rPr>
          <w:rStyle w:val="EndnoteReference"/>
          <w:sz w:val="12"/>
        </w:rPr>
        <w:endnoteRef/>
      </w:r>
      <w:r>
        <w:rPr>
          <w:sz w:val="12"/>
        </w:rPr>
        <w:tab/>
      </w:r>
      <w:r w:rsidRPr="00FC265C">
        <w:rPr>
          <w:sz w:val="12"/>
        </w:rPr>
        <w:t>Hypothyroidism in pregnancy:</w:t>
      </w:r>
      <w:r>
        <w:rPr>
          <w:sz w:val="12"/>
        </w:rPr>
        <w:t xml:space="preserve"> </w:t>
      </w:r>
      <w:r w:rsidRPr="00FC265C">
        <w:rPr>
          <w:sz w:val="12"/>
        </w:rPr>
        <w:t>Vadiveloo T, Mires GJ, Donnan PT, Leese GP. Thyroid testing in pregnant women with thyroid dysfunction in Tayside, Scotland: the thyroid epidemiology, audit and research study (TEARS). ClinEndocrinol (Oxf) 2013; 78:466.</w:t>
      </w:r>
      <w:hyperlink r:id="rId50" w:history="1">
        <w:r w:rsidRPr="0038176C">
          <w:rPr>
            <w:rStyle w:val="Hyperlink"/>
            <w:rFonts w:cs="Times New Roman"/>
            <w:sz w:val="12"/>
          </w:rPr>
          <w:t>http://www.ncbi.nlm.nih.gov/pubmed/</w:t>
        </w:r>
        <w:r w:rsidRPr="0038176C">
          <w:rPr>
            <w:rStyle w:val="Hyperlink"/>
            <w:rFonts w:cs="Times New Roman"/>
            <w:sz w:val="12"/>
            <w:lang w:val="en-ZA"/>
          </w:rPr>
          <w:t>22548296</w:t>
        </w:r>
      </w:hyperlink>
    </w:p>
    <w:p w14:paraId="477AC219" w14:textId="77777777" w:rsidR="00F74C89" w:rsidRDefault="00F74C89" w:rsidP="000A2BB9">
      <w:pPr>
        <w:pStyle w:val="EndnoteText"/>
        <w:tabs>
          <w:tab w:val="left" w:pos="180"/>
        </w:tabs>
        <w:ind w:left="0"/>
        <w:jc w:val="left"/>
        <w:rPr>
          <w:sz w:val="12"/>
        </w:rPr>
      </w:pPr>
      <w:r>
        <w:rPr>
          <w:sz w:val="12"/>
        </w:rPr>
        <w:tab/>
      </w:r>
      <w:r w:rsidRPr="00FC265C">
        <w:rPr>
          <w:sz w:val="12"/>
        </w:rPr>
        <w:t>Hypothyroidism in pregnancy:</w:t>
      </w:r>
      <w:r>
        <w:rPr>
          <w:sz w:val="12"/>
        </w:rPr>
        <w:t xml:space="preserve"> </w:t>
      </w:r>
      <w:r w:rsidRPr="00FC265C">
        <w:rPr>
          <w:sz w:val="12"/>
        </w:rPr>
        <w:t>Yassa L, Marqusee E, Fawcett R, Alexander EK. Thyroid hormone early adjustment in pregnancy (the THERAPY) trial. J ClinEndocrinolMetab 2010; 95:3234.</w:t>
      </w:r>
      <w:r>
        <w:rPr>
          <w:sz w:val="12"/>
        </w:rPr>
        <w:t xml:space="preserve"> </w:t>
      </w:r>
      <w:hyperlink r:id="rId51" w:history="1">
        <w:r w:rsidRPr="0038176C">
          <w:rPr>
            <w:rStyle w:val="Hyperlink"/>
            <w:rFonts w:cs="Times New Roman"/>
            <w:sz w:val="12"/>
          </w:rPr>
          <w:t>http://www.ncbi.nlm.nih.gov/pubmed/</w:t>
        </w:r>
        <w:r w:rsidRPr="0038176C">
          <w:rPr>
            <w:rStyle w:val="Hyperlink"/>
            <w:rFonts w:cs="Times New Roman"/>
            <w:sz w:val="12"/>
            <w:lang w:val="en-ZA"/>
          </w:rPr>
          <w:t>20463094</w:t>
        </w:r>
      </w:hyperlink>
    </w:p>
    <w:p w14:paraId="4B751372" w14:textId="77777777" w:rsidR="00F74C89" w:rsidRDefault="00F74C89" w:rsidP="00E74E36">
      <w:pPr>
        <w:pStyle w:val="EndnoteText"/>
        <w:tabs>
          <w:tab w:val="left" w:pos="180"/>
        </w:tabs>
        <w:ind w:left="0"/>
        <w:rPr>
          <w:sz w:val="12"/>
        </w:rPr>
      </w:pPr>
      <w:r>
        <w:rPr>
          <w:sz w:val="12"/>
        </w:rPr>
        <w:tab/>
      </w:r>
      <w:r w:rsidRPr="00FC265C">
        <w:rPr>
          <w:sz w:val="12"/>
        </w:rPr>
        <w:t>Hypothyroidism in pregnancy:</w:t>
      </w:r>
      <w:r>
        <w:rPr>
          <w:sz w:val="12"/>
        </w:rPr>
        <w:t xml:space="preserve"> </w:t>
      </w:r>
      <w:r w:rsidRPr="00FC265C">
        <w:rPr>
          <w:sz w:val="12"/>
        </w:rPr>
        <w:t>Alexander EK, Marqusee E, Lawrence J, Jarolim P, Fischer GA, Larsen PR. Timing and magnitude of increases in levothyroxine requirements during pregnancy in women with hypothyroidism. N Engl J Med. 2004 Jul 15;351(3):241-9.</w:t>
      </w:r>
      <w:hyperlink r:id="rId52" w:history="1">
        <w:r w:rsidRPr="0038176C">
          <w:rPr>
            <w:rStyle w:val="Hyperlink"/>
            <w:rFonts w:cs="Times New Roman"/>
            <w:sz w:val="12"/>
          </w:rPr>
          <w:t>http://www.ncbi.nlm.nih.gov/pubmed/15254282</w:t>
        </w:r>
      </w:hyperlink>
    </w:p>
    <w:p w14:paraId="6577D880" w14:textId="19948858" w:rsidR="00F74C89" w:rsidRPr="00FC265C" w:rsidRDefault="00F74C89" w:rsidP="00E74E36">
      <w:pPr>
        <w:pStyle w:val="EndnoteText"/>
        <w:tabs>
          <w:tab w:val="left" w:pos="180"/>
        </w:tabs>
        <w:ind w:left="0"/>
        <w:rPr>
          <w:sz w:val="12"/>
        </w:rPr>
      </w:pPr>
      <w:r>
        <w:rPr>
          <w:sz w:val="12"/>
        </w:rPr>
        <w:tab/>
      </w:r>
      <w:r w:rsidRPr="00FC265C">
        <w:rPr>
          <w:sz w:val="12"/>
        </w:rPr>
        <w:t>Hypothyroidism in pregnancy:</w:t>
      </w:r>
      <w:r w:rsidR="00AA43E7">
        <w:rPr>
          <w:sz w:val="12"/>
        </w:rPr>
        <w:t xml:space="preserve"> </w:t>
      </w:r>
      <w:r w:rsidRPr="00FC265C">
        <w:rPr>
          <w:sz w:val="12"/>
        </w:rPr>
        <w:t xml:space="preserve">Abalovich M, Gutierrez S, Alcaraz G, Maccallini G, Garcia A, Levalle O. Overt  and subclinical hypothyroidism complicating pregnancy. Thyroid. 2002 Jan;12(1):63-8. </w:t>
      </w:r>
      <w:hyperlink r:id="rId53" w:history="1">
        <w:r w:rsidRPr="0038176C">
          <w:rPr>
            <w:rStyle w:val="Hyperlink"/>
            <w:rFonts w:cs="Times New Roman"/>
            <w:sz w:val="12"/>
          </w:rPr>
          <w:t>http://www.ncbi.nlm.nih.gov/pubmed/11838732</w:t>
        </w:r>
      </w:hyperlink>
    </w:p>
  </w:endnote>
  <w:endnote w:id="35">
    <w:p w14:paraId="41B98968" w14:textId="77777777" w:rsidR="00F74C89" w:rsidRPr="00FC265C" w:rsidRDefault="00F74C89" w:rsidP="00443C7A">
      <w:pPr>
        <w:pStyle w:val="EndnoteText"/>
        <w:tabs>
          <w:tab w:val="left" w:pos="180"/>
        </w:tabs>
        <w:ind w:left="0"/>
        <w:rPr>
          <w:sz w:val="12"/>
        </w:rPr>
      </w:pPr>
      <w:r w:rsidRPr="00FC265C">
        <w:rPr>
          <w:rStyle w:val="EndnoteReference"/>
          <w:sz w:val="12"/>
        </w:rPr>
        <w:endnoteRef/>
      </w:r>
      <w:r>
        <w:rPr>
          <w:sz w:val="12"/>
        </w:rPr>
        <w:tab/>
        <w:t xml:space="preserve">Limited alcohol intake (osteoporosis): </w:t>
      </w:r>
      <w:r w:rsidRPr="00443C7A">
        <w:rPr>
          <w:sz w:val="12"/>
        </w:rPr>
        <w:t>Kanis JA, Johansson H, Johnell O, Oden A, De Laet C, Eisman JA, Pols H,</w:t>
      </w:r>
      <w:r>
        <w:rPr>
          <w:sz w:val="12"/>
        </w:rPr>
        <w:t xml:space="preserve"> </w:t>
      </w:r>
      <w:r w:rsidRPr="00443C7A">
        <w:rPr>
          <w:sz w:val="12"/>
        </w:rPr>
        <w:t>Tenenhouse A. Alcohol intake as a risk factor for fracture. Osteoporos Int. 2005 Jul;16(7):737-42.</w:t>
      </w:r>
      <w:r>
        <w:rPr>
          <w:sz w:val="12"/>
        </w:rPr>
        <w:t xml:space="preserve"> </w:t>
      </w:r>
      <w:hyperlink r:id="rId54" w:history="1">
        <w:r w:rsidRPr="00AC7B0A">
          <w:rPr>
            <w:rStyle w:val="Hyperlink"/>
            <w:rFonts w:cs="Times New Roman"/>
            <w:sz w:val="12"/>
          </w:rPr>
          <w:t>https://www.ncbi.nlm.nih.gov/pubmed/15455194</w:t>
        </w:r>
      </w:hyperlink>
      <w:r>
        <w:rPr>
          <w:sz w:val="12"/>
        </w:rPr>
        <w:t xml:space="preserve"> </w:t>
      </w:r>
    </w:p>
  </w:endnote>
  <w:endnote w:id="36">
    <w:p w14:paraId="05D92BA2" w14:textId="77777777" w:rsidR="00F74C89" w:rsidRPr="00FC265C" w:rsidRDefault="00F74C89" w:rsidP="00171807">
      <w:pPr>
        <w:pStyle w:val="EndnoteText"/>
        <w:tabs>
          <w:tab w:val="left" w:pos="180"/>
        </w:tabs>
        <w:ind w:left="0"/>
        <w:rPr>
          <w:sz w:val="12"/>
        </w:rPr>
      </w:pPr>
      <w:r w:rsidRPr="00FC265C">
        <w:rPr>
          <w:rStyle w:val="EndnoteReference"/>
          <w:sz w:val="12"/>
        </w:rPr>
        <w:endnoteRef/>
      </w:r>
      <w:r>
        <w:rPr>
          <w:sz w:val="12"/>
        </w:rPr>
        <w:tab/>
        <w:t xml:space="preserve">Vitamin D, oral (dosing): </w:t>
      </w:r>
      <w:r w:rsidRPr="00850446">
        <w:rPr>
          <w:rFonts w:cs="Arial"/>
          <w:sz w:val="12"/>
          <w:szCs w:val="12"/>
        </w:rPr>
        <w:t>South African Medicines Formulary.  12th Edition.  Division of Clinical Pharmacology. University of Cape Town. 2016.</w:t>
      </w:r>
    </w:p>
  </w:endnote>
  <w:endnote w:id="37">
    <w:p w14:paraId="776B98F3" w14:textId="77777777" w:rsidR="00F74C89" w:rsidRDefault="00F74C89" w:rsidP="0080739A">
      <w:pPr>
        <w:pStyle w:val="EndnoteText"/>
        <w:tabs>
          <w:tab w:val="left" w:pos="180"/>
        </w:tabs>
        <w:ind w:left="0"/>
        <w:rPr>
          <w:sz w:val="12"/>
        </w:rPr>
      </w:pPr>
      <w:r w:rsidRPr="00FC265C">
        <w:rPr>
          <w:rStyle w:val="EndnoteReference"/>
          <w:sz w:val="12"/>
        </w:rPr>
        <w:endnoteRef/>
      </w:r>
      <w:r>
        <w:rPr>
          <w:sz w:val="12"/>
        </w:rPr>
        <w:tab/>
        <w:t xml:space="preserve">Calcium: </w:t>
      </w:r>
      <w:r w:rsidRPr="0080739A">
        <w:rPr>
          <w:sz w:val="12"/>
          <w:lang w:val="en-ZA"/>
        </w:rPr>
        <w:t xml:space="preserve">Bolland MJ, Leung W, Tai V, Bastin S, Gamble GD, Grey A, Reid IR. Calcium intake and risk of fracture: systematic review. BMJ. 2015 Sep 29;351:h4580. </w:t>
      </w:r>
      <w:hyperlink r:id="rId55" w:history="1">
        <w:r w:rsidRPr="0080739A">
          <w:rPr>
            <w:rStyle w:val="Hyperlink"/>
            <w:rFonts w:cs="Times New Roman"/>
            <w:sz w:val="12"/>
            <w:lang w:val="en-ZA"/>
          </w:rPr>
          <w:t>http://www.ncbi.nlm.nih.gov/pubmed/26420387</w:t>
        </w:r>
      </w:hyperlink>
    </w:p>
    <w:p w14:paraId="75D79DD5" w14:textId="77777777" w:rsidR="00F74C89" w:rsidRPr="00FC265C" w:rsidRDefault="00F74C89" w:rsidP="0080739A">
      <w:pPr>
        <w:pStyle w:val="EndnoteText"/>
        <w:tabs>
          <w:tab w:val="left" w:pos="180"/>
        </w:tabs>
        <w:ind w:left="0"/>
        <w:rPr>
          <w:sz w:val="12"/>
        </w:rPr>
      </w:pPr>
      <w:r>
        <w:rPr>
          <w:sz w:val="12"/>
        </w:rPr>
        <w:tab/>
        <w:t xml:space="preserve">Vitamin D:  </w:t>
      </w:r>
      <w:r w:rsidRPr="0080739A">
        <w:rPr>
          <w:sz w:val="12"/>
          <w:lang w:val="en-ZA"/>
        </w:rPr>
        <w:t xml:space="preserve">Bolland MJ, Leung W, Tai V, Bastin S, Gamble GD, Grey A, Reid IR. Calcium intake and risk of fracture: systematic review. BMJ. 2015 Sep 29;351:h4580. </w:t>
      </w:r>
      <w:hyperlink r:id="rId56" w:history="1">
        <w:r w:rsidRPr="0080739A">
          <w:rPr>
            <w:rStyle w:val="Hyperlink"/>
            <w:rFonts w:cs="Times New Roman"/>
            <w:sz w:val="12"/>
            <w:lang w:val="en-ZA"/>
          </w:rPr>
          <w:t>http://www.ncbi.nlm.nih.gov/pubmed/26420387</w:t>
        </w:r>
      </w:hyperlink>
    </w:p>
  </w:endnote>
  <w:endnote w:id="38">
    <w:p w14:paraId="6BCEE272" w14:textId="3249C7FE" w:rsidR="00F74C89" w:rsidRDefault="00F74C89" w:rsidP="003A1339">
      <w:pPr>
        <w:pStyle w:val="EndnoteText"/>
        <w:tabs>
          <w:tab w:val="left" w:pos="180"/>
        </w:tabs>
        <w:ind w:left="0"/>
        <w:rPr>
          <w:sz w:val="12"/>
        </w:rPr>
      </w:pPr>
      <w:r w:rsidRPr="00FC265C">
        <w:rPr>
          <w:rStyle w:val="EndnoteReference"/>
          <w:sz w:val="12"/>
        </w:rPr>
        <w:endnoteRef/>
      </w:r>
      <w:r>
        <w:rPr>
          <w:sz w:val="12"/>
        </w:rPr>
        <w:t xml:space="preserve">Bisphosphonates, oral (therapeutic class): </w:t>
      </w:r>
      <w:r w:rsidRPr="003A1339">
        <w:rPr>
          <w:sz w:val="12"/>
        </w:rPr>
        <w:t>Davis S, Martyn-St James M, Sanderson J, Stevens J, Goka E, Rawdin A, et al. A systematic review and economic evaluation of bisphosphonates for the prevention of fragility fractures. Health Technol Assess 2016;20(78).</w:t>
      </w:r>
      <w:r>
        <w:rPr>
          <w:sz w:val="12"/>
        </w:rPr>
        <w:t xml:space="preserve"> </w:t>
      </w:r>
      <w:hyperlink r:id="rId57" w:history="1">
        <w:r w:rsidRPr="003A1339">
          <w:rPr>
            <w:rStyle w:val="Hyperlink"/>
            <w:rFonts w:cs="Times New Roman"/>
            <w:sz w:val="12"/>
          </w:rPr>
          <w:t>https://www.ncbi.nlm.nih.gov/pubmed/27801641</w:t>
        </w:r>
      </w:hyperlink>
    </w:p>
    <w:p w14:paraId="30C81781" w14:textId="77777777" w:rsidR="00AA43E7" w:rsidRDefault="00F74C89" w:rsidP="00AA43E7">
      <w:pPr>
        <w:pStyle w:val="EndnoteText"/>
        <w:tabs>
          <w:tab w:val="left" w:pos="180"/>
        </w:tabs>
        <w:ind w:left="0"/>
        <w:rPr>
          <w:sz w:val="12"/>
        </w:rPr>
      </w:pPr>
      <w:r>
        <w:rPr>
          <w:sz w:val="12"/>
        </w:rPr>
        <w:tab/>
        <w:t xml:space="preserve">Bisphosphonates, oral (therapeutic class): </w:t>
      </w:r>
      <w:r w:rsidR="00AA43E7" w:rsidRPr="003C3C12">
        <w:rPr>
          <w:sz w:val="12"/>
        </w:rPr>
        <w:t xml:space="preserve">National Department of Health: Affordable Medicines, EDP-Adult Hospital level. Medicine Review: </w:t>
      </w:r>
      <w:r w:rsidRPr="003A1339">
        <w:rPr>
          <w:sz w:val="12"/>
        </w:rPr>
        <w:t xml:space="preserve">Bisphosphonates, oral </w:t>
      </w:r>
      <w:r>
        <w:rPr>
          <w:sz w:val="12"/>
        </w:rPr>
        <w:t xml:space="preserve">therapeutic class </w:t>
      </w:r>
      <w:r w:rsidRPr="003A1339">
        <w:rPr>
          <w:sz w:val="12"/>
        </w:rPr>
        <w:t>for secondary prevention of fragility fractures, 31 October 2017.</w:t>
      </w:r>
      <w:r>
        <w:rPr>
          <w:sz w:val="12"/>
        </w:rPr>
        <w:t xml:space="preserve"> </w:t>
      </w:r>
      <w:hyperlink r:id="rId58" w:history="1">
        <w:r w:rsidRPr="003A1339">
          <w:rPr>
            <w:rStyle w:val="Hyperlink"/>
            <w:rFonts w:cs="Times New Roman"/>
            <w:sz w:val="12"/>
            <w:szCs w:val="12"/>
          </w:rPr>
          <w:t>http://www.health.gov.za/</w:t>
        </w:r>
      </w:hyperlink>
      <w:r>
        <w:rPr>
          <w:sz w:val="12"/>
        </w:rPr>
        <w:t xml:space="preserve"> </w:t>
      </w:r>
    </w:p>
    <w:p w14:paraId="1E323CF7" w14:textId="06EA648C" w:rsidR="00AA43E7" w:rsidRPr="00FC265C" w:rsidRDefault="00AA43E7" w:rsidP="00AA43E7">
      <w:pPr>
        <w:pStyle w:val="EndnoteText"/>
        <w:tabs>
          <w:tab w:val="left" w:pos="180"/>
        </w:tabs>
        <w:ind w:left="0"/>
        <w:jc w:val="left"/>
        <w:rPr>
          <w:sz w:val="12"/>
        </w:rPr>
      </w:pPr>
      <w:r>
        <w:rPr>
          <w:sz w:val="12"/>
        </w:rPr>
        <w:tab/>
        <w:t xml:space="preserve">Bisphosphonates, oral (secondary prevention of steroid-induced bone loss): </w:t>
      </w:r>
      <w:r w:rsidRPr="00AA43E7">
        <w:rPr>
          <w:sz w:val="12"/>
        </w:rPr>
        <w:t>Allen CS, Yeung JH, Vandermeer B, Homik J. Bisphosphonates for steroid-induced</w:t>
      </w:r>
      <w:r>
        <w:rPr>
          <w:sz w:val="12"/>
        </w:rPr>
        <w:t xml:space="preserve"> </w:t>
      </w:r>
      <w:r w:rsidRPr="00AA43E7">
        <w:rPr>
          <w:sz w:val="12"/>
        </w:rPr>
        <w:t>osteoporosis. Cochrane Database Syst Rev. 2016 Oct 5;10:CD001347</w:t>
      </w:r>
      <w:r>
        <w:rPr>
          <w:sz w:val="12"/>
        </w:rPr>
        <w:t xml:space="preserve">. </w:t>
      </w:r>
      <w:hyperlink r:id="rId59" w:history="1">
        <w:r w:rsidRPr="0093379D">
          <w:rPr>
            <w:rStyle w:val="Hyperlink"/>
            <w:rFonts w:cs="Times New Roman"/>
            <w:sz w:val="12"/>
          </w:rPr>
          <w:t>https://www.ncbi.nlm.nih.gov/pubmed/27706804</w:t>
        </w:r>
      </w:hyperlink>
      <w:r>
        <w:rPr>
          <w:sz w:val="12"/>
        </w:rPr>
        <w:t xml:space="preserve"> </w:t>
      </w:r>
    </w:p>
  </w:endnote>
  <w:endnote w:id="39">
    <w:p w14:paraId="6B825D44" w14:textId="77777777" w:rsidR="00F74C89" w:rsidRDefault="00F74C89" w:rsidP="00937C6D">
      <w:pPr>
        <w:pStyle w:val="EndnoteText"/>
        <w:tabs>
          <w:tab w:val="left" w:pos="142"/>
        </w:tabs>
        <w:ind w:left="0"/>
        <w:jc w:val="left"/>
        <w:rPr>
          <w:rFonts w:cs="Arial"/>
          <w:sz w:val="12"/>
          <w:szCs w:val="12"/>
        </w:rPr>
      </w:pPr>
      <w:r w:rsidRPr="00557ACD">
        <w:rPr>
          <w:rStyle w:val="EndnoteReference"/>
          <w:sz w:val="12"/>
          <w:szCs w:val="12"/>
        </w:rPr>
        <w:endnoteRef/>
      </w:r>
      <w:r w:rsidRPr="00557ACD">
        <w:rPr>
          <w:sz w:val="12"/>
          <w:szCs w:val="12"/>
          <w:lang w:val="en-ZA"/>
        </w:rPr>
        <w:t>Desmopressin, oral</w:t>
      </w:r>
      <w:r>
        <w:rPr>
          <w:sz w:val="12"/>
          <w:szCs w:val="12"/>
          <w:lang w:val="en-ZA"/>
        </w:rPr>
        <w:t>/IV/SC/nasal spray</w:t>
      </w:r>
      <w:r w:rsidRPr="00557ACD">
        <w:rPr>
          <w:sz w:val="12"/>
          <w:szCs w:val="12"/>
          <w:lang w:val="en-ZA"/>
        </w:rPr>
        <w:t xml:space="preserve">: </w:t>
      </w:r>
      <w:r w:rsidRPr="00937C6D">
        <w:rPr>
          <w:sz w:val="12"/>
          <w:szCs w:val="12"/>
          <w:lang w:val="en-ZA"/>
        </w:rPr>
        <w:t>Oiso Y, Robertson GL, Nørgaard JP, and Juul KV. Treatment of Neurohypophyseal Diabetes Insipidus. J Clin Endocrinol Metab 98: 3958–3967, 2013.</w:t>
      </w:r>
      <w:r>
        <w:rPr>
          <w:sz w:val="12"/>
          <w:szCs w:val="12"/>
          <w:lang w:val="en-ZA"/>
        </w:rPr>
        <w:t xml:space="preserve"> </w:t>
      </w:r>
      <w:hyperlink r:id="rId60" w:history="1">
        <w:r w:rsidRPr="00937C6D">
          <w:rPr>
            <w:rStyle w:val="Hyperlink"/>
            <w:rFonts w:cs="Times New Roman"/>
            <w:sz w:val="12"/>
            <w:szCs w:val="12"/>
            <w:lang w:val="en-ZA"/>
          </w:rPr>
          <w:t>https://www.ncbi.nlm.nih.gov/pubmed/23884783</w:t>
        </w:r>
      </w:hyperlink>
    </w:p>
    <w:p w14:paraId="0340E348" w14:textId="77777777" w:rsidR="00F74C89" w:rsidRPr="00937C6D" w:rsidRDefault="00F74C89" w:rsidP="00937C6D">
      <w:pPr>
        <w:pStyle w:val="EndnoteText"/>
        <w:tabs>
          <w:tab w:val="left" w:pos="142"/>
        </w:tabs>
        <w:ind w:left="0"/>
        <w:jc w:val="left"/>
        <w:rPr>
          <w:b/>
          <w:sz w:val="12"/>
          <w:szCs w:val="12"/>
          <w:lang w:val="en-ZA"/>
        </w:rPr>
      </w:pPr>
      <w:r>
        <w:rPr>
          <w:rFonts w:cs="Arial"/>
          <w:sz w:val="12"/>
          <w:szCs w:val="12"/>
        </w:rPr>
        <w:tab/>
      </w:r>
      <w:r w:rsidRPr="00557ACD">
        <w:rPr>
          <w:sz w:val="12"/>
          <w:szCs w:val="12"/>
          <w:lang w:val="en-ZA"/>
        </w:rPr>
        <w:t>Desmopressin, oral</w:t>
      </w:r>
      <w:r>
        <w:rPr>
          <w:sz w:val="12"/>
          <w:szCs w:val="12"/>
          <w:lang w:val="en-ZA"/>
        </w:rPr>
        <w:t>/IV/SC/nasal spray</w:t>
      </w:r>
      <w:r w:rsidRPr="00557ACD">
        <w:rPr>
          <w:sz w:val="12"/>
          <w:szCs w:val="12"/>
          <w:lang w:val="en-ZA"/>
        </w:rPr>
        <w:t>:</w:t>
      </w:r>
      <w:r>
        <w:rPr>
          <w:sz w:val="12"/>
          <w:szCs w:val="12"/>
          <w:lang w:val="en-ZA"/>
        </w:rPr>
        <w:t xml:space="preserve"> British National Formulary, March 2017-September 2018. </w:t>
      </w:r>
      <w:hyperlink r:id="rId61" w:history="1">
        <w:r w:rsidRPr="00937C6D">
          <w:rPr>
            <w:rStyle w:val="Hyperlink"/>
            <w:rFonts w:cs="Times New Roman"/>
            <w:sz w:val="12"/>
            <w:szCs w:val="12"/>
            <w:lang w:val="en-ZA"/>
          </w:rPr>
          <w:t>https://www.bnf.org/</w:t>
        </w:r>
      </w:hyperlink>
    </w:p>
  </w:endnote>
  <w:endnote w:id="40">
    <w:p w14:paraId="6B5BF215" w14:textId="77777777" w:rsidR="00F74C89" w:rsidRPr="00850446" w:rsidRDefault="00F74C89" w:rsidP="00A272A6">
      <w:pPr>
        <w:pStyle w:val="EndnoteText"/>
        <w:ind w:left="0"/>
        <w:jc w:val="left"/>
        <w:rPr>
          <w:sz w:val="12"/>
          <w:szCs w:val="12"/>
        </w:rPr>
      </w:pPr>
      <w:r w:rsidRPr="00A272A6">
        <w:rPr>
          <w:rStyle w:val="EndnoteReference"/>
          <w:sz w:val="12"/>
          <w:szCs w:val="12"/>
        </w:rPr>
        <w:endnoteRef/>
      </w:r>
      <w:r w:rsidRPr="00A272A6">
        <w:rPr>
          <w:sz w:val="12"/>
          <w:szCs w:val="12"/>
        </w:rPr>
        <w:t>Doxazosin:</w:t>
      </w:r>
      <w:r>
        <w:rPr>
          <w:sz w:val="12"/>
          <w:szCs w:val="12"/>
        </w:rPr>
        <w:t xml:space="preserve"> </w:t>
      </w:r>
      <w:r w:rsidRPr="00A272A6">
        <w:rPr>
          <w:sz w:val="12"/>
          <w:szCs w:val="12"/>
        </w:rPr>
        <w:t xml:space="preserve">van der Zee PA, de Boer A. Pheochromocytoma: a review on preoperative treatment with phenoxybenzamine or doxazosin. Neth J Med. 2014 May;72(4):190-201. </w:t>
      </w:r>
      <w:hyperlink r:id="rId62" w:history="1">
        <w:r w:rsidRPr="00850446">
          <w:rPr>
            <w:rStyle w:val="Hyperlink"/>
            <w:rFonts w:cs="Times New Roman"/>
            <w:sz w:val="12"/>
            <w:szCs w:val="12"/>
          </w:rPr>
          <w:t>http://www.ncbi.nlm.nih.gov/pubmed/24829175</w:t>
        </w:r>
      </w:hyperlink>
    </w:p>
  </w:endnote>
  <w:endnote w:id="41">
    <w:p w14:paraId="416300EC" w14:textId="77777777" w:rsidR="00F74C89" w:rsidRPr="00850446" w:rsidRDefault="00F74C89" w:rsidP="00A272A6">
      <w:pPr>
        <w:pStyle w:val="EndnoteText"/>
        <w:ind w:left="0"/>
        <w:jc w:val="left"/>
        <w:rPr>
          <w:sz w:val="12"/>
          <w:szCs w:val="12"/>
        </w:rPr>
      </w:pPr>
      <w:r w:rsidRPr="00850446">
        <w:rPr>
          <w:rStyle w:val="EndnoteReference"/>
          <w:sz w:val="12"/>
          <w:szCs w:val="12"/>
        </w:rPr>
        <w:endnoteRef/>
      </w:r>
      <w:r w:rsidRPr="00850446">
        <w:rPr>
          <w:rFonts w:cs="Arial"/>
          <w:sz w:val="12"/>
          <w:szCs w:val="12"/>
        </w:rPr>
        <w:t>β</w:t>
      </w:r>
      <w:r w:rsidRPr="00850446">
        <w:rPr>
          <w:sz w:val="12"/>
          <w:szCs w:val="12"/>
        </w:rPr>
        <w:t xml:space="preserve">-blockers (after adequate </w:t>
      </w:r>
      <w:r w:rsidRPr="00850446">
        <w:rPr>
          <w:rFonts w:cs="Arial"/>
          <w:sz w:val="12"/>
          <w:szCs w:val="12"/>
        </w:rPr>
        <w:t>α</w:t>
      </w:r>
      <w:r w:rsidRPr="00850446">
        <w:rPr>
          <w:sz w:val="12"/>
          <w:szCs w:val="12"/>
        </w:rPr>
        <w:t>-blockade): Lenders JW, Duh QY, Eisenhofer G, Gimenez-Roqueplo AP, Grebe SK, Murad MH, Naruse M, Pacak K, Young WF Jr, Endocrine Society. Pheochromocytoma and paraganglioma: an endocrine society clinical practice guideline. J Clin Endocrinol Metab. 2014 Jun;99(6):1915-42.</w:t>
      </w:r>
      <w:hyperlink r:id="rId63" w:history="1">
        <w:r w:rsidRPr="00850446">
          <w:rPr>
            <w:rStyle w:val="Hyperlink"/>
            <w:rFonts w:cs="Times New Roman"/>
            <w:sz w:val="12"/>
            <w:szCs w:val="12"/>
          </w:rPr>
          <w:t>https://www.ncbi.nlm.nih.gov/pubmed/24893135</w:t>
        </w:r>
      </w:hyperlink>
    </w:p>
  </w:endnote>
  <w:endnote w:id="42">
    <w:p w14:paraId="0E2740DE" w14:textId="77777777" w:rsidR="00F74C89" w:rsidRPr="00850446" w:rsidRDefault="00F74C89" w:rsidP="00850446">
      <w:pPr>
        <w:pStyle w:val="EndnoteText"/>
        <w:ind w:left="0"/>
        <w:rPr>
          <w:sz w:val="12"/>
          <w:szCs w:val="12"/>
          <w:lang w:val="en-ZA"/>
        </w:rPr>
      </w:pPr>
      <w:r w:rsidRPr="00850446">
        <w:rPr>
          <w:rStyle w:val="EndnoteReference"/>
          <w:sz w:val="12"/>
          <w:szCs w:val="12"/>
        </w:rPr>
        <w:endnoteRef/>
      </w:r>
      <w:r w:rsidRPr="00850446">
        <w:rPr>
          <w:sz w:val="12"/>
          <w:szCs w:val="12"/>
        </w:rPr>
        <w:t xml:space="preserve"> </w:t>
      </w:r>
      <w:r w:rsidRPr="00850446">
        <w:rPr>
          <w:sz w:val="12"/>
          <w:szCs w:val="12"/>
          <w:lang w:val="en-ZA"/>
        </w:rPr>
        <w:t xml:space="preserve">Atenolol, oral: </w:t>
      </w:r>
      <w:r w:rsidRPr="00850446">
        <w:rPr>
          <w:rFonts w:cs="Arial"/>
          <w:sz w:val="12"/>
          <w:szCs w:val="12"/>
        </w:rPr>
        <w:t>South African Medicines Formulary.  12th Edition.  Division of Clinical Pharmacology. University of Cape Town. 2016.</w:t>
      </w:r>
    </w:p>
  </w:endnote>
  <w:endnote w:id="43">
    <w:p w14:paraId="56FBE475" w14:textId="77777777" w:rsidR="00C533E8" w:rsidRPr="00A23C9F" w:rsidRDefault="00C533E8" w:rsidP="00C533E8">
      <w:pPr>
        <w:pStyle w:val="EndnoteText"/>
        <w:ind w:left="0"/>
        <w:rPr>
          <w:sz w:val="12"/>
          <w:szCs w:val="12"/>
          <w:lang w:val="en-ZA"/>
        </w:rPr>
      </w:pPr>
      <w:r w:rsidRPr="00A23C9F">
        <w:rPr>
          <w:rStyle w:val="EndnoteReference"/>
          <w:sz w:val="12"/>
          <w:szCs w:val="12"/>
        </w:rPr>
        <w:endnoteRef/>
      </w:r>
      <w:r w:rsidRPr="00A23C9F">
        <w:rPr>
          <w:sz w:val="12"/>
          <w:szCs w:val="12"/>
        </w:rPr>
        <w:t xml:space="preserve"> </w:t>
      </w:r>
      <w:r w:rsidRPr="00A23C9F">
        <w:rPr>
          <w:sz w:val="12"/>
          <w:szCs w:val="12"/>
          <w:lang w:val="en-ZA"/>
        </w:rPr>
        <w:t xml:space="preserve">Corticosteroids, oral (intermediate-acting therapeutic class): </w:t>
      </w:r>
      <w:r w:rsidRPr="00A23C9F">
        <w:rPr>
          <w:rFonts w:cs="Arial"/>
          <w:sz w:val="12"/>
          <w:szCs w:val="12"/>
        </w:rPr>
        <w:t>South African Medicines Formulary.  12th Edition.  Division of Clinical Pharmacology.University of Cape Town. 2016.</w:t>
      </w:r>
    </w:p>
  </w:endnote>
  <w:endnote w:id="44">
    <w:p w14:paraId="12F0440A" w14:textId="77777777" w:rsidR="00F74C89" w:rsidRPr="00850446" w:rsidRDefault="00F74C89" w:rsidP="00272D93">
      <w:pPr>
        <w:pStyle w:val="EndnoteText"/>
        <w:ind w:left="180" w:hanging="180"/>
        <w:rPr>
          <w:sz w:val="12"/>
          <w:szCs w:val="12"/>
        </w:rPr>
      </w:pPr>
      <w:r w:rsidRPr="00850446">
        <w:rPr>
          <w:rStyle w:val="EndnoteReference"/>
          <w:sz w:val="12"/>
          <w:szCs w:val="12"/>
        </w:rPr>
        <w:endnoteRef/>
      </w:r>
      <w:r>
        <w:rPr>
          <w:sz w:val="12"/>
          <w:szCs w:val="12"/>
        </w:rPr>
        <w:t xml:space="preserve"> </w:t>
      </w:r>
      <w:r w:rsidRPr="00850446">
        <w:rPr>
          <w:sz w:val="12"/>
          <w:szCs w:val="12"/>
        </w:rPr>
        <w:t xml:space="preserve">Carbimazole: </w:t>
      </w:r>
      <w:r w:rsidRPr="00850446">
        <w:rPr>
          <w:rFonts w:cs="Arial"/>
          <w:sz w:val="12"/>
          <w:szCs w:val="12"/>
        </w:rPr>
        <w:t>South African Medicines Formulary.  12th Edition.  Division of Clinical Pharmacology. University of Cape Town. 2016.</w:t>
      </w:r>
    </w:p>
    <w:p w14:paraId="266F00BC" w14:textId="77777777" w:rsidR="00F74C89" w:rsidRPr="00164A35" w:rsidRDefault="00F74C89" w:rsidP="00272D93">
      <w:pPr>
        <w:pStyle w:val="EndnoteText"/>
        <w:ind w:left="0"/>
        <w:jc w:val="left"/>
        <w:rPr>
          <w:rFonts w:cs="Arial"/>
        </w:rPr>
      </w:pPr>
      <w:r>
        <w:rPr>
          <w:rFonts w:cs="Arial"/>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Bold">
    <w:altName w:val="Yu Gothic UI"/>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7634" w14:textId="77777777" w:rsidR="00F74C89" w:rsidRDefault="00F74C89" w:rsidP="00C605DA">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31</w:t>
    </w:r>
    <w:r>
      <w:rPr>
        <w:rStyle w:val="PageNumber"/>
      </w:rPr>
      <w:fldChar w:fldCharType="end"/>
    </w:r>
  </w:p>
  <w:p w14:paraId="114E8249" w14:textId="77777777" w:rsidR="00F74C89" w:rsidRDefault="00F74C89" w:rsidP="00C605DA">
    <w:pPr>
      <w:pStyle w:val="Footer"/>
      <w:rPr>
        <w:rStyle w:val="PageNumber"/>
      </w:rPr>
    </w:pPr>
  </w:p>
  <w:p w14:paraId="0BE8D263" w14:textId="77777777" w:rsidR="00F74C89" w:rsidRDefault="00F74C89" w:rsidP="00C605DA">
    <w:pPr>
      <w:pStyle w:val="Footer"/>
      <w:rPr>
        <w:rStyle w:val="PageNumber"/>
      </w:rPr>
    </w:pPr>
  </w:p>
  <w:p w14:paraId="7DDBC55A" w14:textId="77777777" w:rsidR="00F74C89" w:rsidRDefault="00F74C89" w:rsidP="00C605DA">
    <w:pPr>
      <w:pStyle w:val="Footer"/>
      <w:rPr>
        <w:rStyle w:val="PageNumber"/>
      </w:rPr>
    </w:pPr>
  </w:p>
  <w:p w14:paraId="732F0008" w14:textId="77777777" w:rsidR="00F74C89" w:rsidRDefault="00F74C89" w:rsidP="00C605DA">
    <w:pPr>
      <w:pStyle w:val="Footer"/>
      <w:rPr>
        <w:rStyle w:val="PageNumber"/>
      </w:rPr>
    </w:pPr>
  </w:p>
  <w:p w14:paraId="6D213A4D" w14:textId="77777777" w:rsidR="00F74C89" w:rsidRDefault="00F74C89" w:rsidP="00C605DA">
    <w:pPr>
      <w:pStyle w:val="Footer"/>
    </w:pPr>
  </w:p>
  <w:p w14:paraId="2EC67E81" w14:textId="77777777" w:rsidR="00F74C89" w:rsidRDefault="00F74C89" w:rsidP="00C605DA"/>
  <w:p w14:paraId="0FEFEF50" w14:textId="77777777" w:rsidR="00F74C89" w:rsidRDefault="00F74C89" w:rsidP="00C605DA"/>
  <w:p w14:paraId="02BC7861" w14:textId="77777777" w:rsidR="00F74C89" w:rsidRDefault="00F74C89" w:rsidP="00C605DA"/>
  <w:p w14:paraId="1362CA14" w14:textId="77777777" w:rsidR="00F74C89" w:rsidRDefault="00F74C89" w:rsidP="00C605DA"/>
  <w:p w14:paraId="4FEF1485" w14:textId="77777777" w:rsidR="00F74C89" w:rsidRDefault="00F74C89" w:rsidP="00C605DA"/>
  <w:p w14:paraId="21F30617" w14:textId="77777777" w:rsidR="00F74C89" w:rsidRDefault="00F74C89" w:rsidP="00C605DA"/>
  <w:p w14:paraId="033D56AF" w14:textId="77777777" w:rsidR="00F74C89" w:rsidRDefault="00F74C89" w:rsidP="00C605DA"/>
  <w:p w14:paraId="63331F22" w14:textId="77777777" w:rsidR="00F74C89" w:rsidRDefault="00F74C89" w:rsidP="00C605DA"/>
  <w:p w14:paraId="3B3E57F6" w14:textId="77777777" w:rsidR="00F74C89" w:rsidRDefault="00F74C89" w:rsidP="00C605DA"/>
  <w:p w14:paraId="61C14577" w14:textId="77777777" w:rsidR="00F74C89" w:rsidRDefault="00F74C89" w:rsidP="00C605DA"/>
  <w:p w14:paraId="4E92E2E9" w14:textId="77777777" w:rsidR="00F74C89" w:rsidRDefault="00F74C89" w:rsidP="00C605DA"/>
  <w:p w14:paraId="7417E812" w14:textId="77777777" w:rsidR="00F74C89" w:rsidRDefault="00F74C89" w:rsidP="00C605DA"/>
  <w:p w14:paraId="542EFC2A" w14:textId="77777777" w:rsidR="00F74C89" w:rsidRDefault="00F74C89" w:rsidP="00C605DA"/>
  <w:p w14:paraId="298CBA64" w14:textId="77777777" w:rsidR="00F74C89" w:rsidRDefault="00F74C89" w:rsidP="00C605DA"/>
  <w:p w14:paraId="16D74DB8" w14:textId="77777777" w:rsidR="00F74C89" w:rsidRDefault="00F74C89" w:rsidP="00C605DA"/>
  <w:p w14:paraId="5CCD58F2" w14:textId="77777777" w:rsidR="00F74C89" w:rsidRDefault="00F74C89" w:rsidP="00C605DA"/>
  <w:p w14:paraId="4CDA123B" w14:textId="77777777" w:rsidR="00F74C89" w:rsidRDefault="00F74C89" w:rsidP="00C605DA"/>
  <w:p w14:paraId="64FA44DD" w14:textId="77777777" w:rsidR="00F74C89" w:rsidRDefault="00F74C89" w:rsidP="00C605DA"/>
  <w:p w14:paraId="7030AD8C" w14:textId="77777777" w:rsidR="00F74C89" w:rsidRDefault="00F74C89" w:rsidP="00C605DA"/>
  <w:p w14:paraId="167EB6D8" w14:textId="77777777" w:rsidR="00F74C89" w:rsidRDefault="00F74C89" w:rsidP="00C605DA"/>
  <w:p w14:paraId="16392E00" w14:textId="77777777" w:rsidR="00F74C89" w:rsidRDefault="00F74C89" w:rsidP="00C605DA"/>
  <w:p w14:paraId="2AA66BF3" w14:textId="77777777" w:rsidR="00F74C89" w:rsidRDefault="00F74C89" w:rsidP="00C605DA"/>
  <w:p w14:paraId="4D881AB9" w14:textId="77777777" w:rsidR="00F74C89" w:rsidRDefault="00F74C89" w:rsidP="00C605DA"/>
  <w:p w14:paraId="7976160D" w14:textId="77777777" w:rsidR="00F74C89" w:rsidRDefault="00F74C89" w:rsidP="00C605DA"/>
  <w:p w14:paraId="4238F1AD" w14:textId="77777777" w:rsidR="00F74C89" w:rsidRDefault="00F74C89" w:rsidP="00C605DA"/>
  <w:p w14:paraId="1D9C448E" w14:textId="77777777" w:rsidR="00F74C89" w:rsidRDefault="00F74C89" w:rsidP="00C605DA"/>
  <w:p w14:paraId="0EFEB2BD" w14:textId="77777777" w:rsidR="00F74C89" w:rsidRDefault="00F74C89" w:rsidP="00C605DA"/>
  <w:p w14:paraId="5C1BA425" w14:textId="77777777" w:rsidR="00F74C89" w:rsidRDefault="00F74C89" w:rsidP="00C605DA"/>
  <w:p w14:paraId="2B751515" w14:textId="77777777" w:rsidR="00F74C89" w:rsidRDefault="00F74C89" w:rsidP="00C605DA"/>
  <w:p w14:paraId="45B680D9" w14:textId="77777777" w:rsidR="00F74C89" w:rsidRDefault="00F74C89" w:rsidP="00C605DA"/>
  <w:p w14:paraId="0579E3D8" w14:textId="77777777" w:rsidR="00F74C89" w:rsidRDefault="00F74C89" w:rsidP="00C605DA"/>
  <w:p w14:paraId="3026953C" w14:textId="77777777" w:rsidR="00F74C89" w:rsidRDefault="00F74C89" w:rsidP="00C605DA"/>
  <w:p w14:paraId="5337E860" w14:textId="77777777" w:rsidR="00F74C89" w:rsidRDefault="00F74C89" w:rsidP="00C605DA"/>
  <w:p w14:paraId="22DA92F4" w14:textId="77777777" w:rsidR="00F74C89" w:rsidRDefault="00F74C89" w:rsidP="00C605DA"/>
  <w:p w14:paraId="36445995" w14:textId="77777777" w:rsidR="00F74C89" w:rsidRDefault="00F74C89" w:rsidP="00C605DA"/>
  <w:p w14:paraId="772D72C8" w14:textId="77777777" w:rsidR="00F74C89" w:rsidRDefault="00F74C89" w:rsidP="00C605DA"/>
  <w:p w14:paraId="259951B4" w14:textId="77777777" w:rsidR="00F74C89" w:rsidRDefault="00F74C89" w:rsidP="00C605DA"/>
  <w:p w14:paraId="05E0215D" w14:textId="77777777" w:rsidR="00F74C89" w:rsidRDefault="00F74C89" w:rsidP="00C605DA"/>
  <w:p w14:paraId="026C9E64" w14:textId="77777777" w:rsidR="00F74C89" w:rsidRDefault="00F74C89" w:rsidP="00C605DA"/>
  <w:p w14:paraId="1C051F3F" w14:textId="77777777" w:rsidR="00F74C89" w:rsidRDefault="00F74C89" w:rsidP="00C605DA"/>
  <w:p w14:paraId="0B8C8138" w14:textId="77777777" w:rsidR="00F74C89" w:rsidRDefault="00F74C89" w:rsidP="00C605DA"/>
  <w:p w14:paraId="2845F6D8" w14:textId="77777777" w:rsidR="00F74C89" w:rsidRDefault="00F74C89" w:rsidP="00C605DA"/>
  <w:p w14:paraId="1F1B8A79" w14:textId="77777777" w:rsidR="00F74C89" w:rsidRDefault="00F74C89" w:rsidP="00C605DA"/>
  <w:p w14:paraId="7E9BFACD" w14:textId="77777777" w:rsidR="00F74C89" w:rsidRDefault="00F74C89" w:rsidP="00C605DA"/>
  <w:p w14:paraId="40F1892D" w14:textId="77777777" w:rsidR="00F74C89" w:rsidRDefault="00F74C89" w:rsidP="00C605DA"/>
  <w:p w14:paraId="0D28632F" w14:textId="77777777" w:rsidR="00F74C89" w:rsidRDefault="00F74C89" w:rsidP="00C605DA"/>
  <w:p w14:paraId="6171C1C3" w14:textId="77777777" w:rsidR="00F74C89" w:rsidRDefault="00F74C89" w:rsidP="00C605DA"/>
  <w:p w14:paraId="64233ED0" w14:textId="77777777" w:rsidR="00F74C89" w:rsidRDefault="00F74C89" w:rsidP="00C605DA"/>
  <w:p w14:paraId="372D9DC3" w14:textId="77777777" w:rsidR="00F74C89" w:rsidRDefault="00F74C89" w:rsidP="00C605DA"/>
  <w:p w14:paraId="6C0A0067" w14:textId="77777777" w:rsidR="00F74C89" w:rsidRDefault="00F74C89" w:rsidP="00C605DA"/>
  <w:p w14:paraId="56BE62F5" w14:textId="77777777" w:rsidR="00F74C89" w:rsidRDefault="00F74C89" w:rsidP="00C605DA"/>
  <w:p w14:paraId="60E72E70" w14:textId="77777777" w:rsidR="00F74C89" w:rsidRDefault="00F74C89" w:rsidP="00C605DA"/>
  <w:p w14:paraId="1FED6BEF" w14:textId="77777777" w:rsidR="00F74C89" w:rsidRDefault="00F74C89" w:rsidP="00C605DA"/>
  <w:p w14:paraId="72528337" w14:textId="77777777" w:rsidR="00F74C89" w:rsidRDefault="00F74C89" w:rsidP="00C605DA"/>
  <w:p w14:paraId="6280DB8D" w14:textId="77777777" w:rsidR="00F74C89" w:rsidRDefault="00F74C89" w:rsidP="00C605DA"/>
  <w:p w14:paraId="047392C2" w14:textId="77777777" w:rsidR="00F74C89" w:rsidRDefault="00F74C89" w:rsidP="00C605DA"/>
  <w:p w14:paraId="60D1CA7B" w14:textId="77777777" w:rsidR="00F74C89" w:rsidRDefault="00F74C89" w:rsidP="00C605DA"/>
  <w:p w14:paraId="6B51BEC0" w14:textId="77777777" w:rsidR="00F74C89" w:rsidRDefault="00F74C89" w:rsidP="00C605DA"/>
  <w:p w14:paraId="3A0FC56F" w14:textId="77777777" w:rsidR="00F74C89" w:rsidRDefault="00F74C89" w:rsidP="00C605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4742"/>
      <w:docPartObj>
        <w:docPartGallery w:val="Page Numbers (Bottom of Page)"/>
        <w:docPartUnique/>
      </w:docPartObj>
    </w:sdtPr>
    <w:sdtEndPr/>
    <w:sdtContent>
      <w:p w14:paraId="0AECD6F8" w14:textId="40D55583" w:rsidR="00F74C89" w:rsidRDefault="00F74C89" w:rsidP="00443C7A">
        <w:pPr>
          <w:pStyle w:val="Footer"/>
          <w:pBdr>
            <w:top w:val="single" w:sz="4" w:space="1" w:color="auto"/>
          </w:pBdr>
          <w:spacing w:before="120"/>
          <w:jc w:val="both"/>
        </w:pPr>
        <w:r>
          <w:tab/>
          <w:t xml:space="preserve">                   8.</w:t>
        </w:r>
        <w:r>
          <w:fldChar w:fldCharType="begin"/>
        </w:r>
        <w:r w:rsidRPr="005E1E7E">
          <w:instrText xml:space="preserve"> PAGE   \* MERGEFORMAT </w:instrText>
        </w:r>
        <w:r>
          <w:fldChar w:fldCharType="separate"/>
        </w:r>
        <w:r w:rsidR="0030545E">
          <w:t>25</w:t>
        </w:r>
        <w:r>
          <w:fldChar w:fldCharType="end"/>
        </w:r>
      </w:p>
    </w:sdtContent>
  </w:sdt>
  <w:p w14:paraId="3AFF95BA" w14:textId="77777777" w:rsidR="00F74C89" w:rsidRDefault="00F74C89" w:rsidP="00C605D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3909" w14:textId="76FED8F6" w:rsidR="00F74C89" w:rsidRDefault="00F74C89" w:rsidP="00AD42AC">
    <w:pPr>
      <w:pStyle w:val="Footer"/>
      <w:pBdr>
        <w:top w:val="single" w:sz="4" w:space="1" w:color="auto"/>
      </w:pBdr>
      <w:jc w:val="center"/>
    </w:pPr>
    <w:r>
      <w:tab/>
    </w:r>
    <w:sdt>
      <w:sdtPr>
        <w:id w:val="3734745"/>
        <w:docPartObj>
          <w:docPartGallery w:val="Page Numbers (Bottom of Page)"/>
          <w:docPartUnique/>
        </w:docPartObj>
      </w:sdtPr>
      <w:sdtEndPr/>
      <w:sdtContent>
        <w:r>
          <w:t xml:space="preserve">                     8.</w:t>
        </w:r>
        <w:r>
          <w:fldChar w:fldCharType="begin"/>
        </w:r>
        <w:r>
          <w:instrText xml:space="preserve"> PAGE   \* MERGEFORMAT </w:instrText>
        </w:r>
        <w:r>
          <w:fldChar w:fldCharType="separate"/>
        </w:r>
        <w:r w:rsidR="00F538D2">
          <w:t>1</w:t>
        </w:r>
        <w:r>
          <w:fldChar w:fldCharType="end"/>
        </w:r>
      </w:sdtContent>
    </w:sdt>
  </w:p>
  <w:p w14:paraId="3ECAE5B6" w14:textId="77777777" w:rsidR="00F74C89" w:rsidRDefault="00F74C89" w:rsidP="00C605D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0FF31" w14:textId="77777777" w:rsidR="009C4C36" w:rsidRDefault="009C4C36" w:rsidP="00C605DA">
      <w:r>
        <w:separator/>
      </w:r>
    </w:p>
    <w:p w14:paraId="4F7ABE89" w14:textId="77777777" w:rsidR="009C4C36" w:rsidRDefault="009C4C36" w:rsidP="00C605DA"/>
    <w:p w14:paraId="32EC6F67" w14:textId="77777777" w:rsidR="009C4C36" w:rsidRDefault="009C4C36" w:rsidP="00C605DA"/>
    <w:p w14:paraId="337A8FE5" w14:textId="77777777" w:rsidR="009C4C36" w:rsidRDefault="009C4C36" w:rsidP="00C605DA"/>
    <w:p w14:paraId="7FEF16FC" w14:textId="77777777" w:rsidR="009C4C36" w:rsidRDefault="009C4C36" w:rsidP="00C605DA"/>
    <w:p w14:paraId="1251B6BD" w14:textId="77777777" w:rsidR="009C4C36" w:rsidRDefault="009C4C36" w:rsidP="00C605DA"/>
    <w:p w14:paraId="63DC276E" w14:textId="77777777" w:rsidR="009C4C36" w:rsidRDefault="009C4C36" w:rsidP="00C605DA"/>
    <w:p w14:paraId="0FE19EB3" w14:textId="77777777" w:rsidR="009C4C36" w:rsidRDefault="009C4C36" w:rsidP="00C605DA"/>
    <w:p w14:paraId="5D91F68B" w14:textId="77777777" w:rsidR="009C4C36" w:rsidRDefault="009C4C36" w:rsidP="00C605DA"/>
    <w:p w14:paraId="43AC1135" w14:textId="77777777" w:rsidR="009C4C36" w:rsidRDefault="009C4C36" w:rsidP="00C605DA"/>
    <w:p w14:paraId="3B1CE882" w14:textId="77777777" w:rsidR="009C4C36" w:rsidRDefault="009C4C36" w:rsidP="00C605DA"/>
    <w:p w14:paraId="5F109D4A" w14:textId="77777777" w:rsidR="009C4C36" w:rsidRDefault="009C4C36" w:rsidP="00C605DA"/>
    <w:p w14:paraId="1B6F0676" w14:textId="77777777" w:rsidR="009C4C36" w:rsidRDefault="009C4C36" w:rsidP="00C605DA"/>
    <w:p w14:paraId="0D57A9E6" w14:textId="77777777" w:rsidR="009C4C36" w:rsidRDefault="009C4C36" w:rsidP="00C605DA"/>
    <w:p w14:paraId="771D858A" w14:textId="77777777" w:rsidR="009C4C36" w:rsidRDefault="009C4C36" w:rsidP="00C605DA"/>
    <w:p w14:paraId="4298E6AF" w14:textId="77777777" w:rsidR="009C4C36" w:rsidRDefault="009C4C36" w:rsidP="00C605DA"/>
    <w:p w14:paraId="7ED6A29C" w14:textId="77777777" w:rsidR="009C4C36" w:rsidRDefault="009C4C36" w:rsidP="00C605DA"/>
    <w:p w14:paraId="0B292F1D" w14:textId="77777777" w:rsidR="009C4C36" w:rsidRDefault="009C4C36" w:rsidP="00C605DA"/>
    <w:p w14:paraId="46012980" w14:textId="77777777" w:rsidR="009C4C36" w:rsidRDefault="009C4C36" w:rsidP="00C605DA"/>
    <w:p w14:paraId="35A1F5A8" w14:textId="77777777" w:rsidR="009C4C36" w:rsidRDefault="009C4C36" w:rsidP="00C605DA"/>
    <w:p w14:paraId="215A05ED" w14:textId="77777777" w:rsidR="009C4C36" w:rsidRDefault="009C4C36" w:rsidP="00C605DA"/>
    <w:p w14:paraId="15A20B0D" w14:textId="77777777" w:rsidR="009C4C36" w:rsidRDefault="009C4C36" w:rsidP="00C605DA"/>
    <w:p w14:paraId="048E9CCF" w14:textId="77777777" w:rsidR="009C4C36" w:rsidRDefault="009C4C36" w:rsidP="00C605DA"/>
    <w:p w14:paraId="6E2275AE" w14:textId="77777777" w:rsidR="009C4C36" w:rsidRDefault="009C4C36" w:rsidP="00C605DA"/>
    <w:p w14:paraId="3B09952A" w14:textId="77777777" w:rsidR="009C4C36" w:rsidRDefault="009C4C36" w:rsidP="00C605DA"/>
    <w:p w14:paraId="79AC36F5" w14:textId="77777777" w:rsidR="009C4C36" w:rsidRDefault="009C4C36" w:rsidP="00C605DA"/>
    <w:p w14:paraId="5EC558E0" w14:textId="77777777" w:rsidR="009C4C36" w:rsidRDefault="009C4C36" w:rsidP="00C605DA"/>
    <w:p w14:paraId="53EF7D96" w14:textId="77777777" w:rsidR="009C4C36" w:rsidRDefault="009C4C36" w:rsidP="00C605DA"/>
    <w:p w14:paraId="25B1D922" w14:textId="77777777" w:rsidR="009C4C36" w:rsidRDefault="009C4C36" w:rsidP="00C605DA"/>
    <w:p w14:paraId="32E3A792" w14:textId="77777777" w:rsidR="009C4C36" w:rsidRDefault="009C4C36" w:rsidP="00C605DA"/>
    <w:p w14:paraId="62A06B0C" w14:textId="77777777" w:rsidR="009C4C36" w:rsidRDefault="009C4C36" w:rsidP="00C605DA"/>
    <w:p w14:paraId="3F37917D" w14:textId="77777777" w:rsidR="009C4C36" w:rsidRDefault="009C4C36" w:rsidP="00C605DA"/>
    <w:p w14:paraId="51D531FD" w14:textId="77777777" w:rsidR="009C4C36" w:rsidRDefault="009C4C36" w:rsidP="00C605DA"/>
    <w:p w14:paraId="7AEB9EFB" w14:textId="77777777" w:rsidR="009C4C36" w:rsidRDefault="009C4C36" w:rsidP="00C605DA"/>
    <w:p w14:paraId="3C3F0EDA" w14:textId="77777777" w:rsidR="009C4C36" w:rsidRDefault="009C4C36"/>
    <w:p w14:paraId="5A298AD9" w14:textId="77777777" w:rsidR="009C4C36" w:rsidRDefault="009C4C36" w:rsidP="00C605DA"/>
    <w:p w14:paraId="06C095E1" w14:textId="77777777" w:rsidR="009C4C36" w:rsidRDefault="009C4C36"/>
  </w:footnote>
  <w:footnote w:type="continuationSeparator" w:id="0">
    <w:p w14:paraId="06239EFB" w14:textId="77777777" w:rsidR="009C4C36" w:rsidRDefault="009C4C36" w:rsidP="00C605DA">
      <w:r>
        <w:continuationSeparator/>
      </w:r>
    </w:p>
    <w:p w14:paraId="1F96C858" w14:textId="77777777" w:rsidR="009C4C36" w:rsidRDefault="009C4C36" w:rsidP="00C605DA"/>
    <w:p w14:paraId="7690A48B" w14:textId="77777777" w:rsidR="009C4C36" w:rsidRDefault="009C4C36" w:rsidP="00C605DA"/>
    <w:p w14:paraId="26055AC3" w14:textId="77777777" w:rsidR="009C4C36" w:rsidRDefault="009C4C36" w:rsidP="00C605DA"/>
    <w:p w14:paraId="3677C4D4" w14:textId="77777777" w:rsidR="009C4C36" w:rsidRDefault="009C4C36" w:rsidP="00C605DA"/>
    <w:p w14:paraId="2BC6D8A0" w14:textId="77777777" w:rsidR="009C4C36" w:rsidRDefault="009C4C36" w:rsidP="00C605DA"/>
    <w:p w14:paraId="06714347" w14:textId="77777777" w:rsidR="009C4C36" w:rsidRDefault="009C4C36" w:rsidP="00C605DA"/>
    <w:p w14:paraId="422EA368" w14:textId="77777777" w:rsidR="009C4C36" w:rsidRDefault="009C4C36" w:rsidP="00C605DA"/>
    <w:p w14:paraId="123F917E" w14:textId="77777777" w:rsidR="009C4C36" w:rsidRDefault="009C4C36" w:rsidP="00C605DA"/>
    <w:p w14:paraId="2BBD57E8" w14:textId="77777777" w:rsidR="009C4C36" w:rsidRDefault="009C4C36" w:rsidP="00C605DA"/>
    <w:p w14:paraId="19E21D8D" w14:textId="77777777" w:rsidR="009C4C36" w:rsidRDefault="009C4C36" w:rsidP="00C605DA"/>
    <w:p w14:paraId="12945B87" w14:textId="77777777" w:rsidR="009C4C36" w:rsidRDefault="009C4C36" w:rsidP="00C605DA"/>
    <w:p w14:paraId="60881173" w14:textId="77777777" w:rsidR="009C4C36" w:rsidRDefault="009C4C36" w:rsidP="00C605DA"/>
    <w:p w14:paraId="5F124696" w14:textId="77777777" w:rsidR="009C4C36" w:rsidRDefault="009C4C36" w:rsidP="00C605DA"/>
    <w:p w14:paraId="5B2AD237" w14:textId="77777777" w:rsidR="009C4C36" w:rsidRDefault="009C4C36" w:rsidP="00C605DA"/>
    <w:p w14:paraId="14CF6D23" w14:textId="77777777" w:rsidR="009C4C36" w:rsidRDefault="009C4C36" w:rsidP="00C605DA"/>
    <w:p w14:paraId="749A936E" w14:textId="77777777" w:rsidR="009C4C36" w:rsidRDefault="009C4C36" w:rsidP="00C605DA"/>
    <w:p w14:paraId="6916DA3F" w14:textId="77777777" w:rsidR="009C4C36" w:rsidRDefault="009C4C36" w:rsidP="00C605DA"/>
    <w:p w14:paraId="2CBF8352" w14:textId="77777777" w:rsidR="009C4C36" w:rsidRDefault="009C4C36" w:rsidP="00C605DA"/>
    <w:p w14:paraId="4A1DB1DC" w14:textId="77777777" w:rsidR="009C4C36" w:rsidRDefault="009C4C36" w:rsidP="00C605DA"/>
    <w:p w14:paraId="703D334A" w14:textId="77777777" w:rsidR="009C4C36" w:rsidRDefault="009C4C36" w:rsidP="00C605DA"/>
    <w:p w14:paraId="76E58D13" w14:textId="77777777" w:rsidR="009C4C36" w:rsidRDefault="009C4C36" w:rsidP="00C605DA"/>
    <w:p w14:paraId="5F620105" w14:textId="77777777" w:rsidR="009C4C36" w:rsidRDefault="009C4C36" w:rsidP="00C605DA"/>
    <w:p w14:paraId="4DCE050B" w14:textId="77777777" w:rsidR="009C4C36" w:rsidRDefault="009C4C36" w:rsidP="00C605DA"/>
    <w:p w14:paraId="73A443DF" w14:textId="77777777" w:rsidR="009C4C36" w:rsidRDefault="009C4C36" w:rsidP="00C605DA"/>
    <w:p w14:paraId="7FCCA9C9" w14:textId="77777777" w:rsidR="009C4C36" w:rsidRDefault="009C4C36" w:rsidP="00C605DA"/>
    <w:p w14:paraId="699A73E3" w14:textId="77777777" w:rsidR="009C4C36" w:rsidRDefault="009C4C36" w:rsidP="00C605DA"/>
    <w:p w14:paraId="655CACA5" w14:textId="77777777" w:rsidR="009C4C36" w:rsidRDefault="009C4C36" w:rsidP="00C605DA"/>
    <w:p w14:paraId="2F582656" w14:textId="77777777" w:rsidR="009C4C36" w:rsidRDefault="009C4C36" w:rsidP="00C605DA"/>
    <w:p w14:paraId="63C37666" w14:textId="77777777" w:rsidR="009C4C36" w:rsidRDefault="009C4C36" w:rsidP="00C605DA"/>
    <w:p w14:paraId="5CA219FE" w14:textId="77777777" w:rsidR="009C4C36" w:rsidRDefault="009C4C36" w:rsidP="00C605DA"/>
    <w:p w14:paraId="51CC178A" w14:textId="77777777" w:rsidR="009C4C36" w:rsidRDefault="009C4C36" w:rsidP="00C605DA"/>
    <w:p w14:paraId="1DAFE30D" w14:textId="77777777" w:rsidR="009C4C36" w:rsidRDefault="009C4C36" w:rsidP="00C605DA"/>
    <w:p w14:paraId="7FA61BFF" w14:textId="77777777" w:rsidR="009C4C36" w:rsidRDefault="009C4C36" w:rsidP="00C605DA"/>
    <w:p w14:paraId="228D0145" w14:textId="77777777" w:rsidR="009C4C36" w:rsidRDefault="009C4C36"/>
    <w:p w14:paraId="167682D2" w14:textId="77777777" w:rsidR="009C4C36" w:rsidRDefault="009C4C36" w:rsidP="00C605DA"/>
    <w:p w14:paraId="5B856218" w14:textId="77777777" w:rsidR="009C4C36" w:rsidRDefault="009C4C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4D811" w14:textId="77777777" w:rsidR="00F74C89" w:rsidRDefault="00F74C89" w:rsidP="00C605DA"/>
  <w:p w14:paraId="0EF1F2D9" w14:textId="77777777" w:rsidR="00F74C89" w:rsidRDefault="00F74C89" w:rsidP="00C605DA"/>
  <w:p w14:paraId="72FE2D2B" w14:textId="77777777" w:rsidR="00F74C89" w:rsidRDefault="00F74C89" w:rsidP="00C605DA"/>
  <w:p w14:paraId="1C17CF9F" w14:textId="77777777" w:rsidR="00F74C89" w:rsidRDefault="00F74C89" w:rsidP="00C605DA"/>
  <w:p w14:paraId="5884CA1F" w14:textId="77777777" w:rsidR="00F74C89" w:rsidRDefault="00F74C89" w:rsidP="00C605DA"/>
  <w:p w14:paraId="794AEC69" w14:textId="77777777" w:rsidR="00F74C89" w:rsidRDefault="00F74C89" w:rsidP="00C605DA"/>
  <w:p w14:paraId="4A5C8097" w14:textId="77777777" w:rsidR="00F74C89" w:rsidRDefault="00F74C89" w:rsidP="00C605DA"/>
  <w:p w14:paraId="59BDF1DA" w14:textId="77777777" w:rsidR="00F74C89" w:rsidRDefault="00F74C89" w:rsidP="00C605DA"/>
  <w:p w14:paraId="66F41F98" w14:textId="77777777" w:rsidR="00F74C89" w:rsidRDefault="00F74C89" w:rsidP="00C605DA"/>
  <w:p w14:paraId="3E6CFD89" w14:textId="77777777" w:rsidR="00F74C89" w:rsidRDefault="00F74C89" w:rsidP="00C605DA"/>
  <w:p w14:paraId="76473926" w14:textId="77777777" w:rsidR="00F74C89" w:rsidRDefault="00F74C89" w:rsidP="00C605DA"/>
  <w:p w14:paraId="2568527B" w14:textId="77777777" w:rsidR="00F74C89" w:rsidRDefault="00F74C89" w:rsidP="00C605DA"/>
  <w:p w14:paraId="2E30ECE9" w14:textId="77777777" w:rsidR="00F74C89" w:rsidRDefault="00F74C89" w:rsidP="00C605DA"/>
  <w:p w14:paraId="25FD7146" w14:textId="77777777" w:rsidR="00F74C89" w:rsidRDefault="00F74C89" w:rsidP="00C605DA"/>
  <w:p w14:paraId="06EF60FA" w14:textId="77777777" w:rsidR="00F74C89" w:rsidRDefault="00F74C89" w:rsidP="00C605DA"/>
  <w:p w14:paraId="2868026E" w14:textId="77777777" w:rsidR="00F74C89" w:rsidRDefault="00F74C89" w:rsidP="00C605DA"/>
  <w:p w14:paraId="393204DC" w14:textId="77777777" w:rsidR="00F74C89" w:rsidRDefault="00F74C89" w:rsidP="00C605DA"/>
  <w:p w14:paraId="4EF15007" w14:textId="77777777" w:rsidR="00F74C89" w:rsidRDefault="00F74C89" w:rsidP="00C605DA"/>
  <w:p w14:paraId="1A97E9CC" w14:textId="77777777" w:rsidR="00F74C89" w:rsidRDefault="00F74C89" w:rsidP="00C605DA"/>
  <w:p w14:paraId="50F0F500" w14:textId="77777777" w:rsidR="00F74C89" w:rsidRDefault="00F74C89" w:rsidP="00C605DA"/>
  <w:p w14:paraId="46F3DC30" w14:textId="77777777" w:rsidR="00F74C89" w:rsidRDefault="00F74C89" w:rsidP="00C605DA"/>
  <w:p w14:paraId="1452F974" w14:textId="77777777" w:rsidR="00F74C89" w:rsidRDefault="00F74C89" w:rsidP="00C605DA"/>
  <w:p w14:paraId="4E388CB7" w14:textId="77777777" w:rsidR="00F74C89" w:rsidRDefault="00F74C89" w:rsidP="00C605DA"/>
  <w:p w14:paraId="6A7B1D72" w14:textId="77777777" w:rsidR="00F74C89" w:rsidRDefault="00F74C89" w:rsidP="00C605DA"/>
  <w:p w14:paraId="10259DDF" w14:textId="77777777" w:rsidR="00F74C89" w:rsidRDefault="00F74C89" w:rsidP="00C605DA"/>
  <w:p w14:paraId="0E26265E" w14:textId="77777777" w:rsidR="00F74C89" w:rsidRDefault="00F74C89" w:rsidP="00C605DA"/>
  <w:p w14:paraId="689A9A05" w14:textId="77777777" w:rsidR="00F74C89" w:rsidRDefault="00F74C89" w:rsidP="00C605DA"/>
  <w:p w14:paraId="0E13A2A9" w14:textId="77777777" w:rsidR="00F74C89" w:rsidRDefault="00F74C89" w:rsidP="00C605DA"/>
  <w:p w14:paraId="2253F601" w14:textId="77777777" w:rsidR="00F74C89" w:rsidRDefault="00F74C89" w:rsidP="00C605DA"/>
  <w:p w14:paraId="0A113838" w14:textId="77777777" w:rsidR="00F74C89" w:rsidRDefault="00F74C89" w:rsidP="00C605DA"/>
  <w:p w14:paraId="51A66421" w14:textId="77777777" w:rsidR="00F74C89" w:rsidRDefault="00F74C89" w:rsidP="00C605DA"/>
  <w:p w14:paraId="775C3122" w14:textId="77777777" w:rsidR="00F74C89" w:rsidRDefault="00F74C89" w:rsidP="00C605DA"/>
  <w:p w14:paraId="26D5DBD1" w14:textId="77777777" w:rsidR="00F74C89" w:rsidRDefault="00F74C89" w:rsidP="00C605DA"/>
  <w:p w14:paraId="755E9B24" w14:textId="77777777" w:rsidR="00F74C89" w:rsidRDefault="00F74C89" w:rsidP="00C605DA"/>
  <w:p w14:paraId="4972B973" w14:textId="77777777" w:rsidR="00F74C89" w:rsidRDefault="00F74C89" w:rsidP="00C605DA"/>
  <w:p w14:paraId="514156E7" w14:textId="77777777" w:rsidR="00F74C89" w:rsidRDefault="00F74C89" w:rsidP="00C605DA"/>
  <w:p w14:paraId="52AFCBDC" w14:textId="77777777" w:rsidR="00F74C89" w:rsidRDefault="00F74C89" w:rsidP="00C605DA"/>
  <w:p w14:paraId="3D2C9EFF" w14:textId="77777777" w:rsidR="00F74C89" w:rsidRDefault="00F74C89" w:rsidP="00C605DA"/>
  <w:p w14:paraId="73DC81F0" w14:textId="77777777" w:rsidR="00F74C89" w:rsidRDefault="00F74C89" w:rsidP="00C605DA"/>
  <w:p w14:paraId="6D71C434" w14:textId="77777777" w:rsidR="00F74C89" w:rsidRDefault="00F74C89" w:rsidP="00C605DA"/>
  <w:p w14:paraId="4080EE02" w14:textId="77777777" w:rsidR="00F74C89" w:rsidRDefault="00F74C89" w:rsidP="00C605DA"/>
  <w:p w14:paraId="2D37AAF4" w14:textId="77777777" w:rsidR="00F74C89" w:rsidRDefault="00F74C89" w:rsidP="00C605DA"/>
  <w:p w14:paraId="4BA61F84" w14:textId="77777777" w:rsidR="00F74C89" w:rsidRDefault="00F74C89" w:rsidP="00C605DA"/>
  <w:p w14:paraId="3F13F2BB" w14:textId="77777777" w:rsidR="00F74C89" w:rsidRDefault="00F74C89" w:rsidP="00C605DA"/>
  <w:p w14:paraId="7B53B95C" w14:textId="77777777" w:rsidR="00F74C89" w:rsidRDefault="00F74C89" w:rsidP="00C605DA"/>
  <w:p w14:paraId="55FAFEEC" w14:textId="77777777" w:rsidR="00F74C89" w:rsidRDefault="00F74C89" w:rsidP="00C605DA"/>
  <w:p w14:paraId="1912915B" w14:textId="77777777" w:rsidR="00F74C89" w:rsidRDefault="00F74C89" w:rsidP="00C605DA"/>
  <w:p w14:paraId="785F1FEE" w14:textId="77777777" w:rsidR="00F74C89" w:rsidRDefault="00F74C89" w:rsidP="00C605DA"/>
  <w:p w14:paraId="7458DF6D" w14:textId="77777777" w:rsidR="00F74C89" w:rsidRDefault="00F74C89" w:rsidP="00C605DA"/>
  <w:p w14:paraId="10803D14" w14:textId="77777777" w:rsidR="00F74C89" w:rsidRDefault="00F74C89" w:rsidP="00C605DA"/>
  <w:p w14:paraId="22B3F212" w14:textId="77777777" w:rsidR="00F74C89" w:rsidRDefault="00F74C89" w:rsidP="00C605DA"/>
  <w:p w14:paraId="6C5A7327" w14:textId="77777777" w:rsidR="00F74C89" w:rsidRDefault="00F74C89" w:rsidP="00C605DA"/>
  <w:p w14:paraId="65009E78" w14:textId="77777777" w:rsidR="00F74C89" w:rsidRDefault="00F74C89" w:rsidP="00C605DA"/>
  <w:p w14:paraId="63CC52CF" w14:textId="77777777" w:rsidR="00F74C89" w:rsidRDefault="00F74C89" w:rsidP="00C605DA"/>
  <w:p w14:paraId="3091BAA6" w14:textId="77777777" w:rsidR="00F74C89" w:rsidRDefault="00F74C89" w:rsidP="00C605DA"/>
  <w:p w14:paraId="61B237E9" w14:textId="77777777" w:rsidR="00F74C89" w:rsidRDefault="00F74C89" w:rsidP="00C605DA"/>
  <w:p w14:paraId="0D17DC09" w14:textId="77777777" w:rsidR="00F74C89" w:rsidRDefault="00F74C89" w:rsidP="00C605DA"/>
  <w:p w14:paraId="6760F872" w14:textId="77777777" w:rsidR="00F74C89" w:rsidRDefault="00F74C89" w:rsidP="00C605DA"/>
  <w:p w14:paraId="0E280994" w14:textId="77777777" w:rsidR="00F74C89" w:rsidRDefault="00F74C89" w:rsidP="00C605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0E86" w14:textId="46AF4628" w:rsidR="00F74C89" w:rsidRPr="00C57DF2" w:rsidRDefault="00F74C89" w:rsidP="006D1652">
    <w:pPr>
      <w:pBdr>
        <w:bottom w:val="single" w:sz="12" w:space="1" w:color="auto"/>
      </w:pBdr>
      <w:tabs>
        <w:tab w:val="left" w:pos="4111"/>
      </w:tabs>
      <w:spacing w:after="120"/>
      <w:rPr>
        <w:rFonts w:cs="Arial"/>
        <w:b/>
        <w:bCs w:val="0"/>
        <w:noProof/>
        <w:sz w:val="16"/>
        <w:szCs w:val="16"/>
      </w:rPr>
    </w:pPr>
    <w:r>
      <w:rPr>
        <w:rFonts w:cs="Arial"/>
        <w:b/>
        <w:bCs w:val="0"/>
        <w:noProof/>
        <w:sz w:val="16"/>
        <w:szCs w:val="16"/>
      </w:rPr>
      <w:t>CHAPTER 8</w:t>
    </w:r>
    <w:r>
      <w:rPr>
        <w:rFonts w:cs="Arial"/>
        <w:b/>
        <w:bCs w:val="0"/>
        <w:noProof/>
        <w:sz w:val="16"/>
        <w:szCs w:val="16"/>
      </w:rPr>
      <w:tab/>
    </w:r>
    <w:r w:rsidRPr="00C57DF2">
      <w:rPr>
        <w:rFonts w:cs="Arial"/>
        <w:b/>
        <w:bCs w:val="0"/>
        <w:noProof/>
        <w:sz w:val="16"/>
        <w:szCs w:val="16"/>
      </w:rPr>
      <w:t xml:space="preserve">ENDOCRINE </w:t>
    </w:r>
    <w:r w:rsidR="006D1652">
      <w:rPr>
        <w:rFonts w:cs="Arial"/>
        <w:b/>
        <w:bCs w:val="0"/>
        <w:noProof/>
        <w:sz w:val="16"/>
        <w:szCs w:val="16"/>
      </w:rPr>
      <w:t>DISORDERS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D32"/>
    <w:multiLevelType w:val="hybridMultilevel"/>
    <w:tmpl w:val="D2F830F0"/>
    <w:lvl w:ilvl="0" w:tplc="04090003">
      <w:start w:val="1"/>
      <w:numFmt w:val="bullet"/>
      <w:lvlText w:val="o"/>
      <w:lvlJc w:val="left"/>
      <w:pPr>
        <w:ind w:left="360" w:hanging="360"/>
      </w:pPr>
      <w:rPr>
        <w:rFonts w:ascii="Courier New" w:hAnsi="Courier New" w:cs="Arial" w:hint="default"/>
      </w:rPr>
    </w:lvl>
    <w:lvl w:ilvl="1" w:tplc="1C090003" w:tentative="1">
      <w:start w:val="1"/>
      <w:numFmt w:val="bullet"/>
      <w:lvlText w:val="o"/>
      <w:lvlJc w:val="left"/>
      <w:pPr>
        <w:ind w:left="1080" w:hanging="360"/>
      </w:pPr>
      <w:rPr>
        <w:rFonts w:ascii="Courier New" w:hAnsi="Courier New" w:cs="Aria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Arial"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Arial"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4637CDE"/>
    <w:multiLevelType w:val="hybridMultilevel"/>
    <w:tmpl w:val="2AC0859C"/>
    <w:lvl w:ilvl="0" w:tplc="48E00C04">
      <w:start w:val="1"/>
      <w:numFmt w:val="bullet"/>
      <w:lvlText w:val="»"/>
      <w:lvlJc w:val="left"/>
      <w:pPr>
        <w:ind w:left="360" w:hanging="360"/>
      </w:pPr>
      <w:rPr>
        <w:rFonts w:ascii="Arial" w:hAnsi="Arial" w:hint="default"/>
        <w:b w:val="0"/>
        <w:i w:val="0"/>
        <w:color w:val="000000"/>
        <w:sz w:val="18"/>
      </w:rPr>
    </w:lvl>
    <w:lvl w:ilvl="1" w:tplc="1C090003" w:tentative="1">
      <w:start w:val="1"/>
      <w:numFmt w:val="bullet"/>
      <w:lvlText w:val="o"/>
      <w:lvlJc w:val="left"/>
      <w:pPr>
        <w:ind w:left="1080" w:hanging="360"/>
      </w:pPr>
      <w:rPr>
        <w:rFonts w:ascii="Courier New" w:hAnsi="Courier New" w:cs="Aria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Arial"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Arial"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6CA2F42"/>
    <w:multiLevelType w:val="hybridMultilevel"/>
    <w:tmpl w:val="7F8E0B62"/>
    <w:lvl w:ilvl="0" w:tplc="04090003">
      <w:start w:val="1"/>
      <w:numFmt w:val="bullet"/>
      <w:lvlText w:val="o"/>
      <w:lvlJc w:val="left"/>
      <w:pPr>
        <w:ind w:left="720" w:hanging="360"/>
      </w:pPr>
      <w:rPr>
        <w:rFonts w:ascii="Courier New" w:hAnsi="Courier New" w:cs="Arial" w:hint="default"/>
      </w:rPr>
    </w:lvl>
    <w:lvl w:ilvl="1" w:tplc="1C090003" w:tentative="1">
      <w:start w:val="1"/>
      <w:numFmt w:val="bullet"/>
      <w:lvlText w:val="o"/>
      <w:lvlJc w:val="left"/>
      <w:pPr>
        <w:ind w:left="1440" w:hanging="360"/>
      </w:pPr>
      <w:rPr>
        <w:rFonts w:ascii="Courier New" w:hAnsi="Courier New"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Arial"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Arial"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86E0A54"/>
    <w:multiLevelType w:val="hybridMultilevel"/>
    <w:tmpl w:val="D58E20AC"/>
    <w:lvl w:ilvl="0" w:tplc="04090003">
      <w:start w:val="1"/>
      <w:numFmt w:val="bullet"/>
      <w:lvlText w:val="o"/>
      <w:lvlJc w:val="left"/>
      <w:pPr>
        <w:ind w:left="720" w:hanging="360"/>
      </w:pPr>
      <w:rPr>
        <w:rFonts w:ascii="Courier New" w:hAnsi="Courier New" w:cs="Arial" w:hint="default"/>
      </w:rPr>
    </w:lvl>
    <w:lvl w:ilvl="1" w:tplc="1C090003" w:tentative="1">
      <w:start w:val="1"/>
      <w:numFmt w:val="bullet"/>
      <w:lvlText w:val="o"/>
      <w:lvlJc w:val="left"/>
      <w:pPr>
        <w:ind w:left="1440" w:hanging="360"/>
      </w:pPr>
      <w:rPr>
        <w:rFonts w:ascii="Courier New" w:hAnsi="Courier New"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Arial"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Arial"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D967F0"/>
    <w:multiLevelType w:val="hybridMultilevel"/>
    <w:tmpl w:val="3CB2034A"/>
    <w:lvl w:ilvl="0" w:tplc="48E00C04">
      <w:start w:val="1"/>
      <w:numFmt w:val="bullet"/>
      <w:lvlText w:val="»"/>
      <w:lvlJc w:val="left"/>
      <w:pPr>
        <w:ind w:left="360" w:hanging="360"/>
      </w:pPr>
      <w:rPr>
        <w:rFonts w:ascii="Arial" w:hAnsi="Arial" w:hint="default"/>
        <w:b w:val="0"/>
        <w:i w:val="0"/>
        <w:color w:val="000000"/>
        <w:sz w:val="18"/>
      </w:rPr>
    </w:lvl>
    <w:lvl w:ilvl="1" w:tplc="1C090003" w:tentative="1">
      <w:start w:val="1"/>
      <w:numFmt w:val="bullet"/>
      <w:lvlText w:val="o"/>
      <w:lvlJc w:val="left"/>
      <w:pPr>
        <w:ind w:left="1080" w:hanging="360"/>
      </w:pPr>
      <w:rPr>
        <w:rFonts w:ascii="Courier New" w:hAnsi="Courier New" w:cs="Aria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Arial"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Arial"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0B86586E"/>
    <w:multiLevelType w:val="hybridMultilevel"/>
    <w:tmpl w:val="69DA5578"/>
    <w:lvl w:ilvl="0" w:tplc="48E00C04">
      <w:start w:val="1"/>
      <w:numFmt w:val="bullet"/>
      <w:lvlText w:val="»"/>
      <w:lvlJc w:val="left"/>
      <w:pPr>
        <w:ind w:left="360" w:hanging="360"/>
      </w:pPr>
      <w:rPr>
        <w:rFonts w:ascii="Arial" w:hAnsi="Arial" w:hint="default"/>
        <w:b w:val="0"/>
        <w:i w:val="0"/>
        <w:color w:val="000000"/>
        <w:sz w:val="18"/>
      </w:rPr>
    </w:lvl>
    <w:lvl w:ilvl="1" w:tplc="1C090003" w:tentative="1">
      <w:start w:val="1"/>
      <w:numFmt w:val="bullet"/>
      <w:lvlText w:val="o"/>
      <w:lvlJc w:val="left"/>
      <w:pPr>
        <w:ind w:left="1080" w:hanging="360"/>
      </w:pPr>
      <w:rPr>
        <w:rFonts w:ascii="Courier New" w:hAnsi="Courier New" w:cs="Aria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Arial"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Arial"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0D59333D"/>
    <w:multiLevelType w:val="hybridMultilevel"/>
    <w:tmpl w:val="F3861520"/>
    <w:lvl w:ilvl="0" w:tplc="48E00C04">
      <w:start w:val="1"/>
      <w:numFmt w:val="bullet"/>
      <w:lvlText w:val="»"/>
      <w:lvlJc w:val="left"/>
      <w:pPr>
        <w:ind w:left="360" w:hanging="360"/>
      </w:pPr>
      <w:rPr>
        <w:rFonts w:ascii="Arial" w:hAnsi="Arial" w:hint="default"/>
        <w:b w:val="0"/>
        <w:i w:val="0"/>
        <w:color w:val="000000"/>
        <w:sz w:val="18"/>
      </w:rPr>
    </w:lvl>
    <w:lvl w:ilvl="1" w:tplc="1C090003">
      <w:start w:val="1"/>
      <w:numFmt w:val="bullet"/>
      <w:lvlText w:val="-"/>
      <w:lvlJc w:val="left"/>
      <w:pPr>
        <w:ind w:left="1080" w:hanging="360"/>
      </w:pPr>
      <w:rPr>
        <w:rFonts w:ascii="Courier New" w:hAnsi="Courier New" w:hint="default"/>
        <w:b w:val="0"/>
        <w:i w:val="0"/>
        <w:strike w:val="0"/>
        <w:color w:val="000000"/>
        <w:sz w:val="18"/>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Arial"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Arial"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0DCE4B0C"/>
    <w:multiLevelType w:val="hybridMultilevel"/>
    <w:tmpl w:val="8DB4AB66"/>
    <w:lvl w:ilvl="0" w:tplc="48E00C04">
      <w:start w:val="1"/>
      <w:numFmt w:val="bullet"/>
      <w:lvlText w:val="»"/>
      <w:lvlJc w:val="left"/>
      <w:pPr>
        <w:ind w:left="360" w:hanging="360"/>
      </w:pPr>
      <w:rPr>
        <w:rFonts w:ascii="Arial" w:hAnsi="Arial" w:hint="default"/>
        <w:b w:val="0"/>
        <w:i w:val="0"/>
        <w:color w:val="000000"/>
        <w:sz w:val="18"/>
      </w:rPr>
    </w:lvl>
    <w:lvl w:ilvl="1" w:tplc="1C090003" w:tentative="1">
      <w:start w:val="1"/>
      <w:numFmt w:val="bullet"/>
      <w:lvlText w:val="o"/>
      <w:lvlJc w:val="left"/>
      <w:pPr>
        <w:ind w:left="1080" w:hanging="360"/>
      </w:pPr>
      <w:rPr>
        <w:rFonts w:ascii="Courier New" w:hAnsi="Courier New" w:cs="Aria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Arial"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Arial"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0F59722B"/>
    <w:multiLevelType w:val="hybridMultilevel"/>
    <w:tmpl w:val="57389A9A"/>
    <w:lvl w:ilvl="0" w:tplc="08090003">
      <w:start w:val="1"/>
      <w:numFmt w:val="bullet"/>
      <w:lvlText w:val="o"/>
      <w:lvlJc w:val="left"/>
      <w:pPr>
        <w:ind w:left="720" w:hanging="360"/>
      </w:pPr>
      <w:rPr>
        <w:rFonts w:ascii="Courier New" w:hAnsi="Courier New" w:cs="Arial" w:hint="default"/>
      </w:rPr>
    </w:lvl>
    <w:lvl w:ilvl="1" w:tplc="1C090003" w:tentative="1">
      <w:start w:val="1"/>
      <w:numFmt w:val="bullet"/>
      <w:lvlText w:val="o"/>
      <w:lvlJc w:val="left"/>
      <w:pPr>
        <w:ind w:left="1440" w:hanging="360"/>
      </w:pPr>
      <w:rPr>
        <w:rFonts w:ascii="Courier New" w:hAnsi="Courier New"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Arial"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Arial"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0275972"/>
    <w:multiLevelType w:val="hybridMultilevel"/>
    <w:tmpl w:val="A8263FF8"/>
    <w:lvl w:ilvl="0" w:tplc="1C090003">
      <w:start w:val="1"/>
      <w:numFmt w:val="bullet"/>
      <w:lvlText w:val="o"/>
      <w:lvlJc w:val="left"/>
      <w:pPr>
        <w:tabs>
          <w:tab w:val="num" w:pos="360"/>
        </w:tabs>
        <w:ind w:left="284" w:hanging="284"/>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1F533A"/>
    <w:multiLevelType w:val="hybridMultilevel"/>
    <w:tmpl w:val="4788BECA"/>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123A76E7"/>
    <w:multiLevelType w:val="hybridMultilevel"/>
    <w:tmpl w:val="8AC8881C"/>
    <w:lvl w:ilvl="0" w:tplc="48E00C04">
      <w:start w:val="1"/>
      <w:numFmt w:val="bullet"/>
      <w:lvlText w:val="»"/>
      <w:lvlJc w:val="left"/>
      <w:pPr>
        <w:ind w:left="360" w:hanging="360"/>
      </w:pPr>
      <w:rPr>
        <w:rFonts w:ascii="Arial" w:hAnsi="Arial" w:hint="default"/>
        <w:b w:val="0"/>
        <w:i w:val="0"/>
        <w:color w:val="000000"/>
        <w:sz w:val="18"/>
      </w:rPr>
    </w:lvl>
    <w:lvl w:ilvl="1" w:tplc="1C090003" w:tentative="1">
      <w:start w:val="1"/>
      <w:numFmt w:val="bullet"/>
      <w:lvlText w:val="o"/>
      <w:lvlJc w:val="left"/>
      <w:pPr>
        <w:ind w:left="1080" w:hanging="360"/>
      </w:pPr>
      <w:rPr>
        <w:rFonts w:ascii="Courier New" w:hAnsi="Courier New" w:cs="Aria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Arial"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Arial"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149722B8"/>
    <w:multiLevelType w:val="hybridMultilevel"/>
    <w:tmpl w:val="6EAC2EAA"/>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16EB7994"/>
    <w:multiLevelType w:val="hybridMultilevel"/>
    <w:tmpl w:val="044C246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173A38DD"/>
    <w:multiLevelType w:val="hybridMultilevel"/>
    <w:tmpl w:val="8248997C"/>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17486340"/>
    <w:multiLevelType w:val="hybridMultilevel"/>
    <w:tmpl w:val="99388562"/>
    <w:lvl w:ilvl="0" w:tplc="63B22ADA">
      <w:start w:val="1"/>
      <w:numFmt w:val="bullet"/>
      <w:lvlText w:val="―"/>
      <w:lvlJc w:val="left"/>
      <w:pPr>
        <w:tabs>
          <w:tab w:val="num" w:pos="717"/>
        </w:tabs>
        <w:ind w:left="547" w:hanging="190"/>
      </w:pPr>
      <w:rPr>
        <w:rFonts w:ascii="Calibri" w:hAnsi="Calibri" w:hint="default"/>
      </w:rPr>
    </w:lvl>
    <w:lvl w:ilvl="1" w:tplc="1C090003">
      <w:start w:val="1"/>
      <w:numFmt w:val="bullet"/>
      <w:lvlText w:val="o"/>
      <w:lvlJc w:val="left"/>
      <w:pPr>
        <w:tabs>
          <w:tab w:val="num" w:pos="1440"/>
        </w:tabs>
        <w:ind w:left="1440" w:hanging="360"/>
      </w:pPr>
      <w:rPr>
        <w:rFonts w:ascii="Courier New" w:hAnsi="Courier New" w:cs="Arial" w:hint="default"/>
      </w:rPr>
    </w:lvl>
    <w:lvl w:ilvl="2" w:tplc="1C090005" w:tentative="1">
      <w:start w:val="1"/>
      <w:numFmt w:val="lowerRoman"/>
      <w:lvlText w:val="%3."/>
      <w:lvlJc w:val="right"/>
      <w:pPr>
        <w:tabs>
          <w:tab w:val="num" w:pos="2160"/>
        </w:tabs>
        <w:ind w:left="2160" w:hanging="180"/>
      </w:pPr>
    </w:lvl>
    <w:lvl w:ilvl="3" w:tplc="1C090001">
      <w:start w:val="1"/>
      <w:numFmt w:val="decimal"/>
      <w:lvlText w:val="%4."/>
      <w:lvlJc w:val="left"/>
      <w:pPr>
        <w:tabs>
          <w:tab w:val="num" w:pos="2880"/>
        </w:tabs>
        <w:ind w:left="2880" w:hanging="360"/>
      </w:pPr>
    </w:lvl>
    <w:lvl w:ilvl="4" w:tplc="1C090003" w:tentative="1">
      <w:start w:val="1"/>
      <w:numFmt w:val="lowerLetter"/>
      <w:lvlText w:val="%5."/>
      <w:lvlJc w:val="left"/>
      <w:pPr>
        <w:tabs>
          <w:tab w:val="num" w:pos="3600"/>
        </w:tabs>
        <w:ind w:left="3600" w:hanging="360"/>
      </w:pPr>
    </w:lvl>
    <w:lvl w:ilvl="5" w:tplc="1C090005" w:tentative="1">
      <w:start w:val="1"/>
      <w:numFmt w:val="lowerRoman"/>
      <w:lvlText w:val="%6."/>
      <w:lvlJc w:val="right"/>
      <w:pPr>
        <w:tabs>
          <w:tab w:val="num" w:pos="4320"/>
        </w:tabs>
        <w:ind w:left="4320" w:hanging="180"/>
      </w:pPr>
    </w:lvl>
    <w:lvl w:ilvl="6" w:tplc="1C090001" w:tentative="1">
      <w:start w:val="1"/>
      <w:numFmt w:val="decimal"/>
      <w:lvlText w:val="%7."/>
      <w:lvlJc w:val="left"/>
      <w:pPr>
        <w:tabs>
          <w:tab w:val="num" w:pos="5040"/>
        </w:tabs>
        <w:ind w:left="5040" w:hanging="360"/>
      </w:pPr>
    </w:lvl>
    <w:lvl w:ilvl="7" w:tplc="1C090003" w:tentative="1">
      <w:start w:val="1"/>
      <w:numFmt w:val="lowerLetter"/>
      <w:lvlText w:val="%8."/>
      <w:lvlJc w:val="left"/>
      <w:pPr>
        <w:tabs>
          <w:tab w:val="num" w:pos="5760"/>
        </w:tabs>
        <w:ind w:left="5760" w:hanging="360"/>
      </w:pPr>
    </w:lvl>
    <w:lvl w:ilvl="8" w:tplc="1C090005" w:tentative="1">
      <w:start w:val="1"/>
      <w:numFmt w:val="lowerRoman"/>
      <w:lvlText w:val="%9."/>
      <w:lvlJc w:val="right"/>
      <w:pPr>
        <w:tabs>
          <w:tab w:val="num" w:pos="6480"/>
        </w:tabs>
        <w:ind w:left="6480" w:hanging="180"/>
      </w:pPr>
    </w:lvl>
  </w:abstractNum>
  <w:abstractNum w:abstractNumId="16" w15:restartNumberingAfterBreak="0">
    <w:nsid w:val="17FD77E0"/>
    <w:multiLevelType w:val="hybridMultilevel"/>
    <w:tmpl w:val="7FF8F352"/>
    <w:lvl w:ilvl="0" w:tplc="3648C126">
      <w:start w:val="1"/>
      <w:numFmt w:val="bullet"/>
      <w:pStyle w:val="elist"/>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Arial"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Arial"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783481"/>
    <w:multiLevelType w:val="hybridMultilevel"/>
    <w:tmpl w:val="E5EE9712"/>
    <w:lvl w:ilvl="0" w:tplc="08090003">
      <w:start w:val="1"/>
      <w:numFmt w:val="bullet"/>
      <w:lvlText w:val="o"/>
      <w:lvlJc w:val="left"/>
      <w:pPr>
        <w:ind w:left="720" w:hanging="360"/>
      </w:pPr>
      <w:rPr>
        <w:rFonts w:ascii="Courier New" w:hAnsi="Courier New" w:cs="Arial" w:hint="default"/>
      </w:rPr>
    </w:lvl>
    <w:lvl w:ilvl="1" w:tplc="1C090003" w:tentative="1">
      <w:start w:val="1"/>
      <w:numFmt w:val="bullet"/>
      <w:lvlText w:val="o"/>
      <w:lvlJc w:val="left"/>
      <w:pPr>
        <w:ind w:left="1440" w:hanging="360"/>
      </w:pPr>
      <w:rPr>
        <w:rFonts w:ascii="Courier New" w:hAnsi="Courier New"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Arial"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Arial"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1C52DDA"/>
    <w:multiLevelType w:val="hybridMultilevel"/>
    <w:tmpl w:val="83B65BA6"/>
    <w:lvl w:ilvl="0" w:tplc="63B22ADA">
      <w:start w:val="1"/>
      <w:numFmt w:val="bullet"/>
      <w:lvlText w:val="―"/>
      <w:lvlJc w:val="left"/>
      <w:pPr>
        <w:ind w:left="768" w:hanging="360"/>
      </w:pPr>
      <w:rPr>
        <w:rFonts w:ascii="Calibri" w:hAnsi="Calibri" w:hint="default"/>
        <w:b/>
        <w:i w:val="0"/>
        <w:sz w:val="14"/>
      </w:rPr>
    </w:lvl>
    <w:lvl w:ilvl="1" w:tplc="1C090003">
      <w:start w:val="1"/>
      <w:numFmt w:val="bullet"/>
      <w:lvlText w:val="o"/>
      <w:lvlJc w:val="left"/>
      <w:pPr>
        <w:ind w:left="1488" w:hanging="360"/>
      </w:pPr>
      <w:rPr>
        <w:rFonts w:ascii="Courier New" w:hAnsi="Courier New" w:cs="Arial" w:hint="default"/>
      </w:rPr>
    </w:lvl>
    <w:lvl w:ilvl="2" w:tplc="1C090005" w:tentative="1">
      <w:start w:val="1"/>
      <w:numFmt w:val="bullet"/>
      <w:lvlText w:val=""/>
      <w:lvlJc w:val="left"/>
      <w:pPr>
        <w:ind w:left="2208" w:hanging="360"/>
      </w:pPr>
      <w:rPr>
        <w:rFonts w:ascii="Wingdings" w:hAnsi="Wingdings" w:hint="default"/>
      </w:rPr>
    </w:lvl>
    <w:lvl w:ilvl="3" w:tplc="1C090001" w:tentative="1">
      <w:start w:val="1"/>
      <w:numFmt w:val="bullet"/>
      <w:lvlText w:val=""/>
      <w:lvlJc w:val="left"/>
      <w:pPr>
        <w:ind w:left="2928" w:hanging="360"/>
      </w:pPr>
      <w:rPr>
        <w:rFonts w:ascii="Symbol" w:hAnsi="Symbol" w:hint="default"/>
      </w:rPr>
    </w:lvl>
    <w:lvl w:ilvl="4" w:tplc="1C090003" w:tentative="1">
      <w:start w:val="1"/>
      <w:numFmt w:val="bullet"/>
      <w:lvlText w:val="o"/>
      <w:lvlJc w:val="left"/>
      <w:pPr>
        <w:ind w:left="3648" w:hanging="360"/>
      </w:pPr>
      <w:rPr>
        <w:rFonts w:ascii="Courier New" w:hAnsi="Courier New" w:cs="Arial" w:hint="default"/>
      </w:rPr>
    </w:lvl>
    <w:lvl w:ilvl="5" w:tplc="1C090005" w:tentative="1">
      <w:start w:val="1"/>
      <w:numFmt w:val="bullet"/>
      <w:lvlText w:val=""/>
      <w:lvlJc w:val="left"/>
      <w:pPr>
        <w:ind w:left="4368" w:hanging="360"/>
      </w:pPr>
      <w:rPr>
        <w:rFonts w:ascii="Wingdings" w:hAnsi="Wingdings" w:hint="default"/>
      </w:rPr>
    </w:lvl>
    <w:lvl w:ilvl="6" w:tplc="1C090001" w:tentative="1">
      <w:start w:val="1"/>
      <w:numFmt w:val="bullet"/>
      <w:lvlText w:val=""/>
      <w:lvlJc w:val="left"/>
      <w:pPr>
        <w:ind w:left="5088" w:hanging="360"/>
      </w:pPr>
      <w:rPr>
        <w:rFonts w:ascii="Symbol" w:hAnsi="Symbol" w:hint="default"/>
      </w:rPr>
    </w:lvl>
    <w:lvl w:ilvl="7" w:tplc="1C090003" w:tentative="1">
      <w:start w:val="1"/>
      <w:numFmt w:val="bullet"/>
      <w:lvlText w:val="o"/>
      <w:lvlJc w:val="left"/>
      <w:pPr>
        <w:ind w:left="5808" w:hanging="360"/>
      </w:pPr>
      <w:rPr>
        <w:rFonts w:ascii="Courier New" w:hAnsi="Courier New" w:cs="Arial" w:hint="default"/>
      </w:rPr>
    </w:lvl>
    <w:lvl w:ilvl="8" w:tplc="1C090005" w:tentative="1">
      <w:start w:val="1"/>
      <w:numFmt w:val="bullet"/>
      <w:lvlText w:val=""/>
      <w:lvlJc w:val="left"/>
      <w:pPr>
        <w:ind w:left="6528" w:hanging="360"/>
      </w:pPr>
      <w:rPr>
        <w:rFonts w:ascii="Wingdings" w:hAnsi="Wingdings" w:hint="default"/>
      </w:rPr>
    </w:lvl>
  </w:abstractNum>
  <w:abstractNum w:abstractNumId="19" w15:restartNumberingAfterBreak="0">
    <w:nsid w:val="238E2F71"/>
    <w:multiLevelType w:val="hybridMultilevel"/>
    <w:tmpl w:val="9B9415F0"/>
    <w:lvl w:ilvl="0" w:tplc="04090003">
      <w:start w:val="1"/>
      <w:numFmt w:val="bullet"/>
      <w:lvlText w:val="»"/>
      <w:lvlJc w:val="left"/>
      <w:pPr>
        <w:ind w:left="360" w:hanging="360"/>
      </w:pPr>
      <w:rPr>
        <w:rFonts w:ascii="Arial" w:hAnsi="Arial" w:hint="default"/>
        <w:b w:val="0"/>
        <w:i w:val="0"/>
        <w:color w:val="000000"/>
        <w:sz w:val="18"/>
      </w:rPr>
    </w:lvl>
    <w:lvl w:ilvl="1" w:tplc="1C090003" w:tentative="1">
      <w:start w:val="1"/>
      <w:numFmt w:val="bullet"/>
      <w:lvlText w:val="o"/>
      <w:lvlJc w:val="left"/>
      <w:pPr>
        <w:ind w:left="1080" w:hanging="360"/>
      </w:pPr>
      <w:rPr>
        <w:rFonts w:ascii="Courier New" w:hAnsi="Courier New" w:cs="Aria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Arial"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Arial"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26C055B1"/>
    <w:multiLevelType w:val="hybridMultilevel"/>
    <w:tmpl w:val="4620C68C"/>
    <w:lvl w:ilvl="0" w:tplc="19D0A23E">
      <w:start w:val="1"/>
      <w:numFmt w:val="bullet"/>
      <w:lvlText w:val="o"/>
      <w:lvlJc w:val="left"/>
      <w:pPr>
        <w:ind w:left="720" w:hanging="360"/>
      </w:pPr>
      <w:rPr>
        <w:rFonts w:ascii="Courier New" w:hAnsi="Courier New" w:cs="Arial" w:hint="default"/>
      </w:rPr>
    </w:lvl>
    <w:lvl w:ilvl="1" w:tplc="1C090003">
      <w:start w:val="1"/>
      <w:numFmt w:val="bullet"/>
      <w:lvlText w:val="o"/>
      <w:lvlJc w:val="left"/>
      <w:pPr>
        <w:ind w:left="1440" w:hanging="360"/>
      </w:pPr>
      <w:rPr>
        <w:rFonts w:ascii="Courier New" w:hAnsi="Courier New"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Arial"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Arial"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D1534FA"/>
    <w:multiLevelType w:val="hybridMultilevel"/>
    <w:tmpl w:val="6DF24BB0"/>
    <w:lvl w:ilvl="0" w:tplc="0810A032">
      <w:start w:val="1"/>
      <w:numFmt w:val="bullet"/>
      <w:pStyle w:val="ep00"/>
      <w:lvlText w:val="o"/>
      <w:lvlJc w:val="left"/>
      <w:pPr>
        <w:tabs>
          <w:tab w:val="num" w:pos="284"/>
        </w:tabs>
        <w:ind w:left="284" w:hanging="360"/>
      </w:pPr>
      <w:rPr>
        <w:rFonts w:ascii="Courier New" w:hAnsi="Courier New" w:hint="default"/>
      </w:rPr>
    </w:lvl>
    <w:lvl w:ilvl="1" w:tplc="1C090003">
      <w:start w:val="1"/>
      <w:numFmt w:val="bullet"/>
      <w:lvlText w:val="o"/>
      <w:lvlJc w:val="left"/>
      <w:pPr>
        <w:tabs>
          <w:tab w:val="num" w:pos="1080"/>
        </w:tabs>
        <w:ind w:left="1080" w:hanging="360"/>
      </w:pPr>
      <w:rPr>
        <w:rFonts w:ascii="Courier New" w:hAnsi="Courier New" w:hint="default"/>
      </w:rPr>
    </w:lvl>
    <w:lvl w:ilvl="2" w:tplc="1C090005">
      <w:start w:val="1"/>
      <w:numFmt w:val="bullet"/>
      <w:lvlText w:val=""/>
      <w:lvlJc w:val="left"/>
      <w:pPr>
        <w:tabs>
          <w:tab w:val="num" w:pos="1800"/>
        </w:tabs>
        <w:ind w:left="1800" w:hanging="360"/>
      </w:pPr>
      <w:rPr>
        <w:rFonts w:ascii="Wingdings" w:hAnsi="Wingdings" w:hint="default"/>
      </w:rPr>
    </w:lvl>
    <w:lvl w:ilvl="3" w:tplc="1C090001" w:tentative="1">
      <w:start w:val="1"/>
      <w:numFmt w:val="bullet"/>
      <w:lvlText w:val=""/>
      <w:lvlJc w:val="left"/>
      <w:pPr>
        <w:tabs>
          <w:tab w:val="num" w:pos="2520"/>
        </w:tabs>
        <w:ind w:left="2520" w:hanging="360"/>
      </w:pPr>
      <w:rPr>
        <w:rFonts w:ascii="Symbol" w:hAnsi="Symbol" w:hint="default"/>
      </w:rPr>
    </w:lvl>
    <w:lvl w:ilvl="4" w:tplc="1C090003" w:tentative="1">
      <w:start w:val="1"/>
      <w:numFmt w:val="bullet"/>
      <w:lvlText w:val="o"/>
      <w:lvlJc w:val="left"/>
      <w:pPr>
        <w:tabs>
          <w:tab w:val="num" w:pos="3240"/>
        </w:tabs>
        <w:ind w:left="3240" w:hanging="360"/>
      </w:pPr>
      <w:rPr>
        <w:rFonts w:ascii="Courier New" w:hAnsi="Courier New" w:hint="default"/>
      </w:rPr>
    </w:lvl>
    <w:lvl w:ilvl="5" w:tplc="1C090005" w:tentative="1">
      <w:start w:val="1"/>
      <w:numFmt w:val="bullet"/>
      <w:lvlText w:val=""/>
      <w:lvlJc w:val="left"/>
      <w:pPr>
        <w:tabs>
          <w:tab w:val="num" w:pos="3960"/>
        </w:tabs>
        <w:ind w:left="3960" w:hanging="360"/>
      </w:pPr>
      <w:rPr>
        <w:rFonts w:ascii="Wingdings" w:hAnsi="Wingdings" w:hint="default"/>
      </w:rPr>
    </w:lvl>
    <w:lvl w:ilvl="6" w:tplc="1C090001" w:tentative="1">
      <w:start w:val="1"/>
      <w:numFmt w:val="bullet"/>
      <w:lvlText w:val=""/>
      <w:lvlJc w:val="left"/>
      <w:pPr>
        <w:tabs>
          <w:tab w:val="num" w:pos="4680"/>
        </w:tabs>
        <w:ind w:left="4680" w:hanging="360"/>
      </w:pPr>
      <w:rPr>
        <w:rFonts w:ascii="Symbol" w:hAnsi="Symbol" w:hint="default"/>
      </w:rPr>
    </w:lvl>
    <w:lvl w:ilvl="7" w:tplc="1C090003" w:tentative="1">
      <w:start w:val="1"/>
      <w:numFmt w:val="bullet"/>
      <w:lvlText w:val="o"/>
      <w:lvlJc w:val="left"/>
      <w:pPr>
        <w:tabs>
          <w:tab w:val="num" w:pos="5400"/>
        </w:tabs>
        <w:ind w:left="5400" w:hanging="360"/>
      </w:pPr>
      <w:rPr>
        <w:rFonts w:ascii="Courier New" w:hAnsi="Courier New" w:hint="default"/>
      </w:rPr>
    </w:lvl>
    <w:lvl w:ilvl="8" w:tplc="1C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D8037B0"/>
    <w:multiLevelType w:val="hybridMultilevel"/>
    <w:tmpl w:val="774E4680"/>
    <w:lvl w:ilvl="0" w:tplc="1FD204E0">
      <w:start w:val="1"/>
      <w:numFmt w:val="bullet"/>
      <w:lvlText w:val="»"/>
      <w:lvlJc w:val="left"/>
      <w:pPr>
        <w:ind w:left="360" w:hanging="360"/>
      </w:pPr>
      <w:rPr>
        <w:rFonts w:ascii="Arial" w:hAnsi="Arial" w:hint="default"/>
        <w:b w:val="0"/>
        <w:i w:val="0"/>
        <w:strike w:val="0"/>
        <w:color w:val="000000"/>
        <w:sz w:val="18"/>
      </w:rPr>
    </w:lvl>
    <w:lvl w:ilvl="1" w:tplc="08F4BF2E"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FD418CA"/>
    <w:multiLevelType w:val="hybridMultilevel"/>
    <w:tmpl w:val="52EA6386"/>
    <w:lvl w:ilvl="0" w:tplc="48E00C04">
      <w:start w:val="1"/>
      <w:numFmt w:val="bullet"/>
      <w:lvlText w:val="o"/>
      <w:lvlJc w:val="left"/>
      <w:pPr>
        <w:ind w:left="720" w:hanging="360"/>
      </w:pPr>
      <w:rPr>
        <w:rFonts w:ascii="Courier New" w:hAnsi="Courier New" w:cs="Arial" w:hint="default"/>
      </w:rPr>
    </w:lvl>
    <w:lvl w:ilvl="1" w:tplc="1C090003" w:tentative="1">
      <w:start w:val="1"/>
      <w:numFmt w:val="bullet"/>
      <w:lvlText w:val="o"/>
      <w:lvlJc w:val="left"/>
      <w:pPr>
        <w:ind w:left="1440" w:hanging="360"/>
      </w:pPr>
      <w:rPr>
        <w:rFonts w:ascii="Courier New" w:hAnsi="Courier New"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Arial"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Arial"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0BE2DA3"/>
    <w:multiLevelType w:val="hybridMultilevel"/>
    <w:tmpl w:val="0A0EFDBE"/>
    <w:lvl w:ilvl="0" w:tplc="04090003">
      <w:start w:val="1"/>
      <w:numFmt w:val="bullet"/>
      <w:lvlText w:val="o"/>
      <w:lvlJc w:val="left"/>
      <w:pPr>
        <w:ind w:left="720" w:hanging="360"/>
      </w:pPr>
      <w:rPr>
        <w:rFonts w:ascii="Courier New" w:hAnsi="Courier New" w:cs="Arial" w:hint="default"/>
      </w:rPr>
    </w:lvl>
    <w:lvl w:ilvl="1" w:tplc="1C090003" w:tentative="1">
      <w:start w:val="1"/>
      <w:numFmt w:val="bullet"/>
      <w:lvlText w:val="o"/>
      <w:lvlJc w:val="left"/>
      <w:pPr>
        <w:ind w:left="1440" w:hanging="360"/>
      </w:pPr>
      <w:rPr>
        <w:rFonts w:ascii="Courier New" w:hAnsi="Courier New"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Arial"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Arial"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2F35E0D"/>
    <w:multiLevelType w:val="hybridMultilevel"/>
    <w:tmpl w:val="BCBC2A04"/>
    <w:lvl w:ilvl="0" w:tplc="08090003">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Aria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Arial"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Arial"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32FF1D1E"/>
    <w:multiLevelType w:val="hybridMultilevel"/>
    <w:tmpl w:val="04044D66"/>
    <w:lvl w:ilvl="0" w:tplc="9E2C8AA8">
      <w:start w:val="1"/>
      <w:numFmt w:val="bullet"/>
      <w:lvlText w:val=""/>
      <w:lvlJc w:val="left"/>
      <w:pPr>
        <w:ind w:left="360" w:hanging="360"/>
      </w:pPr>
      <w:rPr>
        <w:rFonts w:ascii="Wingdings" w:hAnsi="Wingdings" w:hint="default"/>
        <w:caps w:val="0"/>
        <w:strike w:val="0"/>
        <w:dstrike w:val="0"/>
        <w:vanish w:val="0"/>
        <w:color w:val="000000"/>
        <w:sz w:val="18"/>
        <w:szCs w:val="18"/>
        <w:vertAlign w:val="baseline"/>
      </w:rPr>
    </w:lvl>
    <w:lvl w:ilvl="1" w:tplc="1C090003" w:tentative="1">
      <w:start w:val="1"/>
      <w:numFmt w:val="bullet"/>
      <w:lvlText w:val="o"/>
      <w:lvlJc w:val="left"/>
      <w:pPr>
        <w:ind w:left="1080" w:hanging="360"/>
      </w:pPr>
      <w:rPr>
        <w:rFonts w:ascii="Courier New" w:hAnsi="Courier New" w:cs="Aria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Arial"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Arial"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34CE0370"/>
    <w:multiLevelType w:val="hybridMultilevel"/>
    <w:tmpl w:val="3064B906"/>
    <w:lvl w:ilvl="0" w:tplc="08090003">
      <w:start w:val="1"/>
      <w:numFmt w:val="bullet"/>
      <w:lvlText w:val="»"/>
      <w:lvlJc w:val="left"/>
      <w:pPr>
        <w:ind w:left="360" w:hanging="360"/>
      </w:pPr>
      <w:rPr>
        <w:rFonts w:ascii="Arial" w:hAnsi="Arial" w:hint="default"/>
        <w:b w:val="0"/>
        <w:i w:val="0"/>
        <w:color w:val="000000"/>
        <w:sz w:val="18"/>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15:restartNumberingAfterBreak="0">
    <w:nsid w:val="38FB348B"/>
    <w:multiLevelType w:val="hybridMultilevel"/>
    <w:tmpl w:val="04BE669C"/>
    <w:lvl w:ilvl="0" w:tplc="3094EABA">
      <w:start w:val="1"/>
      <w:numFmt w:val="bullet"/>
      <w:lvlText w:val="o"/>
      <w:lvlJc w:val="left"/>
      <w:pPr>
        <w:ind w:left="360" w:hanging="360"/>
      </w:pPr>
      <w:rPr>
        <w:rFonts w:ascii="Courier New" w:hAnsi="Courier New" w:cs="Arial" w:hint="default"/>
      </w:rPr>
    </w:lvl>
    <w:lvl w:ilvl="1" w:tplc="1C090003" w:tentative="1">
      <w:start w:val="1"/>
      <w:numFmt w:val="bullet"/>
      <w:lvlText w:val="o"/>
      <w:lvlJc w:val="left"/>
      <w:pPr>
        <w:ind w:left="1080" w:hanging="360"/>
      </w:pPr>
      <w:rPr>
        <w:rFonts w:ascii="Courier New" w:hAnsi="Courier New" w:cs="Aria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Arial"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Arial"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39F24603"/>
    <w:multiLevelType w:val="hybridMultilevel"/>
    <w:tmpl w:val="BABA1210"/>
    <w:lvl w:ilvl="0" w:tplc="43EAD47A">
      <w:start w:val="1"/>
      <w:numFmt w:val="bullet"/>
      <w:lvlText w:val=""/>
      <w:lvlJc w:val="left"/>
      <w:pPr>
        <w:ind w:left="360" w:hanging="360"/>
      </w:pPr>
      <w:rPr>
        <w:rFonts w:ascii="Wingdings" w:hAnsi="Wingdings"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BC6624B"/>
    <w:multiLevelType w:val="hybridMultilevel"/>
    <w:tmpl w:val="5DCCBCF8"/>
    <w:lvl w:ilvl="0" w:tplc="04090003">
      <w:start w:val="1"/>
      <w:numFmt w:val="bullet"/>
      <w:lvlText w:val="»"/>
      <w:lvlJc w:val="left"/>
      <w:pPr>
        <w:ind w:left="360" w:hanging="360"/>
      </w:pPr>
      <w:rPr>
        <w:rFonts w:ascii="Arial" w:hAnsi="Arial" w:hint="default"/>
        <w:b w:val="0"/>
        <w:i w:val="0"/>
        <w:color w:val="000000"/>
        <w:sz w:val="18"/>
      </w:rPr>
    </w:lvl>
    <w:lvl w:ilvl="1" w:tplc="1C090003" w:tentative="1">
      <w:start w:val="1"/>
      <w:numFmt w:val="bullet"/>
      <w:lvlText w:val="o"/>
      <w:lvlJc w:val="left"/>
      <w:pPr>
        <w:ind w:left="1080" w:hanging="360"/>
      </w:pPr>
      <w:rPr>
        <w:rFonts w:ascii="Courier New" w:hAnsi="Courier New" w:cs="Aria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Arial"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Arial" w:hint="default"/>
      </w:rPr>
    </w:lvl>
    <w:lvl w:ilvl="8" w:tplc="1C090005" w:tentative="1">
      <w:start w:val="1"/>
      <w:numFmt w:val="bullet"/>
      <w:lvlText w:val=""/>
      <w:lvlJc w:val="left"/>
      <w:pPr>
        <w:ind w:left="6120" w:hanging="360"/>
      </w:pPr>
      <w:rPr>
        <w:rFonts w:ascii="Wingdings" w:hAnsi="Wingdings" w:hint="default"/>
      </w:rPr>
    </w:lvl>
  </w:abstractNum>
  <w:abstractNum w:abstractNumId="31" w15:restartNumberingAfterBreak="0">
    <w:nsid w:val="3E6E40DA"/>
    <w:multiLevelType w:val="hybridMultilevel"/>
    <w:tmpl w:val="056ED0A8"/>
    <w:lvl w:ilvl="0" w:tplc="48E00C04">
      <w:start w:val="1"/>
      <w:numFmt w:val="bullet"/>
      <w:pStyle w:val="ep4"/>
      <w:lvlText w:val=""/>
      <w:lvlJc w:val="left"/>
      <w:pPr>
        <w:tabs>
          <w:tab w:val="num" w:pos="360"/>
        </w:tabs>
        <w:ind w:left="284" w:hanging="284"/>
      </w:pPr>
      <w:rPr>
        <w:rFonts w:ascii="Symbol" w:hAnsi="Symbol" w:hint="default"/>
      </w:rPr>
    </w:lvl>
    <w:lvl w:ilvl="1" w:tplc="1C090003">
      <w:start w:val="1"/>
      <w:numFmt w:val="bullet"/>
      <w:lvlText w:val=""/>
      <w:lvlJc w:val="left"/>
      <w:pPr>
        <w:tabs>
          <w:tab w:val="num" w:pos="1440"/>
        </w:tabs>
        <w:ind w:left="1364" w:hanging="284"/>
      </w:pPr>
      <w:rPr>
        <w:rFonts w:ascii="Symbol" w:hAnsi="Symbol" w:hint="default"/>
        <w:color w:val="000000"/>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DD357A"/>
    <w:multiLevelType w:val="hybridMultilevel"/>
    <w:tmpl w:val="8C3EB8A4"/>
    <w:lvl w:ilvl="0" w:tplc="08090003">
      <w:start w:val="1"/>
      <w:numFmt w:val="bullet"/>
      <w:lvlText w:val="o"/>
      <w:lvlJc w:val="left"/>
      <w:pPr>
        <w:ind w:left="720" w:hanging="360"/>
      </w:pPr>
      <w:rPr>
        <w:rFonts w:ascii="Courier New" w:hAnsi="Courier New" w:cs="Arial" w:hint="default"/>
      </w:rPr>
    </w:lvl>
    <w:lvl w:ilvl="1" w:tplc="1C090003" w:tentative="1">
      <w:start w:val="1"/>
      <w:numFmt w:val="bullet"/>
      <w:lvlText w:val="o"/>
      <w:lvlJc w:val="left"/>
      <w:pPr>
        <w:ind w:left="1440" w:hanging="360"/>
      </w:pPr>
      <w:rPr>
        <w:rFonts w:ascii="Courier New" w:hAnsi="Courier New"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Arial"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Arial"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41510CF8"/>
    <w:multiLevelType w:val="hybridMultilevel"/>
    <w:tmpl w:val="D070F586"/>
    <w:lvl w:ilvl="0" w:tplc="08090003">
      <w:start w:val="1"/>
      <w:numFmt w:val="bullet"/>
      <w:lvlText w:val="»"/>
      <w:lvlJc w:val="left"/>
      <w:pPr>
        <w:tabs>
          <w:tab w:val="num" w:pos="360"/>
        </w:tabs>
        <w:ind w:left="284" w:hanging="284"/>
      </w:pPr>
      <w:rPr>
        <w:rFonts w:ascii="Arial" w:hAnsi="Arial" w:hint="default"/>
        <w:b w:val="0"/>
        <w:i w:val="0"/>
        <w:color w:val="000000"/>
        <w:sz w:val="18"/>
      </w:rPr>
    </w:lvl>
    <w:lvl w:ilvl="1" w:tplc="04090003">
      <w:start w:val="1"/>
      <w:numFmt w:val="bullet"/>
      <w:lvlText w:val="o"/>
      <w:lvlJc w:val="left"/>
      <w:pPr>
        <w:tabs>
          <w:tab w:val="num" w:pos="0"/>
        </w:tabs>
        <w:ind w:left="0" w:hanging="360"/>
      </w:pPr>
      <w:rPr>
        <w:rFonts w:ascii="Courier New" w:hAnsi="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4" w15:restartNumberingAfterBreak="0">
    <w:nsid w:val="41AF1B54"/>
    <w:multiLevelType w:val="hybridMultilevel"/>
    <w:tmpl w:val="19D6A630"/>
    <w:lvl w:ilvl="0" w:tplc="08090003">
      <w:start w:val="1"/>
      <w:numFmt w:val="bullet"/>
      <w:lvlText w:val="o"/>
      <w:lvlJc w:val="left"/>
      <w:pPr>
        <w:ind w:left="720" w:hanging="360"/>
      </w:pPr>
      <w:rPr>
        <w:rFonts w:ascii="Courier New" w:hAnsi="Courier New" w:cs="Arial" w:hint="default"/>
      </w:rPr>
    </w:lvl>
    <w:lvl w:ilvl="1" w:tplc="1C090003" w:tentative="1">
      <w:start w:val="1"/>
      <w:numFmt w:val="bullet"/>
      <w:lvlText w:val="o"/>
      <w:lvlJc w:val="left"/>
      <w:pPr>
        <w:ind w:left="1440" w:hanging="360"/>
      </w:pPr>
      <w:rPr>
        <w:rFonts w:ascii="Courier New" w:hAnsi="Courier New"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Arial"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Arial"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41BD2C35"/>
    <w:multiLevelType w:val="multilevel"/>
    <w:tmpl w:val="6D9C92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4685170A"/>
    <w:multiLevelType w:val="hybridMultilevel"/>
    <w:tmpl w:val="31FABCCC"/>
    <w:lvl w:ilvl="0" w:tplc="08090003">
      <w:start w:val="1"/>
      <w:numFmt w:val="bullet"/>
      <w:pStyle w:val="ep1"/>
      <w:lvlText w:val=""/>
      <w:lvlJc w:val="left"/>
      <w:pPr>
        <w:tabs>
          <w:tab w:val="num" w:pos="1800"/>
        </w:tabs>
        <w:ind w:left="1630" w:hanging="190"/>
      </w:pPr>
      <w:rPr>
        <w:rFonts w:ascii="Wingdings" w:hAnsi="Wingdings" w:hint="default"/>
      </w:rPr>
    </w:lvl>
    <w:lvl w:ilvl="1" w:tplc="1C090003" w:tentative="1">
      <w:start w:val="1"/>
      <w:numFmt w:val="bullet"/>
      <w:lvlText w:val="o"/>
      <w:lvlJc w:val="left"/>
      <w:pPr>
        <w:tabs>
          <w:tab w:val="num" w:pos="1440"/>
        </w:tabs>
        <w:ind w:left="1440" w:hanging="360"/>
      </w:pPr>
      <w:rPr>
        <w:rFonts w:ascii="Courier New" w:hAnsi="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7A374C9"/>
    <w:multiLevelType w:val="hybridMultilevel"/>
    <w:tmpl w:val="2EC22FF4"/>
    <w:lvl w:ilvl="0" w:tplc="2B30180E">
      <w:start w:val="1"/>
      <w:numFmt w:val="bullet"/>
      <w:lvlText w:val="»"/>
      <w:lvlJc w:val="left"/>
      <w:pPr>
        <w:ind w:left="360" w:hanging="360"/>
      </w:pPr>
      <w:rPr>
        <w:rFonts w:ascii="Arial" w:hAnsi="Arial" w:hint="default"/>
        <w:b w:val="0"/>
        <w:i w:val="0"/>
        <w:color w:val="000000"/>
        <w:sz w:val="18"/>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99E004E"/>
    <w:multiLevelType w:val="hybridMultilevel"/>
    <w:tmpl w:val="ED0EBC80"/>
    <w:lvl w:ilvl="0" w:tplc="48E00C04">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Aria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Arial"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Arial" w:hint="default"/>
      </w:rPr>
    </w:lvl>
    <w:lvl w:ilvl="8" w:tplc="1C090005" w:tentative="1">
      <w:start w:val="1"/>
      <w:numFmt w:val="bullet"/>
      <w:lvlText w:val=""/>
      <w:lvlJc w:val="left"/>
      <w:pPr>
        <w:ind w:left="6120" w:hanging="360"/>
      </w:pPr>
      <w:rPr>
        <w:rFonts w:ascii="Wingdings" w:hAnsi="Wingdings" w:hint="default"/>
      </w:rPr>
    </w:lvl>
  </w:abstractNum>
  <w:abstractNum w:abstractNumId="39" w15:restartNumberingAfterBreak="0">
    <w:nsid w:val="4C4829D3"/>
    <w:multiLevelType w:val="hybridMultilevel"/>
    <w:tmpl w:val="8B327D30"/>
    <w:lvl w:ilvl="0" w:tplc="1C090005">
      <w:start w:val="1"/>
      <w:numFmt w:val="bullet"/>
      <w:lvlText w:val="»"/>
      <w:lvlJc w:val="left"/>
      <w:pPr>
        <w:ind w:left="360" w:hanging="360"/>
      </w:pPr>
      <w:rPr>
        <w:rFonts w:ascii="Arial" w:hAnsi="Arial" w:hint="default"/>
        <w:b w:val="0"/>
        <w:i w:val="0"/>
        <w:color w:val="000000"/>
        <w:sz w:val="18"/>
      </w:rPr>
    </w:lvl>
    <w:lvl w:ilvl="1" w:tplc="1C090003" w:tentative="1">
      <w:start w:val="1"/>
      <w:numFmt w:val="bullet"/>
      <w:lvlText w:val="o"/>
      <w:lvlJc w:val="left"/>
      <w:pPr>
        <w:ind w:left="1080" w:hanging="360"/>
      </w:pPr>
      <w:rPr>
        <w:rFonts w:ascii="Courier New" w:hAnsi="Courier New" w:cs="Aria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Arial"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Arial" w:hint="default"/>
      </w:rPr>
    </w:lvl>
    <w:lvl w:ilvl="8" w:tplc="1C090005" w:tentative="1">
      <w:start w:val="1"/>
      <w:numFmt w:val="bullet"/>
      <w:lvlText w:val=""/>
      <w:lvlJc w:val="left"/>
      <w:pPr>
        <w:ind w:left="6120" w:hanging="360"/>
      </w:pPr>
      <w:rPr>
        <w:rFonts w:ascii="Wingdings" w:hAnsi="Wingdings" w:hint="default"/>
      </w:rPr>
    </w:lvl>
  </w:abstractNum>
  <w:abstractNum w:abstractNumId="40" w15:restartNumberingAfterBreak="0">
    <w:nsid w:val="4D993164"/>
    <w:multiLevelType w:val="hybridMultilevel"/>
    <w:tmpl w:val="2EF49362"/>
    <w:lvl w:ilvl="0" w:tplc="2B30180E">
      <w:start w:val="1"/>
      <w:numFmt w:val="bullet"/>
      <w:lvlText w:val="»"/>
      <w:lvlJc w:val="left"/>
      <w:pPr>
        <w:ind w:left="360" w:hanging="360"/>
      </w:pPr>
      <w:rPr>
        <w:rFonts w:ascii="Arial" w:hAnsi="Arial" w:hint="default"/>
        <w:b w:val="0"/>
        <w:i w:val="0"/>
        <w:color w:val="000000"/>
        <w:sz w:val="18"/>
      </w:rPr>
    </w:lvl>
    <w:lvl w:ilvl="1" w:tplc="1C090003" w:tentative="1">
      <w:start w:val="1"/>
      <w:numFmt w:val="bullet"/>
      <w:lvlText w:val="o"/>
      <w:lvlJc w:val="left"/>
      <w:pPr>
        <w:ind w:left="1080" w:hanging="360"/>
      </w:pPr>
      <w:rPr>
        <w:rFonts w:ascii="Courier New" w:hAnsi="Courier New" w:cs="Aria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Arial"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Arial" w:hint="default"/>
      </w:rPr>
    </w:lvl>
    <w:lvl w:ilvl="8" w:tplc="1C090005" w:tentative="1">
      <w:start w:val="1"/>
      <w:numFmt w:val="bullet"/>
      <w:lvlText w:val=""/>
      <w:lvlJc w:val="left"/>
      <w:pPr>
        <w:ind w:left="6120" w:hanging="360"/>
      </w:pPr>
      <w:rPr>
        <w:rFonts w:ascii="Wingdings" w:hAnsi="Wingdings" w:hint="default"/>
      </w:rPr>
    </w:lvl>
  </w:abstractNum>
  <w:abstractNum w:abstractNumId="41" w15:restartNumberingAfterBreak="0">
    <w:nsid w:val="4F9F576D"/>
    <w:multiLevelType w:val="hybridMultilevel"/>
    <w:tmpl w:val="5D9A4C3E"/>
    <w:lvl w:ilvl="0" w:tplc="19D0A23E">
      <w:start w:val="1"/>
      <w:numFmt w:val="bullet"/>
      <w:lvlText w:val="o"/>
      <w:lvlJc w:val="left"/>
      <w:pPr>
        <w:tabs>
          <w:tab w:val="num" w:pos="1004"/>
        </w:tabs>
        <w:ind w:left="1004" w:hanging="360"/>
      </w:pPr>
      <w:rPr>
        <w:rFonts w:ascii="Courier New" w:hAnsi="Courier New" w:cs="Arial" w:hint="default"/>
      </w:rPr>
    </w:lvl>
    <w:lvl w:ilvl="1" w:tplc="19D0A23E">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4FEA0465"/>
    <w:multiLevelType w:val="hybridMultilevel"/>
    <w:tmpl w:val="72E63A66"/>
    <w:lvl w:ilvl="0" w:tplc="48E00C04">
      <w:start w:val="1"/>
      <w:numFmt w:val="bullet"/>
      <w:lvlText w:val="o"/>
      <w:lvlJc w:val="left"/>
      <w:pPr>
        <w:ind w:left="360" w:hanging="360"/>
      </w:pPr>
      <w:rPr>
        <w:rFonts w:ascii="Courier New" w:hAnsi="Courier New" w:cs="Arial" w:hint="default"/>
      </w:rPr>
    </w:lvl>
    <w:lvl w:ilvl="1" w:tplc="1C090003" w:tentative="1">
      <w:start w:val="1"/>
      <w:numFmt w:val="bullet"/>
      <w:lvlText w:val="o"/>
      <w:lvlJc w:val="left"/>
      <w:pPr>
        <w:ind w:left="1080" w:hanging="360"/>
      </w:pPr>
      <w:rPr>
        <w:rFonts w:ascii="Courier New" w:hAnsi="Courier New" w:cs="Aria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Arial"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Arial" w:hint="default"/>
      </w:rPr>
    </w:lvl>
    <w:lvl w:ilvl="8" w:tplc="1C090005" w:tentative="1">
      <w:start w:val="1"/>
      <w:numFmt w:val="bullet"/>
      <w:lvlText w:val=""/>
      <w:lvlJc w:val="left"/>
      <w:pPr>
        <w:ind w:left="6120" w:hanging="360"/>
      </w:pPr>
      <w:rPr>
        <w:rFonts w:ascii="Wingdings" w:hAnsi="Wingdings" w:hint="default"/>
      </w:rPr>
    </w:lvl>
  </w:abstractNum>
  <w:abstractNum w:abstractNumId="43" w15:restartNumberingAfterBreak="0">
    <w:nsid w:val="50E17BFF"/>
    <w:multiLevelType w:val="hybridMultilevel"/>
    <w:tmpl w:val="945AA36C"/>
    <w:lvl w:ilvl="0" w:tplc="04090003">
      <w:start w:val="1"/>
      <w:numFmt w:val="bullet"/>
      <w:pStyle w:val="Style1"/>
      <w:lvlText w:val=""/>
      <w:lvlJc w:val="left"/>
      <w:pPr>
        <w:tabs>
          <w:tab w:val="num" w:pos="717"/>
        </w:tabs>
        <w:ind w:left="547" w:hanging="190"/>
      </w:pPr>
      <w:rPr>
        <w:rFonts w:ascii="Wingdings" w:hAnsi="Wingdings" w:hint="default"/>
      </w:rPr>
    </w:lvl>
    <w:lvl w:ilvl="1" w:tplc="08F4BF2E"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44" w15:restartNumberingAfterBreak="0">
    <w:nsid w:val="515D228E"/>
    <w:multiLevelType w:val="hybridMultilevel"/>
    <w:tmpl w:val="A080F754"/>
    <w:lvl w:ilvl="0" w:tplc="04090003">
      <w:start w:val="1"/>
      <w:numFmt w:val="bullet"/>
      <w:lvlText w:val="»"/>
      <w:lvlJc w:val="left"/>
      <w:pPr>
        <w:ind w:left="768" w:hanging="360"/>
      </w:pPr>
      <w:rPr>
        <w:rFonts w:ascii="Arial" w:hAnsi="Arial" w:hint="default"/>
        <w:b w:val="0"/>
        <w:i w:val="0"/>
        <w:color w:val="000000"/>
        <w:sz w:val="18"/>
      </w:rPr>
    </w:lvl>
    <w:lvl w:ilvl="1" w:tplc="1C090003" w:tentative="1">
      <w:start w:val="1"/>
      <w:numFmt w:val="bullet"/>
      <w:lvlText w:val="o"/>
      <w:lvlJc w:val="left"/>
      <w:pPr>
        <w:ind w:left="1488" w:hanging="360"/>
      </w:pPr>
      <w:rPr>
        <w:rFonts w:ascii="Courier New" w:hAnsi="Courier New" w:cs="Arial" w:hint="default"/>
      </w:rPr>
    </w:lvl>
    <w:lvl w:ilvl="2" w:tplc="1C090005" w:tentative="1">
      <w:start w:val="1"/>
      <w:numFmt w:val="bullet"/>
      <w:lvlText w:val=""/>
      <w:lvlJc w:val="left"/>
      <w:pPr>
        <w:ind w:left="2208" w:hanging="360"/>
      </w:pPr>
      <w:rPr>
        <w:rFonts w:ascii="Wingdings" w:hAnsi="Wingdings" w:hint="default"/>
      </w:rPr>
    </w:lvl>
    <w:lvl w:ilvl="3" w:tplc="1C090001" w:tentative="1">
      <w:start w:val="1"/>
      <w:numFmt w:val="bullet"/>
      <w:lvlText w:val=""/>
      <w:lvlJc w:val="left"/>
      <w:pPr>
        <w:ind w:left="2928" w:hanging="360"/>
      </w:pPr>
      <w:rPr>
        <w:rFonts w:ascii="Symbol" w:hAnsi="Symbol" w:hint="default"/>
      </w:rPr>
    </w:lvl>
    <w:lvl w:ilvl="4" w:tplc="1C090003" w:tentative="1">
      <w:start w:val="1"/>
      <w:numFmt w:val="bullet"/>
      <w:lvlText w:val="o"/>
      <w:lvlJc w:val="left"/>
      <w:pPr>
        <w:ind w:left="3648" w:hanging="360"/>
      </w:pPr>
      <w:rPr>
        <w:rFonts w:ascii="Courier New" w:hAnsi="Courier New" w:cs="Arial" w:hint="default"/>
      </w:rPr>
    </w:lvl>
    <w:lvl w:ilvl="5" w:tplc="1C090005" w:tentative="1">
      <w:start w:val="1"/>
      <w:numFmt w:val="bullet"/>
      <w:lvlText w:val=""/>
      <w:lvlJc w:val="left"/>
      <w:pPr>
        <w:ind w:left="4368" w:hanging="360"/>
      </w:pPr>
      <w:rPr>
        <w:rFonts w:ascii="Wingdings" w:hAnsi="Wingdings" w:hint="default"/>
      </w:rPr>
    </w:lvl>
    <w:lvl w:ilvl="6" w:tplc="1C090001" w:tentative="1">
      <w:start w:val="1"/>
      <w:numFmt w:val="bullet"/>
      <w:lvlText w:val=""/>
      <w:lvlJc w:val="left"/>
      <w:pPr>
        <w:ind w:left="5088" w:hanging="360"/>
      </w:pPr>
      <w:rPr>
        <w:rFonts w:ascii="Symbol" w:hAnsi="Symbol" w:hint="default"/>
      </w:rPr>
    </w:lvl>
    <w:lvl w:ilvl="7" w:tplc="1C090003" w:tentative="1">
      <w:start w:val="1"/>
      <w:numFmt w:val="bullet"/>
      <w:lvlText w:val="o"/>
      <w:lvlJc w:val="left"/>
      <w:pPr>
        <w:ind w:left="5808" w:hanging="360"/>
      </w:pPr>
      <w:rPr>
        <w:rFonts w:ascii="Courier New" w:hAnsi="Courier New" w:cs="Arial" w:hint="default"/>
      </w:rPr>
    </w:lvl>
    <w:lvl w:ilvl="8" w:tplc="1C090005" w:tentative="1">
      <w:start w:val="1"/>
      <w:numFmt w:val="bullet"/>
      <w:lvlText w:val=""/>
      <w:lvlJc w:val="left"/>
      <w:pPr>
        <w:ind w:left="6528" w:hanging="360"/>
      </w:pPr>
      <w:rPr>
        <w:rFonts w:ascii="Wingdings" w:hAnsi="Wingdings" w:hint="default"/>
      </w:rPr>
    </w:lvl>
  </w:abstractNum>
  <w:abstractNum w:abstractNumId="45" w15:restartNumberingAfterBreak="0">
    <w:nsid w:val="517D5E6B"/>
    <w:multiLevelType w:val="hybridMultilevel"/>
    <w:tmpl w:val="FFF4ED16"/>
    <w:lvl w:ilvl="0" w:tplc="0264F0C8">
      <w:start w:val="1"/>
      <w:numFmt w:val="bullet"/>
      <w:lvlText w:val="»"/>
      <w:lvlJc w:val="left"/>
      <w:pPr>
        <w:ind w:left="360" w:hanging="360"/>
      </w:pPr>
      <w:rPr>
        <w:rFonts w:ascii="Arial" w:hAnsi="Arial" w:hint="default"/>
        <w:b w:val="0"/>
        <w:i w:val="0"/>
        <w:color w:val="000000"/>
        <w:sz w:val="18"/>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1C82F91"/>
    <w:multiLevelType w:val="hybridMultilevel"/>
    <w:tmpl w:val="2E942B5E"/>
    <w:lvl w:ilvl="0" w:tplc="48E00C04">
      <w:start w:val="1"/>
      <w:numFmt w:val="bullet"/>
      <w:lvlText w:val="»"/>
      <w:lvlJc w:val="left"/>
      <w:pPr>
        <w:ind w:left="360" w:hanging="360"/>
      </w:pPr>
      <w:rPr>
        <w:rFonts w:ascii="Arial" w:hAnsi="Arial" w:hint="default"/>
        <w:b w:val="0"/>
        <w:i w:val="0"/>
        <w:color w:val="000000"/>
        <w:sz w:val="18"/>
      </w:rPr>
    </w:lvl>
    <w:lvl w:ilvl="1" w:tplc="1C090003" w:tentative="1">
      <w:start w:val="1"/>
      <w:numFmt w:val="bullet"/>
      <w:lvlText w:val="o"/>
      <w:lvlJc w:val="left"/>
      <w:pPr>
        <w:ind w:left="1080" w:hanging="360"/>
      </w:pPr>
      <w:rPr>
        <w:rFonts w:ascii="Courier New" w:hAnsi="Courier New" w:cs="Aria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Arial"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Arial" w:hint="default"/>
      </w:rPr>
    </w:lvl>
    <w:lvl w:ilvl="8" w:tplc="1C090005" w:tentative="1">
      <w:start w:val="1"/>
      <w:numFmt w:val="bullet"/>
      <w:lvlText w:val=""/>
      <w:lvlJc w:val="left"/>
      <w:pPr>
        <w:ind w:left="6120" w:hanging="360"/>
      </w:pPr>
      <w:rPr>
        <w:rFonts w:ascii="Wingdings" w:hAnsi="Wingdings" w:hint="default"/>
      </w:rPr>
    </w:lvl>
  </w:abstractNum>
  <w:abstractNum w:abstractNumId="47" w15:restartNumberingAfterBreak="0">
    <w:nsid w:val="51E46AB0"/>
    <w:multiLevelType w:val="hybridMultilevel"/>
    <w:tmpl w:val="63A408DA"/>
    <w:lvl w:ilvl="0" w:tplc="48E00C04">
      <w:start w:val="1"/>
      <w:numFmt w:val="bullet"/>
      <w:lvlText w:val="»"/>
      <w:lvlJc w:val="left"/>
      <w:pPr>
        <w:ind w:left="360" w:hanging="360"/>
      </w:pPr>
      <w:rPr>
        <w:rFonts w:ascii="Arial" w:hAnsi="Arial" w:hint="default"/>
        <w:b w:val="0"/>
        <w:i w:val="0"/>
        <w:color w:val="000000"/>
        <w:sz w:val="18"/>
      </w:rPr>
    </w:lvl>
    <w:lvl w:ilvl="1" w:tplc="1C090003">
      <w:start w:val="1"/>
      <w:numFmt w:val="bullet"/>
      <w:lvlText w:val="o"/>
      <w:lvlJc w:val="left"/>
      <w:pPr>
        <w:ind w:left="1080" w:hanging="360"/>
      </w:pPr>
      <w:rPr>
        <w:rFonts w:ascii="Courier New" w:hAnsi="Courier New" w:cs="Aria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Arial"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Arial" w:hint="default"/>
      </w:rPr>
    </w:lvl>
    <w:lvl w:ilvl="8" w:tplc="1C090005" w:tentative="1">
      <w:start w:val="1"/>
      <w:numFmt w:val="bullet"/>
      <w:lvlText w:val=""/>
      <w:lvlJc w:val="left"/>
      <w:pPr>
        <w:ind w:left="6120" w:hanging="360"/>
      </w:pPr>
      <w:rPr>
        <w:rFonts w:ascii="Wingdings" w:hAnsi="Wingdings" w:hint="default"/>
      </w:rPr>
    </w:lvl>
  </w:abstractNum>
  <w:abstractNum w:abstractNumId="48" w15:restartNumberingAfterBreak="0">
    <w:nsid w:val="54323E9B"/>
    <w:multiLevelType w:val="hybridMultilevel"/>
    <w:tmpl w:val="2032623C"/>
    <w:lvl w:ilvl="0" w:tplc="48E00C04">
      <w:start w:val="1"/>
      <w:numFmt w:val="bullet"/>
      <w:lvlText w:val="o"/>
      <w:lvlJc w:val="left"/>
      <w:pPr>
        <w:ind w:left="720" w:hanging="360"/>
      </w:pPr>
      <w:rPr>
        <w:rFonts w:ascii="Courier New" w:hAnsi="Courier New" w:cs="Arial" w:hint="default"/>
      </w:rPr>
    </w:lvl>
    <w:lvl w:ilvl="1" w:tplc="1C090003">
      <w:start w:val="1"/>
      <w:numFmt w:val="bullet"/>
      <w:lvlText w:val="o"/>
      <w:lvlJc w:val="left"/>
      <w:pPr>
        <w:ind w:left="1440" w:hanging="360"/>
      </w:pPr>
      <w:rPr>
        <w:rFonts w:ascii="Courier New" w:hAnsi="Courier New"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Arial"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Arial"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57784FFA"/>
    <w:multiLevelType w:val="hybridMultilevel"/>
    <w:tmpl w:val="D33076A4"/>
    <w:lvl w:ilvl="0" w:tplc="39BE818E">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9B08D1"/>
    <w:multiLevelType w:val="hybridMultilevel"/>
    <w:tmpl w:val="B8FE9E9A"/>
    <w:lvl w:ilvl="0" w:tplc="A0240E0A">
      <w:start w:val="1"/>
      <w:numFmt w:val="bullet"/>
      <w:lvlText w:val="»"/>
      <w:lvlJc w:val="left"/>
      <w:pPr>
        <w:ind w:left="360" w:hanging="360"/>
      </w:pPr>
      <w:rPr>
        <w:rFonts w:ascii="Arial" w:hAnsi="Arial" w:hint="default"/>
        <w:b w:val="0"/>
        <w:i w:val="0"/>
        <w:color w:val="000000"/>
        <w:sz w:val="18"/>
      </w:rPr>
    </w:lvl>
    <w:lvl w:ilvl="1" w:tplc="E1B8E2EA" w:tentative="1">
      <w:start w:val="1"/>
      <w:numFmt w:val="bullet"/>
      <w:lvlText w:val="o"/>
      <w:lvlJc w:val="left"/>
      <w:pPr>
        <w:ind w:left="1080" w:hanging="360"/>
      </w:pPr>
      <w:rPr>
        <w:rFonts w:ascii="Courier New" w:hAnsi="Courier New" w:cs="Arial" w:hint="default"/>
      </w:rPr>
    </w:lvl>
    <w:lvl w:ilvl="2" w:tplc="BCD4906C" w:tentative="1">
      <w:start w:val="1"/>
      <w:numFmt w:val="bullet"/>
      <w:lvlText w:val=""/>
      <w:lvlJc w:val="left"/>
      <w:pPr>
        <w:ind w:left="1800" w:hanging="360"/>
      </w:pPr>
      <w:rPr>
        <w:rFonts w:ascii="Wingdings" w:hAnsi="Wingdings" w:hint="default"/>
      </w:rPr>
    </w:lvl>
    <w:lvl w:ilvl="3" w:tplc="0448A034" w:tentative="1">
      <w:start w:val="1"/>
      <w:numFmt w:val="bullet"/>
      <w:lvlText w:val=""/>
      <w:lvlJc w:val="left"/>
      <w:pPr>
        <w:ind w:left="2520" w:hanging="360"/>
      </w:pPr>
      <w:rPr>
        <w:rFonts w:ascii="Symbol" w:hAnsi="Symbol" w:hint="default"/>
      </w:rPr>
    </w:lvl>
    <w:lvl w:ilvl="4" w:tplc="5FA24B22" w:tentative="1">
      <w:start w:val="1"/>
      <w:numFmt w:val="bullet"/>
      <w:lvlText w:val="o"/>
      <w:lvlJc w:val="left"/>
      <w:pPr>
        <w:ind w:left="3240" w:hanging="360"/>
      </w:pPr>
      <w:rPr>
        <w:rFonts w:ascii="Courier New" w:hAnsi="Courier New" w:cs="Arial" w:hint="default"/>
      </w:rPr>
    </w:lvl>
    <w:lvl w:ilvl="5" w:tplc="E24C1974" w:tentative="1">
      <w:start w:val="1"/>
      <w:numFmt w:val="bullet"/>
      <w:lvlText w:val=""/>
      <w:lvlJc w:val="left"/>
      <w:pPr>
        <w:ind w:left="3960" w:hanging="360"/>
      </w:pPr>
      <w:rPr>
        <w:rFonts w:ascii="Wingdings" w:hAnsi="Wingdings" w:hint="default"/>
      </w:rPr>
    </w:lvl>
    <w:lvl w:ilvl="6" w:tplc="FB188BBE" w:tentative="1">
      <w:start w:val="1"/>
      <w:numFmt w:val="bullet"/>
      <w:lvlText w:val=""/>
      <w:lvlJc w:val="left"/>
      <w:pPr>
        <w:ind w:left="4680" w:hanging="360"/>
      </w:pPr>
      <w:rPr>
        <w:rFonts w:ascii="Symbol" w:hAnsi="Symbol" w:hint="default"/>
      </w:rPr>
    </w:lvl>
    <w:lvl w:ilvl="7" w:tplc="97C01E4E" w:tentative="1">
      <w:start w:val="1"/>
      <w:numFmt w:val="bullet"/>
      <w:lvlText w:val="o"/>
      <w:lvlJc w:val="left"/>
      <w:pPr>
        <w:ind w:left="5400" w:hanging="360"/>
      </w:pPr>
      <w:rPr>
        <w:rFonts w:ascii="Courier New" w:hAnsi="Courier New" w:cs="Arial" w:hint="default"/>
      </w:rPr>
    </w:lvl>
    <w:lvl w:ilvl="8" w:tplc="F6885C22" w:tentative="1">
      <w:start w:val="1"/>
      <w:numFmt w:val="bullet"/>
      <w:lvlText w:val=""/>
      <w:lvlJc w:val="left"/>
      <w:pPr>
        <w:ind w:left="6120" w:hanging="360"/>
      </w:pPr>
      <w:rPr>
        <w:rFonts w:ascii="Wingdings" w:hAnsi="Wingdings" w:hint="default"/>
      </w:rPr>
    </w:lvl>
  </w:abstractNum>
  <w:abstractNum w:abstractNumId="51" w15:restartNumberingAfterBreak="0">
    <w:nsid w:val="5A48412A"/>
    <w:multiLevelType w:val="hybridMultilevel"/>
    <w:tmpl w:val="A6E0575E"/>
    <w:lvl w:ilvl="0" w:tplc="3BA0BF76">
      <w:start w:val="1"/>
      <w:numFmt w:val="bullet"/>
      <w:pStyle w:val="Style2"/>
      <w:lvlText w:val=""/>
      <w:lvlJc w:val="left"/>
      <w:pPr>
        <w:tabs>
          <w:tab w:val="num" w:pos="717"/>
        </w:tabs>
        <w:ind w:left="547" w:hanging="190"/>
      </w:pPr>
      <w:rPr>
        <w:rFonts w:ascii="Wingdings" w:hAnsi="Wingdings" w:hint="default"/>
      </w:rPr>
    </w:lvl>
    <w:lvl w:ilvl="1" w:tplc="1C090003">
      <w:start w:val="1"/>
      <w:numFmt w:val="bullet"/>
      <w:lvlText w:val="o"/>
      <w:lvlJc w:val="left"/>
      <w:pPr>
        <w:tabs>
          <w:tab w:val="num" w:pos="1440"/>
        </w:tabs>
        <w:ind w:left="1440" w:hanging="360"/>
      </w:pPr>
      <w:rPr>
        <w:rFonts w:ascii="Courier New" w:hAnsi="Courier New" w:cs="Arial" w:hint="default"/>
      </w:rPr>
    </w:lvl>
    <w:lvl w:ilvl="2" w:tplc="1C090005" w:tentative="1">
      <w:start w:val="1"/>
      <w:numFmt w:val="lowerRoman"/>
      <w:lvlText w:val="%3."/>
      <w:lvlJc w:val="right"/>
      <w:pPr>
        <w:tabs>
          <w:tab w:val="num" w:pos="2160"/>
        </w:tabs>
        <w:ind w:left="2160" w:hanging="180"/>
      </w:pPr>
    </w:lvl>
    <w:lvl w:ilvl="3" w:tplc="1C090001">
      <w:start w:val="1"/>
      <w:numFmt w:val="decimal"/>
      <w:lvlText w:val="%4."/>
      <w:lvlJc w:val="left"/>
      <w:pPr>
        <w:tabs>
          <w:tab w:val="num" w:pos="2880"/>
        </w:tabs>
        <w:ind w:left="2880" w:hanging="360"/>
      </w:pPr>
    </w:lvl>
    <w:lvl w:ilvl="4" w:tplc="1C090003" w:tentative="1">
      <w:start w:val="1"/>
      <w:numFmt w:val="lowerLetter"/>
      <w:lvlText w:val="%5."/>
      <w:lvlJc w:val="left"/>
      <w:pPr>
        <w:tabs>
          <w:tab w:val="num" w:pos="3600"/>
        </w:tabs>
        <w:ind w:left="3600" w:hanging="360"/>
      </w:pPr>
    </w:lvl>
    <w:lvl w:ilvl="5" w:tplc="1C090005" w:tentative="1">
      <w:start w:val="1"/>
      <w:numFmt w:val="lowerRoman"/>
      <w:lvlText w:val="%6."/>
      <w:lvlJc w:val="right"/>
      <w:pPr>
        <w:tabs>
          <w:tab w:val="num" w:pos="4320"/>
        </w:tabs>
        <w:ind w:left="4320" w:hanging="180"/>
      </w:pPr>
    </w:lvl>
    <w:lvl w:ilvl="6" w:tplc="1C090001" w:tentative="1">
      <w:start w:val="1"/>
      <w:numFmt w:val="decimal"/>
      <w:lvlText w:val="%7."/>
      <w:lvlJc w:val="left"/>
      <w:pPr>
        <w:tabs>
          <w:tab w:val="num" w:pos="5040"/>
        </w:tabs>
        <w:ind w:left="5040" w:hanging="360"/>
      </w:pPr>
    </w:lvl>
    <w:lvl w:ilvl="7" w:tplc="1C090003" w:tentative="1">
      <w:start w:val="1"/>
      <w:numFmt w:val="lowerLetter"/>
      <w:lvlText w:val="%8."/>
      <w:lvlJc w:val="left"/>
      <w:pPr>
        <w:tabs>
          <w:tab w:val="num" w:pos="5760"/>
        </w:tabs>
        <w:ind w:left="5760" w:hanging="360"/>
      </w:pPr>
    </w:lvl>
    <w:lvl w:ilvl="8" w:tplc="1C090005" w:tentative="1">
      <w:start w:val="1"/>
      <w:numFmt w:val="lowerRoman"/>
      <w:lvlText w:val="%9."/>
      <w:lvlJc w:val="right"/>
      <w:pPr>
        <w:tabs>
          <w:tab w:val="num" w:pos="6480"/>
        </w:tabs>
        <w:ind w:left="6480" w:hanging="180"/>
      </w:pPr>
    </w:lvl>
  </w:abstractNum>
  <w:abstractNum w:abstractNumId="52" w15:restartNumberingAfterBreak="0">
    <w:nsid w:val="5B0A5963"/>
    <w:multiLevelType w:val="hybridMultilevel"/>
    <w:tmpl w:val="D47E98C2"/>
    <w:lvl w:ilvl="0" w:tplc="E60E222C">
      <w:start w:val="1"/>
      <w:numFmt w:val="bullet"/>
      <w:lvlText w:val="»"/>
      <w:lvlJc w:val="left"/>
      <w:pPr>
        <w:ind w:left="360" w:hanging="360"/>
      </w:pPr>
      <w:rPr>
        <w:rFonts w:ascii="Arial" w:hAnsi="Arial" w:hint="default"/>
        <w:b w:val="0"/>
        <w:i w:val="0"/>
        <w:color w:val="000000"/>
        <w:sz w:val="18"/>
      </w:rPr>
    </w:lvl>
    <w:lvl w:ilvl="1" w:tplc="08090003" w:tentative="1">
      <w:start w:val="1"/>
      <w:numFmt w:val="bullet"/>
      <w:lvlText w:val="o"/>
      <w:lvlJc w:val="left"/>
      <w:pPr>
        <w:ind w:left="1080" w:hanging="360"/>
      </w:pPr>
      <w:rPr>
        <w:rFonts w:ascii="Courier New" w:hAnsi="Courier New" w:cs="Arial"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Arial"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Arial" w:hint="default"/>
      </w:rPr>
    </w:lvl>
    <w:lvl w:ilvl="8" w:tplc="0409001B" w:tentative="1">
      <w:start w:val="1"/>
      <w:numFmt w:val="bullet"/>
      <w:lvlText w:val=""/>
      <w:lvlJc w:val="left"/>
      <w:pPr>
        <w:ind w:left="6120" w:hanging="360"/>
      </w:pPr>
      <w:rPr>
        <w:rFonts w:ascii="Wingdings" w:hAnsi="Wingdings" w:hint="default"/>
      </w:rPr>
    </w:lvl>
  </w:abstractNum>
  <w:abstractNum w:abstractNumId="53" w15:restartNumberingAfterBreak="0">
    <w:nsid w:val="5DBC45A4"/>
    <w:multiLevelType w:val="hybridMultilevel"/>
    <w:tmpl w:val="DD14CAF0"/>
    <w:lvl w:ilvl="0" w:tplc="2320D4F0">
      <w:start w:val="1"/>
      <w:numFmt w:val="bullet"/>
      <w:lvlText w:val=""/>
      <w:lvlJc w:val="left"/>
      <w:pPr>
        <w:tabs>
          <w:tab w:val="num" w:pos="572"/>
        </w:tabs>
        <w:ind w:left="572" w:hanging="288"/>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E0B0A44"/>
    <w:multiLevelType w:val="hybridMultilevel"/>
    <w:tmpl w:val="1C22A75A"/>
    <w:lvl w:ilvl="0" w:tplc="19D0A23E">
      <w:start w:val="1"/>
      <w:numFmt w:val="bullet"/>
      <w:lvlText w:val="»"/>
      <w:lvlJc w:val="left"/>
      <w:pPr>
        <w:ind w:left="360" w:hanging="360"/>
      </w:pPr>
      <w:rPr>
        <w:rFonts w:ascii="Arial" w:hAnsi="Arial" w:hint="default"/>
        <w:b w:val="0"/>
        <w:i w:val="0"/>
        <w:color w:val="000000"/>
        <w:sz w:val="18"/>
      </w:rPr>
    </w:lvl>
    <w:lvl w:ilvl="1" w:tplc="1C090003" w:tentative="1">
      <w:start w:val="1"/>
      <w:numFmt w:val="bullet"/>
      <w:lvlText w:val="o"/>
      <w:lvlJc w:val="left"/>
      <w:pPr>
        <w:ind w:left="1080" w:hanging="360"/>
      </w:pPr>
      <w:rPr>
        <w:rFonts w:ascii="Courier New" w:hAnsi="Courier New" w:cs="Aria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Arial"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Arial" w:hint="default"/>
      </w:rPr>
    </w:lvl>
    <w:lvl w:ilvl="8" w:tplc="1C090005" w:tentative="1">
      <w:start w:val="1"/>
      <w:numFmt w:val="bullet"/>
      <w:lvlText w:val=""/>
      <w:lvlJc w:val="left"/>
      <w:pPr>
        <w:ind w:left="6120" w:hanging="360"/>
      </w:pPr>
      <w:rPr>
        <w:rFonts w:ascii="Wingdings" w:hAnsi="Wingdings" w:hint="default"/>
      </w:rPr>
    </w:lvl>
  </w:abstractNum>
  <w:abstractNum w:abstractNumId="55" w15:restartNumberingAfterBreak="0">
    <w:nsid w:val="62454C26"/>
    <w:multiLevelType w:val="hybridMultilevel"/>
    <w:tmpl w:val="CF06B612"/>
    <w:lvl w:ilvl="0" w:tplc="1FD204E0">
      <w:start w:val="1"/>
      <w:numFmt w:val="bullet"/>
      <w:lvlText w:val="»"/>
      <w:lvlJc w:val="left"/>
      <w:pPr>
        <w:tabs>
          <w:tab w:val="num" w:pos="360"/>
        </w:tabs>
        <w:ind w:left="284" w:hanging="284"/>
      </w:pPr>
      <w:rPr>
        <w:rFonts w:ascii="Arial" w:hAnsi="Arial" w:hint="default"/>
        <w:b w:val="0"/>
        <w:i w:val="0"/>
        <w:strike w:val="0"/>
        <w:color w:val="000000"/>
        <w:sz w:val="18"/>
      </w:rPr>
    </w:lvl>
    <w:lvl w:ilvl="1" w:tplc="6EFAE522">
      <w:start w:val="1"/>
      <w:numFmt w:val="bullet"/>
      <w:lvlText w:val="o"/>
      <w:lvlJc w:val="left"/>
      <w:pPr>
        <w:tabs>
          <w:tab w:val="num" w:pos="1080"/>
        </w:tabs>
        <w:ind w:left="1080" w:hanging="360"/>
      </w:pPr>
      <w:rPr>
        <w:rFonts w:ascii="Courier New" w:hAnsi="Courier New" w:hint="default"/>
      </w:rPr>
    </w:lvl>
    <w:lvl w:ilvl="2" w:tplc="EEC82894"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66546533"/>
    <w:multiLevelType w:val="hybridMultilevel"/>
    <w:tmpl w:val="BC081140"/>
    <w:lvl w:ilvl="0" w:tplc="48E00C04">
      <w:start w:val="1"/>
      <w:numFmt w:val="bullet"/>
      <w:lvlText w:val=""/>
      <w:lvlJc w:val="left"/>
      <w:pPr>
        <w:ind w:left="360" w:hanging="360"/>
      </w:pPr>
      <w:rPr>
        <w:rFonts w:ascii="Symbol" w:hAnsi="Symbol" w:hint="default"/>
        <w:b w:val="0"/>
        <w:i w:val="0"/>
        <w:color w:val="000000"/>
        <w:sz w:val="20"/>
      </w:rPr>
    </w:lvl>
    <w:lvl w:ilvl="1" w:tplc="1C090003" w:tentative="1">
      <w:start w:val="1"/>
      <w:numFmt w:val="bullet"/>
      <w:lvlText w:val="o"/>
      <w:lvlJc w:val="left"/>
      <w:pPr>
        <w:ind w:left="1080" w:hanging="360"/>
      </w:pPr>
      <w:rPr>
        <w:rFonts w:ascii="Courier New" w:hAnsi="Courier New" w:cs="Aria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Arial"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Arial" w:hint="default"/>
      </w:rPr>
    </w:lvl>
    <w:lvl w:ilvl="8" w:tplc="1C090005" w:tentative="1">
      <w:start w:val="1"/>
      <w:numFmt w:val="bullet"/>
      <w:lvlText w:val=""/>
      <w:lvlJc w:val="left"/>
      <w:pPr>
        <w:ind w:left="6120" w:hanging="360"/>
      </w:pPr>
      <w:rPr>
        <w:rFonts w:ascii="Wingdings" w:hAnsi="Wingdings" w:hint="default"/>
      </w:rPr>
    </w:lvl>
  </w:abstractNum>
  <w:abstractNum w:abstractNumId="57" w15:restartNumberingAfterBreak="0">
    <w:nsid w:val="69AA6B37"/>
    <w:multiLevelType w:val="hybridMultilevel"/>
    <w:tmpl w:val="C1FC8A30"/>
    <w:lvl w:ilvl="0" w:tplc="1FD204E0">
      <w:start w:val="1"/>
      <w:numFmt w:val="bullet"/>
      <w:lvlText w:val="»"/>
      <w:lvlJc w:val="left"/>
      <w:pPr>
        <w:ind w:left="360" w:hanging="360"/>
      </w:pPr>
      <w:rPr>
        <w:rFonts w:ascii="Arial" w:hAnsi="Arial" w:hint="default"/>
        <w:b w:val="0"/>
        <w:i w:val="0"/>
        <w:strike w:val="0"/>
        <w:color w:val="000000"/>
        <w:sz w:val="18"/>
      </w:rPr>
    </w:lvl>
    <w:lvl w:ilvl="1" w:tplc="1C090003">
      <w:start w:val="1"/>
      <w:numFmt w:val="bullet"/>
      <w:lvlText w:val="-"/>
      <w:lvlJc w:val="left"/>
      <w:pPr>
        <w:ind w:left="1080" w:hanging="360"/>
      </w:pPr>
      <w:rPr>
        <w:rFonts w:ascii="Courier New" w:hAnsi="Courier New" w:hint="default"/>
        <w:b w:val="0"/>
        <w:i w:val="0"/>
        <w:strike w:val="0"/>
        <w:color w:val="000000"/>
        <w:sz w:val="18"/>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8" w15:restartNumberingAfterBreak="0">
    <w:nsid w:val="69B80BF5"/>
    <w:multiLevelType w:val="hybridMultilevel"/>
    <w:tmpl w:val="DD8A883E"/>
    <w:lvl w:ilvl="0" w:tplc="48E00C04">
      <w:start w:val="1"/>
      <w:numFmt w:val="bullet"/>
      <w:lvlText w:val="»"/>
      <w:lvlJc w:val="left"/>
      <w:pPr>
        <w:ind w:left="360" w:hanging="360"/>
      </w:pPr>
      <w:rPr>
        <w:rFonts w:ascii="Arial" w:hAnsi="Arial" w:hint="default"/>
        <w:b w:val="0"/>
        <w:i w:val="0"/>
        <w:color w:val="000000"/>
        <w:sz w:val="18"/>
      </w:rPr>
    </w:lvl>
    <w:lvl w:ilvl="1" w:tplc="1C090003" w:tentative="1">
      <w:start w:val="1"/>
      <w:numFmt w:val="bullet"/>
      <w:lvlText w:val="o"/>
      <w:lvlJc w:val="left"/>
      <w:pPr>
        <w:ind w:left="1080" w:hanging="360"/>
      </w:pPr>
      <w:rPr>
        <w:rFonts w:ascii="Courier New" w:hAnsi="Courier New" w:cs="Aria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Arial"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Arial" w:hint="default"/>
      </w:rPr>
    </w:lvl>
    <w:lvl w:ilvl="8" w:tplc="1C090005" w:tentative="1">
      <w:start w:val="1"/>
      <w:numFmt w:val="bullet"/>
      <w:lvlText w:val=""/>
      <w:lvlJc w:val="left"/>
      <w:pPr>
        <w:ind w:left="6120" w:hanging="360"/>
      </w:pPr>
      <w:rPr>
        <w:rFonts w:ascii="Wingdings" w:hAnsi="Wingdings" w:hint="default"/>
      </w:rPr>
    </w:lvl>
  </w:abstractNum>
  <w:abstractNum w:abstractNumId="59" w15:restartNumberingAfterBreak="0">
    <w:nsid w:val="6A5469A2"/>
    <w:multiLevelType w:val="hybridMultilevel"/>
    <w:tmpl w:val="94C4C896"/>
    <w:lvl w:ilvl="0" w:tplc="1C090003">
      <w:start w:val="1"/>
      <w:numFmt w:val="bullet"/>
      <w:lvlText w:val="-"/>
      <w:lvlJc w:val="left"/>
      <w:pPr>
        <w:ind w:left="360" w:hanging="360"/>
      </w:pPr>
      <w:rPr>
        <w:rFonts w:ascii="Courier New" w:hAnsi="Courier New" w:hint="default"/>
        <w:b w:val="0"/>
        <w:i w:val="0"/>
        <w:strike w:val="0"/>
        <w:color w:val="000000"/>
        <w:sz w:val="18"/>
      </w:rPr>
    </w:lvl>
    <w:lvl w:ilvl="1" w:tplc="1FD204E0">
      <w:start w:val="1"/>
      <w:numFmt w:val="bullet"/>
      <w:lvlText w:val="»"/>
      <w:lvlJc w:val="left"/>
      <w:pPr>
        <w:ind w:left="1080" w:hanging="360"/>
      </w:pPr>
      <w:rPr>
        <w:rFonts w:ascii="Arial" w:hAnsi="Arial" w:hint="default"/>
        <w:b w:val="0"/>
        <w:i w:val="0"/>
        <w:strike w:val="0"/>
        <w:color w:val="000000"/>
        <w:sz w:val="18"/>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0" w15:restartNumberingAfterBreak="0">
    <w:nsid w:val="6AE10490"/>
    <w:multiLevelType w:val="hybridMultilevel"/>
    <w:tmpl w:val="8124B1CA"/>
    <w:lvl w:ilvl="0" w:tplc="48E00C04">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1" w15:restartNumberingAfterBreak="0">
    <w:nsid w:val="6B172890"/>
    <w:multiLevelType w:val="hybridMultilevel"/>
    <w:tmpl w:val="877AB7B0"/>
    <w:lvl w:ilvl="0" w:tplc="04090001">
      <w:start w:val="1"/>
      <w:numFmt w:val="bullet"/>
      <w:lvlText w:val="»"/>
      <w:lvlJc w:val="left"/>
      <w:pPr>
        <w:ind w:left="-48" w:hanging="360"/>
      </w:pPr>
      <w:rPr>
        <w:rFonts w:ascii="Arial" w:hAnsi="Arial" w:hint="default"/>
        <w:b w:val="0"/>
        <w:i w:val="0"/>
        <w:color w:val="000000"/>
        <w:sz w:val="18"/>
      </w:rPr>
    </w:lvl>
    <w:lvl w:ilvl="1" w:tplc="04090003" w:tentative="1">
      <w:start w:val="1"/>
      <w:numFmt w:val="bullet"/>
      <w:lvlText w:val="o"/>
      <w:lvlJc w:val="left"/>
      <w:pPr>
        <w:ind w:left="672" w:hanging="360"/>
      </w:pPr>
      <w:rPr>
        <w:rFonts w:ascii="Courier New" w:hAnsi="Courier New" w:cs="Arial" w:hint="default"/>
      </w:rPr>
    </w:lvl>
    <w:lvl w:ilvl="2" w:tplc="04090005" w:tentative="1">
      <w:start w:val="1"/>
      <w:numFmt w:val="bullet"/>
      <w:lvlText w:val=""/>
      <w:lvlJc w:val="left"/>
      <w:pPr>
        <w:ind w:left="1392" w:hanging="360"/>
      </w:pPr>
      <w:rPr>
        <w:rFonts w:ascii="Wingdings" w:hAnsi="Wingdings" w:hint="default"/>
      </w:rPr>
    </w:lvl>
    <w:lvl w:ilvl="3" w:tplc="04090001" w:tentative="1">
      <w:start w:val="1"/>
      <w:numFmt w:val="bullet"/>
      <w:lvlText w:val=""/>
      <w:lvlJc w:val="left"/>
      <w:pPr>
        <w:ind w:left="2112" w:hanging="360"/>
      </w:pPr>
      <w:rPr>
        <w:rFonts w:ascii="Symbol" w:hAnsi="Symbol" w:hint="default"/>
      </w:rPr>
    </w:lvl>
    <w:lvl w:ilvl="4" w:tplc="04090003" w:tentative="1">
      <w:start w:val="1"/>
      <w:numFmt w:val="bullet"/>
      <w:lvlText w:val="o"/>
      <w:lvlJc w:val="left"/>
      <w:pPr>
        <w:ind w:left="2832" w:hanging="360"/>
      </w:pPr>
      <w:rPr>
        <w:rFonts w:ascii="Courier New" w:hAnsi="Courier New" w:cs="Arial" w:hint="default"/>
      </w:rPr>
    </w:lvl>
    <w:lvl w:ilvl="5" w:tplc="04090005" w:tentative="1">
      <w:start w:val="1"/>
      <w:numFmt w:val="bullet"/>
      <w:lvlText w:val=""/>
      <w:lvlJc w:val="left"/>
      <w:pPr>
        <w:ind w:left="3552" w:hanging="360"/>
      </w:pPr>
      <w:rPr>
        <w:rFonts w:ascii="Wingdings" w:hAnsi="Wingdings" w:hint="default"/>
      </w:rPr>
    </w:lvl>
    <w:lvl w:ilvl="6" w:tplc="04090001" w:tentative="1">
      <w:start w:val="1"/>
      <w:numFmt w:val="bullet"/>
      <w:lvlText w:val=""/>
      <w:lvlJc w:val="left"/>
      <w:pPr>
        <w:ind w:left="4272" w:hanging="360"/>
      </w:pPr>
      <w:rPr>
        <w:rFonts w:ascii="Symbol" w:hAnsi="Symbol" w:hint="default"/>
      </w:rPr>
    </w:lvl>
    <w:lvl w:ilvl="7" w:tplc="04090003" w:tentative="1">
      <w:start w:val="1"/>
      <w:numFmt w:val="bullet"/>
      <w:lvlText w:val="o"/>
      <w:lvlJc w:val="left"/>
      <w:pPr>
        <w:ind w:left="4992" w:hanging="360"/>
      </w:pPr>
      <w:rPr>
        <w:rFonts w:ascii="Courier New" w:hAnsi="Courier New" w:cs="Arial" w:hint="default"/>
      </w:rPr>
    </w:lvl>
    <w:lvl w:ilvl="8" w:tplc="04090005" w:tentative="1">
      <w:start w:val="1"/>
      <w:numFmt w:val="bullet"/>
      <w:lvlText w:val=""/>
      <w:lvlJc w:val="left"/>
      <w:pPr>
        <w:ind w:left="5712" w:hanging="360"/>
      </w:pPr>
      <w:rPr>
        <w:rFonts w:ascii="Wingdings" w:hAnsi="Wingdings" w:hint="default"/>
      </w:rPr>
    </w:lvl>
  </w:abstractNum>
  <w:abstractNum w:abstractNumId="62" w15:restartNumberingAfterBreak="0">
    <w:nsid w:val="6DBC06D8"/>
    <w:multiLevelType w:val="hybridMultilevel"/>
    <w:tmpl w:val="6B5AEFA6"/>
    <w:lvl w:ilvl="0" w:tplc="1FD204E0">
      <w:start w:val="1"/>
      <w:numFmt w:val="bullet"/>
      <w:lvlText w:val="»"/>
      <w:lvlJc w:val="left"/>
      <w:pPr>
        <w:ind w:left="360" w:hanging="360"/>
      </w:pPr>
      <w:rPr>
        <w:rFonts w:ascii="Arial" w:hAnsi="Arial" w:hint="default"/>
        <w:b w:val="0"/>
        <w:i w:val="0"/>
        <w:strike w:val="0"/>
        <w:color w:val="000000"/>
        <w:sz w:val="18"/>
        <w:szCs w:val="18"/>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3" w15:restartNumberingAfterBreak="0">
    <w:nsid w:val="72B02C59"/>
    <w:multiLevelType w:val="hybridMultilevel"/>
    <w:tmpl w:val="2A50BF4E"/>
    <w:lvl w:ilvl="0" w:tplc="0BBEED3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4ED069D"/>
    <w:multiLevelType w:val="hybridMultilevel"/>
    <w:tmpl w:val="1A0A5F72"/>
    <w:lvl w:ilvl="0" w:tplc="F50EB3C8">
      <w:start w:val="1"/>
      <w:numFmt w:val="bullet"/>
      <w:lvlText w:val=""/>
      <w:lvlJc w:val="left"/>
      <w:pPr>
        <w:tabs>
          <w:tab w:val="num" w:pos="720"/>
        </w:tabs>
        <w:ind w:left="720" w:hanging="360"/>
      </w:pPr>
      <w:rPr>
        <w:rFonts w:ascii="Symbol" w:hAnsi="Symbol" w:hint="default"/>
        <w:b w:val="0"/>
        <w:i w:val="0"/>
        <w:color w:val="000000"/>
        <w:sz w:val="18"/>
      </w:rPr>
    </w:lvl>
    <w:lvl w:ilvl="1" w:tplc="04090001">
      <w:start w:val="1"/>
      <w:numFmt w:val="bullet"/>
      <w:lvlText w:val=""/>
      <w:lvlJc w:val="left"/>
      <w:pPr>
        <w:tabs>
          <w:tab w:val="num" w:pos="360"/>
        </w:tabs>
        <w:ind w:left="360" w:hanging="360"/>
      </w:pPr>
      <w:rPr>
        <w:rFonts w:ascii="Symbol" w:hAnsi="Symbol"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5" w15:restartNumberingAfterBreak="0">
    <w:nsid w:val="77803674"/>
    <w:multiLevelType w:val="hybridMultilevel"/>
    <w:tmpl w:val="8F5A10EA"/>
    <w:lvl w:ilvl="0" w:tplc="48E00C04">
      <w:start w:val="1"/>
      <w:numFmt w:val="bullet"/>
      <w:lvlText w:val="»"/>
      <w:lvlJc w:val="left"/>
      <w:pPr>
        <w:ind w:left="360" w:hanging="360"/>
      </w:pPr>
      <w:rPr>
        <w:rFonts w:ascii="Arial" w:hAnsi="Arial" w:hint="default"/>
        <w:b w:val="0"/>
        <w:i w:val="0"/>
        <w:color w:val="000000"/>
        <w:sz w:val="18"/>
      </w:rPr>
    </w:lvl>
    <w:lvl w:ilvl="1" w:tplc="1C090003" w:tentative="1">
      <w:start w:val="1"/>
      <w:numFmt w:val="bullet"/>
      <w:lvlText w:val="o"/>
      <w:lvlJc w:val="left"/>
      <w:pPr>
        <w:ind w:left="1080" w:hanging="360"/>
      </w:pPr>
      <w:rPr>
        <w:rFonts w:ascii="Courier New" w:hAnsi="Courier New" w:cs="Aria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Arial"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Arial" w:hint="default"/>
      </w:rPr>
    </w:lvl>
    <w:lvl w:ilvl="8" w:tplc="1C090005" w:tentative="1">
      <w:start w:val="1"/>
      <w:numFmt w:val="bullet"/>
      <w:lvlText w:val=""/>
      <w:lvlJc w:val="left"/>
      <w:pPr>
        <w:ind w:left="6120" w:hanging="360"/>
      </w:pPr>
      <w:rPr>
        <w:rFonts w:ascii="Wingdings" w:hAnsi="Wingdings" w:hint="default"/>
      </w:rPr>
    </w:lvl>
  </w:abstractNum>
  <w:abstractNum w:abstractNumId="66" w15:restartNumberingAfterBreak="0">
    <w:nsid w:val="7939617E"/>
    <w:multiLevelType w:val="multilevel"/>
    <w:tmpl w:val="01ECF800"/>
    <w:lvl w:ilvl="0">
      <w:start w:val="1"/>
      <w:numFmt w:val="decimal"/>
      <w:pStyle w:val="Heading10"/>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7A5B3F8F"/>
    <w:multiLevelType w:val="hybridMultilevel"/>
    <w:tmpl w:val="AA16A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D711D27"/>
    <w:multiLevelType w:val="hybridMultilevel"/>
    <w:tmpl w:val="20E8B042"/>
    <w:lvl w:ilvl="0" w:tplc="43DC9B7C">
      <w:start w:val="1"/>
      <w:numFmt w:val="bullet"/>
      <w:lvlText w:val=""/>
      <w:lvlJc w:val="left"/>
      <w:pPr>
        <w:ind w:left="360" w:hanging="360"/>
      </w:pPr>
      <w:rPr>
        <w:rFonts w:ascii="Symbol" w:hAnsi="Symbol" w:hint="default"/>
        <w:sz w:val="16"/>
        <w:szCs w:val="16"/>
      </w:rPr>
    </w:lvl>
    <w:lvl w:ilvl="1" w:tplc="8DF2EE30">
      <w:start w:val="1"/>
      <w:numFmt w:val="bullet"/>
      <w:lvlText w:val="o"/>
      <w:lvlJc w:val="left"/>
      <w:pPr>
        <w:ind w:left="1080" w:hanging="360"/>
      </w:pPr>
      <w:rPr>
        <w:rFonts w:ascii="Courier New" w:hAnsi="Courier New" w:cs="Courier New" w:hint="default"/>
      </w:rPr>
    </w:lvl>
    <w:lvl w:ilvl="2" w:tplc="39EA29DA" w:tentative="1">
      <w:start w:val="1"/>
      <w:numFmt w:val="bullet"/>
      <w:lvlText w:val=""/>
      <w:lvlJc w:val="left"/>
      <w:pPr>
        <w:ind w:left="1800" w:hanging="360"/>
      </w:pPr>
      <w:rPr>
        <w:rFonts w:ascii="Wingdings" w:hAnsi="Wingdings" w:hint="default"/>
      </w:rPr>
    </w:lvl>
    <w:lvl w:ilvl="3" w:tplc="02EC5166" w:tentative="1">
      <w:start w:val="1"/>
      <w:numFmt w:val="bullet"/>
      <w:lvlText w:val=""/>
      <w:lvlJc w:val="left"/>
      <w:pPr>
        <w:ind w:left="2520" w:hanging="360"/>
      </w:pPr>
      <w:rPr>
        <w:rFonts w:ascii="Symbol" w:hAnsi="Symbol" w:hint="default"/>
      </w:rPr>
    </w:lvl>
    <w:lvl w:ilvl="4" w:tplc="33CEF7C6" w:tentative="1">
      <w:start w:val="1"/>
      <w:numFmt w:val="bullet"/>
      <w:lvlText w:val="o"/>
      <w:lvlJc w:val="left"/>
      <w:pPr>
        <w:ind w:left="3240" w:hanging="360"/>
      </w:pPr>
      <w:rPr>
        <w:rFonts w:ascii="Courier New" w:hAnsi="Courier New" w:cs="Courier New" w:hint="default"/>
      </w:rPr>
    </w:lvl>
    <w:lvl w:ilvl="5" w:tplc="05A85A3E" w:tentative="1">
      <w:start w:val="1"/>
      <w:numFmt w:val="bullet"/>
      <w:lvlText w:val=""/>
      <w:lvlJc w:val="left"/>
      <w:pPr>
        <w:ind w:left="3960" w:hanging="360"/>
      </w:pPr>
      <w:rPr>
        <w:rFonts w:ascii="Wingdings" w:hAnsi="Wingdings" w:hint="default"/>
      </w:rPr>
    </w:lvl>
    <w:lvl w:ilvl="6" w:tplc="78BC2AC4" w:tentative="1">
      <w:start w:val="1"/>
      <w:numFmt w:val="bullet"/>
      <w:lvlText w:val=""/>
      <w:lvlJc w:val="left"/>
      <w:pPr>
        <w:ind w:left="4680" w:hanging="360"/>
      </w:pPr>
      <w:rPr>
        <w:rFonts w:ascii="Symbol" w:hAnsi="Symbol" w:hint="default"/>
      </w:rPr>
    </w:lvl>
    <w:lvl w:ilvl="7" w:tplc="301E4014" w:tentative="1">
      <w:start w:val="1"/>
      <w:numFmt w:val="bullet"/>
      <w:lvlText w:val="o"/>
      <w:lvlJc w:val="left"/>
      <w:pPr>
        <w:ind w:left="5400" w:hanging="360"/>
      </w:pPr>
      <w:rPr>
        <w:rFonts w:ascii="Courier New" w:hAnsi="Courier New" w:cs="Courier New" w:hint="default"/>
      </w:rPr>
    </w:lvl>
    <w:lvl w:ilvl="8" w:tplc="9334A2D2" w:tentative="1">
      <w:start w:val="1"/>
      <w:numFmt w:val="bullet"/>
      <w:lvlText w:val=""/>
      <w:lvlJc w:val="left"/>
      <w:pPr>
        <w:ind w:left="6120" w:hanging="360"/>
      </w:pPr>
      <w:rPr>
        <w:rFonts w:ascii="Wingdings" w:hAnsi="Wingdings" w:hint="default"/>
      </w:rPr>
    </w:lvl>
  </w:abstractNum>
  <w:abstractNum w:abstractNumId="69" w15:restartNumberingAfterBreak="0">
    <w:nsid w:val="7DB26C5A"/>
    <w:multiLevelType w:val="hybridMultilevel"/>
    <w:tmpl w:val="EEA03582"/>
    <w:lvl w:ilvl="0" w:tplc="88186FAC">
      <w:start w:val="1"/>
      <w:numFmt w:val="bullet"/>
      <w:lvlText w:val="»"/>
      <w:lvlJc w:val="left"/>
      <w:pPr>
        <w:ind w:left="360" w:hanging="360"/>
      </w:pPr>
      <w:rPr>
        <w:rFonts w:ascii="Arial" w:hAnsi="Arial" w:hint="default"/>
        <w:b w:val="0"/>
        <w:i w:val="0"/>
        <w:color w:val="000000"/>
        <w:sz w:val="18"/>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F385F7D"/>
    <w:multiLevelType w:val="hybridMultilevel"/>
    <w:tmpl w:val="78607E98"/>
    <w:lvl w:ilvl="0" w:tplc="1C090001">
      <w:start w:val="1"/>
      <w:numFmt w:val="bullet"/>
      <w:lvlText w:val="o"/>
      <w:lvlJc w:val="left"/>
      <w:pPr>
        <w:ind w:left="720" w:hanging="360"/>
      </w:pPr>
      <w:rPr>
        <w:rFonts w:ascii="Courier New" w:hAnsi="Courier New" w:cs="Arial" w:hint="default"/>
      </w:rPr>
    </w:lvl>
    <w:lvl w:ilvl="1" w:tplc="1C090003">
      <w:start w:val="1"/>
      <w:numFmt w:val="bullet"/>
      <w:lvlText w:val="-"/>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Arial"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Arial" w:hint="default"/>
      </w:rPr>
    </w:lvl>
    <w:lvl w:ilvl="8" w:tplc="1C090005" w:tentative="1">
      <w:start w:val="1"/>
      <w:numFmt w:val="bullet"/>
      <w:lvlText w:val=""/>
      <w:lvlJc w:val="left"/>
      <w:pPr>
        <w:ind w:left="6480" w:hanging="360"/>
      </w:pPr>
      <w:rPr>
        <w:rFonts w:ascii="Wingdings" w:hAnsi="Wingdings" w:hint="default"/>
      </w:rPr>
    </w:lvl>
  </w:abstractNum>
  <w:abstractNum w:abstractNumId="71" w15:restartNumberingAfterBreak="0">
    <w:nsid w:val="7F582FF2"/>
    <w:multiLevelType w:val="hybridMultilevel"/>
    <w:tmpl w:val="4AD65DA4"/>
    <w:lvl w:ilvl="0" w:tplc="48E00C04">
      <w:start w:val="1"/>
      <w:numFmt w:val="bullet"/>
      <w:lvlText w:val="»"/>
      <w:lvlJc w:val="left"/>
      <w:pPr>
        <w:ind w:left="360" w:hanging="360"/>
      </w:pPr>
      <w:rPr>
        <w:rFonts w:ascii="Arial" w:hAnsi="Arial" w:hint="default"/>
        <w:b w:val="0"/>
        <w:i w:val="0"/>
        <w:color w:val="000000"/>
        <w:sz w:val="18"/>
      </w:rPr>
    </w:lvl>
    <w:lvl w:ilvl="1" w:tplc="2B30180E" w:tentative="1">
      <w:start w:val="1"/>
      <w:numFmt w:val="bullet"/>
      <w:lvlText w:val="o"/>
      <w:lvlJc w:val="left"/>
      <w:pPr>
        <w:ind w:left="1080" w:hanging="360"/>
      </w:pPr>
      <w:rPr>
        <w:rFonts w:ascii="Courier New" w:hAnsi="Courier New" w:cs="Aria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Arial"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Arial" w:hint="default"/>
      </w:rPr>
    </w:lvl>
    <w:lvl w:ilvl="8" w:tplc="1C090005" w:tentative="1">
      <w:start w:val="1"/>
      <w:numFmt w:val="bullet"/>
      <w:lvlText w:val=""/>
      <w:lvlJc w:val="left"/>
      <w:pPr>
        <w:ind w:left="6120" w:hanging="360"/>
      </w:pPr>
      <w:rPr>
        <w:rFonts w:ascii="Wingdings" w:hAnsi="Wingdings" w:hint="default"/>
      </w:rPr>
    </w:lvl>
  </w:abstractNum>
  <w:abstractNum w:abstractNumId="72" w15:restartNumberingAfterBreak="0">
    <w:nsid w:val="7FCA48BF"/>
    <w:multiLevelType w:val="hybridMultilevel"/>
    <w:tmpl w:val="13842122"/>
    <w:lvl w:ilvl="0" w:tplc="04090003">
      <w:start w:val="1"/>
      <w:numFmt w:val="bullet"/>
      <w:lvlText w:val="»"/>
      <w:lvlJc w:val="left"/>
      <w:pPr>
        <w:ind w:left="360" w:hanging="360"/>
      </w:pPr>
      <w:rPr>
        <w:rFonts w:ascii="Arial" w:hAnsi="Arial" w:hint="default"/>
        <w:b w:val="0"/>
        <w:i w:val="0"/>
        <w:color w:val="000000"/>
        <w:sz w:val="18"/>
      </w:rPr>
    </w:lvl>
    <w:lvl w:ilvl="1" w:tplc="1C090003" w:tentative="1">
      <w:start w:val="1"/>
      <w:numFmt w:val="bullet"/>
      <w:lvlText w:val="o"/>
      <w:lvlJc w:val="left"/>
      <w:pPr>
        <w:ind w:left="1080" w:hanging="360"/>
      </w:pPr>
      <w:rPr>
        <w:rFonts w:ascii="Courier New" w:hAnsi="Courier New" w:cs="Aria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Arial"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Arial" w:hint="default"/>
      </w:rPr>
    </w:lvl>
    <w:lvl w:ilvl="8" w:tplc="1C090005" w:tentative="1">
      <w:start w:val="1"/>
      <w:numFmt w:val="bullet"/>
      <w:lvlText w:val=""/>
      <w:lvlJc w:val="left"/>
      <w:pPr>
        <w:ind w:left="6120" w:hanging="360"/>
      </w:pPr>
      <w:rPr>
        <w:rFonts w:ascii="Wingdings" w:hAnsi="Wingdings" w:hint="default"/>
      </w:rPr>
    </w:lvl>
  </w:abstractNum>
  <w:num w:numId="1" w16cid:durableId="88360091">
    <w:abstractNumId w:val="16"/>
  </w:num>
  <w:num w:numId="2" w16cid:durableId="102243958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2859291">
    <w:abstractNumId w:val="51"/>
  </w:num>
  <w:num w:numId="4" w16cid:durableId="1926717688">
    <w:abstractNumId w:val="21"/>
  </w:num>
  <w:num w:numId="5" w16cid:durableId="1561357815">
    <w:abstractNumId w:val="31"/>
  </w:num>
  <w:num w:numId="6" w16cid:durableId="1373116653">
    <w:abstractNumId w:val="43"/>
  </w:num>
  <w:num w:numId="7" w16cid:durableId="1139499080">
    <w:abstractNumId w:val="36"/>
  </w:num>
  <w:num w:numId="8" w16cid:durableId="468783947">
    <w:abstractNumId w:val="3"/>
  </w:num>
  <w:num w:numId="9" w16cid:durableId="924068179">
    <w:abstractNumId w:val="22"/>
  </w:num>
  <w:num w:numId="10" w16cid:durableId="1464886202">
    <w:abstractNumId w:val="39"/>
  </w:num>
  <w:num w:numId="11" w16cid:durableId="824513791">
    <w:abstractNumId w:val="52"/>
  </w:num>
  <w:num w:numId="12" w16cid:durableId="655693082">
    <w:abstractNumId w:val="11"/>
  </w:num>
  <w:num w:numId="13" w16cid:durableId="1059523742">
    <w:abstractNumId w:val="48"/>
  </w:num>
  <w:num w:numId="14" w16cid:durableId="1085303231">
    <w:abstractNumId w:val="70"/>
  </w:num>
  <w:num w:numId="15" w16cid:durableId="1960601281">
    <w:abstractNumId w:val="20"/>
  </w:num>
  <w:num w:numId="16" w16cid:durableId="1297299595">
    <w:abstractNumId w:val="40"/>
  </w:num>
  <w:num w:numId="17" w16cid:durableId="488249799">
    <w:abstractNumId w:val="56"/>
  </w:num>
  <w:num w:numId="18" w16cid:durableId="604189490">
    <w:abstractNumId w:val="42"/>
  </w:num>
  <w:num w:numId="19" w16cid:durableId="2008317852">
    <w:abstractNumId w:val="0"/>
  </w:num>
  <w:num w:numId="20" w16cid:durableId="508907937">
    <w:abstractNumId w:val="30"/>
  </w:num>
  <w:num w:numId="21" w16cid:durableId="857887174">
    <w:abstractNumId w:val="61"/>
  </w:num>
  <w:num w:numId="22" w16cid:durableId="769205867">
    <w:abstractNumId w:val="4"/>
  </w:num>
  <w:num w:numId="23" w16cid:durableId="1384714950">
    <w:abstractNumId w:val="65"/>
  </w:num>
  <w:num w:numId="24" w16cid:durableId="1026100306">
    <w:abstractNumId w:val="23"/>
  </w:num>
  <w:num w:numId="25" w16cid:durableId="344595611">
    <w:abstractNumId w:val="41"/>
  </w:num>
  <w:num w:numId="26" w16cid:durableId="1899390283">
    <w:abstractNumId w:val="2"/>
  </w:num>
  <w:num w:numId="27" w16cid:durableId="1757285837">
    <w:abstractNumId w:val="28"/>
  </w:num>
  <w:num w:numId="28" w16cid:durableId="930890727">
    <w:abstractNumId w:val="69"/>
  </w:num>
  <w:num w:numId="29" w16cid:durableId="925068284">
    <w:abstractNumId w:val="38"/>
  </w:num>
  <w:num w:numId="30" w16cid:durableId="1368143376">
    <w:abstractNumId w:val="47"/>
  </w:num>
  <w:num w:numId="31" w16cid:durableId="754085156">
    <w:abstractNumId w:val="72"/>
  </w:num>
  <w:num w:numId="32" w16cid:durableId="2142844151">
    <w:abstractNumId w:val="7"/>
  </w:num>
  <w:num w:numId="33" w16cid:durableId="570970637">
    <w:abstractNumId w:val="45"/>
  </w:num>
  <w:num w:numId="34" w16cid:durableId="1880241605">
    <w:abstractNumId w:val="26"/>
  </w:num>
  <w:num w:numId="35" w16cid:durableId="1452942569">
    <w:abstractNumId w:val="49"/>
  </w:num>
  <w:num w:numId="36" w16cid:durableId="1163816805">
    <w:abstractNumId w:val="54"/>
  </w:num>
  <w:num w:numId="37" w16cid:durableId="145898368">
    <w:abstractNumId w:val="37"/>
  </w:num>
  <w:num w:numId="38" w16cid:durableId="684286016">
    <w:abstractNumId w:val="46"/>
  </w:num>
  <w:num w:numId="39" w16cid:durableId="1122193594">
    <w:abstractNumId w:val="32"/>
  </w:num>
  <w:num w:numId="40" w16cid:durableId="1206680848">
    <w:abstractNumId w:val="44"/>
  </w:num>
  <w:num w:numId="41" w16cid:durableId="1136145916">
    <w:abstractNumId w:val="17"/>
  </w:num>
  <w:num w:numId="42" w16cid:durableId="1675912181">
    <w:abstractNumId w:val="50"/>
  </w:num>
  <w:num w:numId="43" w16cid:durableId="2043096119">
    <w:abstractNumId w:val="5"/>
  </w:num>
  <w:num w:numId="44" w16cid:durableId="1000429870">
    <w:abstractNumId w:val="58"/>
  </w:num>
  <w:num w:numId="45" w16cid:durableId="2104065137">
    <w:abstractNumId w:val="71"/>
  </w:num>
  <w:num w:numId="46" w16cid:durableId="1547445818">
    <w:abstractNumId w:val="34"/>
  </w:num>
  <w:num w:numId="47" w16cid:durableId="902521953">
    <w:abstractNumId w:val="19"/>
  </w:num>
  <w:num w:numId="48" w16cid:durableId="568225285">
    <w:abstractNumId w:val="1"/>
  </w:num>
  <w:num w:numId="49" w16cid:durableId="342130023">
    <w:abstractNumId w:val="8"/>
  </w:num>
  <w:num w:numId="50" w16cid:durableId="1229459453">
    <w:abstractNumId w:val="24"/>
  </w:num>
  <w:num w:numId="51" w16cid:durableId="1653364700">
    <w:abstractNumId w:val="25"/>
  </w:num>
  <w:num w:numId="52" w16cid:durableId="2069767340">
    <w:abstractNumId w:val="68"/>
  </w:num>
  <w:num w:numId="53" w16cid:durableId="1418285702">
    <w:abstractNumId w:val="60"/>
  </w:num>
  <w:num w:numId="54" w16cid:durableId="678199061">
    <w:abstractNumId w:val="63"/>
  </w:num>
  <w:num w:numId="55" w16cid:durableId="1258172954">
    <w:abstractNumId w:val="55"/>
  </w:num>
  <w:num w:numId="56" w16cid:durableId="662247674">
    <w:abstractNumId w:val="53"/>
  </w:num>
  <w:num w:numId="57" w16cid:durableId="2083019848">
    <w:abstractNumId w:val="29"/>
  </w:num>
  <w:num w:numId="58" w16cid:durableId="209074406">
    <w:abstractNumId w:val="67"/>
  </w:num>
  <w:num w:numId="59" w16cid:durableId="1819154452">
    <w:abstractNumId w:val="14"/>
  </w:num>
  <w:num w:numId="60" w16cid:durableId="451024542">
    <w:abstractNumId w:val="13"/>
  </w:num>
  <w:num w:numId="61" w16cid:durableId="1925993415">
    <w:abstractNumId w:val="27"/>
  </w:num>
  <w:num w:numId="62" w16cid:durableId="521673427">
    <w:abstractNumId w:val="62"/>
  </w:num>
  <w:num w:numId="63" w16cid:durableId="232006672">
    <w:abstractNumId w:val="18"/>
  </w:num>
  <w:num w:numId="64" w16cid:durableId="1943611970">
    <w:abstractNumId w:val="15"/>
  </w:num>
  <w:num w:numId="65" w16cid:durableId="1894728300">
    <w:abstractNumId w:val="57"/>
  </w:num>
  <w:num w:numId="66" w16cid:durableId="171455462">
    <w:abstractNumId w:val="59"/>
  </w:num>
  <w:num w:numId="67" w16cid:durableId="1825656791">
    <w:abstractNumId w:val="12"/>
  </w:num>
  <w:num w:numId="68" w16cid:durableId="1401370186">
    <w:abstractNumId w:val="64"/>
  </w:num>
  <w:num w:numId="69" w16cid:durableId="1890920633">
    <w:abstractNumId w:val="9"/>
  </w:num>
  <w:num w:numId="70" w16cid:durableId="299503211">
    <w:abstractNumId w:val="6"/>
  </w:num>
  <w:num w:numId="71" w16cid:durableId="629435638">
    <w:abstractNumId w:val="35"/>
  </w:num>
  <w:num w:numId="72" w16cid:durableId="6331467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378826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8909130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102679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53303840">
    <w:abstractNumId w:val="10"/>
  </w:num>
  <w:num w:numId="77" w16cid:durableId="374426564">
    <w:abstractNumId w:val="3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8C1A4F8-BE26-42FE-8DC2-52F2C571A83E}"/>
    <w:docVar w:name="dgnword-eventsink" w:val="98279328"/>
  </w:docVars>
  <w:rsids>
    <w:rsidRoot w:val="00F624D4"/>
    <w:rsid w:val="0000008A"/>
    <w:rsid w:val="00001802"/>
    <w:rsid w:val="00007DA0"/>
    <w:rsid w:val="000118F0"/>
    <w:rsid w:val="000148AC"/>
    <w:rsid w:val="0001511C"/>
    <w:rsid w:val="00015D92"/>
    <w:rsid w:val="000179B7"/>
    <w:rsid w:val="0002046B"/>
    <w:rsid w:val="00024282"/>
    <w:rsid w:val="00026118"/>
    <w:rsid w:val="0003674C"/>
    <w:rsid w:val="000369A5"/>
    <w:rsid w:val="00037411"/>
    <w:rsid w:val="0004165D"/>
    <w:rsid w:val="00042DDA"/>
    <w:rsid w:val="0004409F"/>
    <w:rsid w:val="00044C08"/>
    <w:rsid w:val="00045905"/>
    <w:rsid w:val="00045F7F"/>
    <w:rsid w:val="0004668C"/>
    <w:rsid w:val="00050D44"/>
    <w:rsid w:val="000545CA"/>
    <w:rsid w:val="00057382"/>
    <w:rsid w:val="00057E42"/>
    <w:rsid w:val="00060877"/>
    <w:rsid w:val="000624B8"/>
    <w:rsid w:val="00062BBE"/>
    <w:rsid w:val="00063649"/>
    <w:rsid w:val="00064140"/>
    <w:rsid w:val="00070EFA"/>
    <w:rsid w:val="000731F5"/>
    <w:rsid w:val="00074330"/>
    <w:rsid w:val="000764A6"/>
    <w:rsid w:val="00076E68"/>
    <w:rsid w:val="00077150"/>
    <w:rsid w:val="00077666"/>
    <w:rsid w:val="00080151"/>
    <w:rsid w:val="0008054E"/>
    <w:rsid w:val="00082BBF"/>
    <w:rsid w:val="0008346C"/>
    <w:rsid w:val="0008467D"/>
    <w:rsid w:val="00086B88"/>
    <w:rsid w:val="000900DD"/>
    <w:rsid w:val="0009088A"/>
    <w:rsid w:val="00092AC1"/>
    <w:rsid w:val="00093A99"/>
    <w:rsid w:val="0009715D"/>
    <w:rsid w:val="000A23B2"/>
    <w:rsid w:val="000A2BB9"/>
    <w:rsid w:val="000A3FF6"/>
    <w:rsid w:val="000B58EC"/>
    <w:rsid w:val="000B7280"/>
    <w:rsid w:val="000B7E4A"/>
    <w:rsid w:val="000C1736"/>
    <w:rsid w:val="000C241E"/>
    <w:rsid w:val="000D77C7"/>
    <w:rsid w:val="000E453D"/>
    <w:rsid w:val="000E5E7C"/>
    <w:rsid w:val="000E6202"/>
    <w:rsid w:val="000E637F"/>
    <w:rsid w:val="000F2F2A"/>
    <w:rsid w:val="001062E3"/>
    <w:rsid w:val="00106952"/>
    <w:rsid w:val="00110944"/>
    <w:rsid w:val="00110E86"/>
    <w:rsid w:val="001118CE"/>
    <w:rsid w:val="00111993"/>
    <w:rsid w:val="00113615"/>
    <w:rsid w:val="001140DE"/>
    <w:rsid w:val="0011546B"/>
    <w:rsid w:val="00116AF5"/>
    <w:rsid w:val="00121C69"/>
    <w:rsid w:val="00122112"/>
    <w:rsid w:val="001222D9"/>
    <w:rsid w:val="001231EA"/>
    <w:rsid w:val="00123CF4"/>
    <w:rsid w:val="0012596F"/>
    <w:rsid w:val="001264CD"/>
    <w:rsid w:val="00126DE9"/>
    <w:rsid w:val="00130308"/>
    <w:rsid w:val="00130728"/>
    <w:rsid w:val="001315E7"/>
    <w:rsid w:val="0013264D"/>
    <w:rsid w:val="0013473B"/>
    <w:rsid w:val="0013630D"/>
    <w:rsid w:val="001402CD"/>
    <w:rsid w:val="00140415"/>
    <w:rsid w:val="001407AC"/>
    <w:rsid w:val="0014360A"/>
    <w:rsid w:val="00143776"/>
    <w:rsid w:val="00144BA5"/>
    <w:rsid w:val="00145407"/>
    <w:rsid w:val="0014540D"/>
    <w:rsid w:val="00145D50"/>
    <w:rsid w:val="001476AF"/>
    <w:rsid w:val="001534AC"/>
    <w:rsid w:val="00156EDB"/>
    <w:rsid w:val="00160687"/>
    <w:rsid w:val="001627F3"/>
    <w:rsid w:val="001648EF"/>
    <w:rsid w:val="00164A35"/>
    <w:rsid w:val="00166D8D"/>
    <w:rsid w:val="001672DF"/>
    <w:rsid w:val="0017123A"/>
    <w:rsid w:val="00171807"/>
    <w:rsid w:val="00171DED"/>
    <w:rsid w:val="0017269E"/>
    <w:rsid w:val="00172D98"/>
    <w:rsid w:val="001735AF"/>
    <w:rsid w:val="00173A5F"/>
    <w:rsid w:val="00174487"/>
    <w:rsid w:val="00174F0F"/>
    <w:rsid w:val="00176CB7"/>
    <w:rsid w:val="001779A7"/>
    <w:rsid w:val="00180E2A"/>
    <w:rsid w:val="00180F0D"/>
    <w:rsid w:val="0018418C"/>
    <w:rsid w:val="00184930"/>
    <w:rsid w:val="0018512A"/>
    <w:rsid w:val="0018691E"/>
    <w:rsid w:val="00187819"/>
    <w:rsid w:val="001879C1"/>
    <w:rsid w:val="00190A9F"/>
    <w:rsid w:val="001914BE"/>
    <w:rsid w:val="001941A4"/>
    <w:rsid w:val="00194EE9"/>
    <w:rsid w:val="00195D30"/>
    <w:rsid w:val="00195F40"/>
    <w:rsid w:val="0019738C"/>
    <w:rsid w:val="001A36DC"/>
    <w:rsid w:val="001A4203"/>
    <w:rsid w:val="001A4D9C"/>
    <w:rsid w:val="001A64CA"/>
    <w:rsid w:val="001A73B0"/>
    <w:rsid w:val="001B08FC"/>
    <w:rsid w:val="001B1D4F"/>
    <w:rsid w:val="001B4F6A"/>
    <w:rsid w:val="001B688F"/>
    <w:rsid w:val="001B6CA0"/>
    <w:rsid w:val="001B72D1"/>
    <w:rsid w:val="001C4DB3"/>
    <w:rsid w:val="001C5AC4"/>
    <w:rsid w:val="001C7DC7"/>
    <w:rsid w:val="001D0654"/>
    <w:rsid w:val="001D0B57"/>
    <w:rsid w:val="001D5617"/>
    <w:rsid w:val="001E2985"/>
    <w:rsid w:val="001E2A48"/>
    <w:rsid w:val="001E4495"/>
    <w:rsid w:val="001E6C8A"/>
    <w:rsid w:val="001E6DF2"/>
    <w:rsid w:val="001E787B"/>
    <w:rsid w:val="001F0311"/>
    <w:rsid w:val="001F08C2"/>
    <w:rsid w:val="001F3394"/>
    <w:rsid w:val="001F4E71"/>
    <w:rsid w:val="001F5151"/>
    <w:rsid w:val="001F5D01"/>
    <w:rsid w:val="001F6931"/>
    <w:rsid w:val="001F7FCC"/>
    <w:rsid w:val="00200C80"/>
    <w:rsid w:val="00201325"/>
    <w:rsid w:val="00203462"/>
    <w:rsid w:val="00203651"/>
    <w:rsid w:val="002043CC"/>
    <w:rsid w:val="00207AA8"/>
    <w:rsid w:val="002109AE"/>
    <w:rsid w:val="00211117"/>
    <w:rsid w:val="0021219A"/>
    <w:rsid w:val="0021491F"/>
    <w:rsid w:val="00214BCD"/>
    <w:rsid w:val="00215903"/>
    <w:rsid w:val="00215969"/>
    <w:rsid w:val="00221D03"/>
    <w:rsid w:val="0022216E"/>
    <w:rsid w:val="002231F0"/>
    <w:rsid w:val="002240B9"/>
    <w:rsid w:val="00227A01"/>
    <w:rsid w:val="00231A73"/>
    <w:rsid w:val="00232350"/>
    <w:rsid w:val="002331C0"/>
    <w:rsid w:val="00233379"/>
    <w:rsid w:val="00233C6C"/>
    <w:rsid w:val="0023621C"/>
    <w:rsid w:val="00241736"/>
    <w:rsid w:val="00241B53"/>
    <w:rsid w:val="002423A0"/>
    <w:rsid w:val="00243D15"/>
    <w:rsid w:val="00243D65"/>
    <w:rsid w:val="00244B78"/>
    <w:rsid w:val="00246273"/>
    <w:rsid w:val="0025065B"/>
    <w:rsid w:val="00251F98"/>
    <w:rsid w:val="00252086"/>
    <w:rsid w:val="00252EB9"/>
    <w:rsid w:val="00255CEA"/>
    <w:rsid w:val="00257A9B"/>
    <w:rsid w:val="002604C6"/>
    <w:rsid w:val="00260E24"/>
    <w:rsid w:val="0026275D"/>
    <w:rsid w:val="00264D5D"/>
    <w:rsid w:val="00267CA3"/>
    <w:rsid w:val="00272D93"/>
    <w:rsid w:val="002755A3"/>
    <w:rsid w:val="00282657"/>
    <w:rsid w:val="002840C6"/>
    <w:rsid w:val="00284B11"/>
    <w:rsid w:val="00285558"/>
    <w:rsid w:val="0028726C"/>
    <w:rsid w:val="0028787A"/>
    <w:rsid w:val="0029027C"/>
    <w:rsid w:val="00290CB0"/>
    <w:rsid w:val="00290F7D"/>
    <w:rsid w:val="00291422"/>
    <w:rsid w:val="002946E7"/>
    <w:rsid w:val="00294BDE"/>
    <w:rsid w:val="002A069D"/>
    <w:rsid w:val="002A19D5"/>
    <w:rsid w:val="002A1BA4"/>
    <w:rsid w:val="002A236F"/>
    <w:rsid w:val="002A48B4"/>
    <w:rsid w:val="002A5A7F"/>
    <w:rsid w:val="002A6CD2"/>
    <w:rsid w:val="002B0ACE"/>
    <w:rsid w:val="002B2D62"/>
    <w:rsid w:val="002B3C53"/>
    <w:rsid w:val="002B44F0"/>
    <w:rsid w:val="002B56EB"/>
    <w:rsid w:val="002B61BC"/>
    <w:rsid w:val="002C1F2C"/>
    <w:rsid w:val="002C337A"/>
    <w:rsid w:val="002C3D88"/>
    <w:rsid w:val="002C4794"/>
    <w:rsid w:val="002C47D1"/>
    <w:rsid w:val="002C5022"/>
    <w:rsid w:val="002C5105"/>
    <w:rsid w:val="002C5E48"/>
    <w:rsid w:val="002D10DA"/>
    <w:rsid w:val="002D114A"/>
    <w:rsid w:val="002D15B5"/>
    <w:rsid w:val="002D230A"/>
    <w:rsid w:val="002D300B"/>
    <w:rsid w:val="002D5B17"/>
    <w:rsid w:val="002D7D1A"/>
    <w:rsid w:val="002E0B55"/>
    <w:rsid w:val="002E1B98"/>
    <w:rsid w:val="002E4AF0"/>
    <w:rsid w:val="002E4B84"/>
    <w:rsid w:val="002E6931"/>
    <w:rsid w:val="002E7334"/>
    <w:rsid w:val="002F11FB"/>
    <w:rsid w:val="002F1440"/>
    <w:rsid w:val="002F182D"/>
    <w:rsid w:val="002F28AD"/>
    <w:rsid w:val="002F6E91"/>
    <w:rsid w:val="00301851"/>
    <w:rsid w:val="00303056"/>
    <w:rsid w:val="00304DF7"/>
    <w:rsid w:val="0030545E"/>
    <w:rsid w:val="003105FE"/>
    <w:rsid w:val="00310D07"/>
    <w:rsid w:val="00310E2C"/>
    <w:rsid w:val="00311045"/>
    <w:rsid w:val="003140E7"/>
    <w:rsid w:val="00314675"/>
    <w:rsid w:val="00316F22"/>
    <w:rsid w:val="003176FA"/>
    <w:rsid w:val="00320676"/>
    <w:rsid w:val="0032098E"/>
    <w:rsid w:val="00321A74"/>
    <w:rsid w:val="00323201"/>
    <w:rsid w:val="00323B76"/>
    <w:rsid w:val="00324E81"/>
    <w:rsid w:val="00331033"/>
    <w:rsid w:val="003339B7"/>
    <w:rsid w:val="003341F9"/>
    <w:rsid w:val="003364F9"/>
    <w:rsid w:val="003378FE"/>
    <w:rsid w:val="00337E39"/>
    <w:rsid w:val="00340709"/>
    <w:rsid w:val="00341E59"/>
    <w:rsid w:val="00344836"/>
    <w:rsid w:val="00345213"/>
    <w:rsid w:val="00346B89"/>
    <w:rsid w:val="00346BE7"/>
    <w:rsid w:val="00352CE0"/>
    <w:rsid w:val="0035331A"/>
    <w:rsid w:val="0035606A"/>
    <w:rsid w:val="00356354"/>
    <w:rsid w:val="0036185F"/>
    <w:rsid w:val="00361DE5"/>
    <w:rsid w:val="00363760"/>
    <w:rsid w:val="003646A3"/>
    <w:rsid w:val="00364E88"/>
    <w:rsid w:val="00364FE3"/>
    <w:rsid w:val="00371013"/>
    <w:rsid w:val="003739DC"/>
    <w:rsid w:val="003766F2"/>
    <w:rsid w:val="0038182C"/>
    <w:rsid w:val="003826E5"/>
    <w:rsid w:val="0038366D"/>
    <w:rsid w:val="00383F89"/>
    <w:rsid w:val="00384BB3"/>
    <w:rsid w:val="00397C4C"/>
    <w:rsid w:val="003A0BEF"/>
    <w:rsid w:val="003A1339"/>
    <w:rsid w:val="003A7099"/>
    <w:rsid w:val="003A7AC5"/>
    <w:rsid w:val="003B0DD3"/>
    <w:rsid w:val="003B28E5"/>
    <w:rsid w:val="003B3402"/>
    <w:rsid w:val="003B4696"/>
    <w:rsid w:val="003B4883"/>
    <w:rsid w:val="003B608C"/>
    <w:rsid w:val="003B69DD"/>
    <w:rsid w:val="003B6D93"/>
    <w:rsid w:val="003B6E6C"/>
    <w:rsid w:val="003B7894"/>
    <w:rsid w:val="003C138C"/>
    <w:rsid w:val="003C1960"/>
    <w:rsid w:val="003C2078"/>
    <w:rsid w:val="003C2405"/>
    <w:rsid w:val="003C309C"/>
    <w:rsid w:val="003C3C12"/>
    <w:rsid w:val="003C4F94"/>
    <w:rsid w:val="003C693F"/>
    <w:rsid w:val="003C7671"/>
    <w:rsid w:val="003D2DE8"/>
    <w:rsid w:val="003D3BAF"/>
    <w:rsid w:val="003D488D"/>
    <w:rsid w:val="003D4E33"/>
    <w:rsid w:val="003D5E70"/>
    <w:rsid w:val="003D6C58"/>
    <w:rsid w:val="003E2138"/>
    <w:rsid w:val="003E2B00"/>
    <w:rsid w:val="003E5404"/>
    <w:rsid w:val="003E5C36"/>
    <w:rsid w:val="003E65B3"/>
    <w:rsid w:val="003F79A6"/>
    <w:rsid w:val="00400FD4"/>
    <w:rsid w:val="0040124E"/>
    <w:rsid w:val="00407A37"/>
    <w:rsid w:val="00407C61"/>
    <w:rsid w:val="00407ED5"/>
    <w:rsid w:val="00411ABB"/>
    <w:rsid w:val="00412089"/>
    <w:rsid w:val="00412486"/>
    <w:rsid w:val="004171B1"/>
    <w:rsid w:val="00422838"/>
    <w:rsid w:val="004232EF"/>
    <w:rsid w:val="0043041B"/>
    <w:rsid w:val="00430820"/>
    <w:rsid w:val="00431AA8"/>
    <w:rsid w:val="00434AB9"/>
    <w:rsid w:val="0043662D"/>
    <w:rsid w:val="004371BA"/>
    <w:rsid w:val="004438F9"/>
    <w:rsid w:val="00443C7A"/>
    <w:rsid w:val="00447C99"/>
    <w:rsid w:val="004525B8"/>
    <w:rsid w:val="00454341"/>
    <w:rsid w:val="00455930"/>
    <w:rsid w:val="004575B1"/>
    <w:rsid w:val="004578E2"/>
    <w:rsid w:val="00457B78"/>
    <w:rsid w:val="00457CCB"/>
    <w:rsid w:val="00460F74"/>
    <w:rsid w:val="00461745"/>
    <w:rsid w:val="00461F5C"/>
    <w:rsid w:val="00463E34"/>
    <w:rsid w:val="00470641"/>
    <w:rsid w:val="00471BE3"/>
    <w:rsid w:val="00472CA5"/>
    <w:rsid w:val="00476D2F"/>
    <w:rsid w:val="00476E03"/>
    <w:rsid w:val="004841A0"/>
    <w:rsid w:val="00484717"/>
    <w:rsid w:val="0048642F"/>
    <w:rsid w:val="004912BF"/>
    <w:rsid w:val="00491F5D"/>
    <w:rsid w:val="00492353"/>
    <w:rsid w:val="00493DE1"/>
    <w:rsid w:val="00495CA0"/>
    <w:rsid w:val="0049767C"/>
    <w:rsid w:val="00497C21"/>
    <w:rsid w:val="004A116B"/>
    <w:rsid w:val="004A162C"/>
    <w:rsid w:val="004A25F1"/>
    <w:rsid w:val="004A2A28"/>
    <w:rsid w:val="004A60B6"/>
    <w:rsid w:val="004A7CB2"/>
    <w:rsid w:val="004A7D53"/>
    <w:rsid w:val="004B01E4"/>
    <w:rsid w:val="004B111A"/>
    <w:rsid w:val="004B127A"/>
    <w:rsid w:val="004B1972"/>
    <w:rsid w:val="004B2AB2"/>
    <w:rsid w:val="004B51B4"/>
    <w:rsid w:val="004B59DD"/>
    <w:rsid w:val="004B5A9A"/>
    <w:rsid w:val="004C3115"/>
    <w:rsid w:val="004C315B"/>
    <w:rsid w:val="004C36EF"/>
    <w:rsid w:val="004C5247"/>
    <w:rsid w:val="004D0128"/>
    <w:rsid w:val="004D2687"/>
    <w:rsid w:val="004D3A37"/>
    <w:rsid w:val="004D639E"/>
    <w:rsid w:val="004D779F"/>
    <w:rsid w:val="004E03B9"/>
    <w:rsid w:val="004E1B09"/>
    <w:rsid w:val="004E376E"/>
    <w:rsid w:val="004E3806"/>
    <w:rsid w:val="004E6EF8"/>
    <w:rsid w:val="004E7B83"/>
    <w:rsid w:val="004F04FB"/>
    <w:rsid w:val="004F4331"/>
    <w:rsid w:val="004F53C2"/>
    <w:rsid w:val="004F5957"/>
    <w:rsid w:val="004F7756"/>
    <w:rsid w:val="005007CE"/>
    <w:rsid w:val="00500F92"/>
    <w:rsid w:val="00503457"/>
    <w:rsid w:val="00503E7F"/>
    <w:rsid w:val="0050417A"/>
    <w:rsid w:val="00506D3A"/>
    <w:rsid w:val="00507E0F"/>
    <w:rsid w:val="00511BAC"/>
    <w:rsid w:val="0051428C"/>
    <w:rsid w:val="005146B5"/>
    <w:rsid w:val="00514737"/>
    <w:rsid w:val="0051725C"/>
    <w:rsid w:val="0052166C"/>
    <w:rsid w:val="005235F1"/>
    <w:rsid w:val="00525B17"/>
    <w:rsid w:val="005267A5"/>
    <w:rsid w:val="00531E36"/>
    <w:rsid w:val="00533E44"/>
    <w:rsid w:val="005342A3"/>
    <w:rsid w:val="0053435A"/>
    <w:rsid w:val="00534440"/>
    <w:rsid w:val="005346B7"/>
    <w:rsid w:val="00536528"/>
    <w:rsid w:val="00536F88"/>
    <w:rsid w:val="00543719"/>
    <w:rsid w:val="0054675B"/>
    <w:rsid w:val="00546DAB"/>
    <w:rsid w:val="005513A4"/>
    <w:rsid w:val="005534A6"/>
    <w:rsid w:val="00557ACD"/>
    <w:rsid w:val="00557B44"/>
    <w:rsid w:val="005603F8"/>
    <w:rsid w:val="00565AB1"/>
    <w:rsid w:val="0057023A"/>
    <w:rsid w:val="00570F29"/>
    <w:rsid w:val="00576C03"/>
    <w:rsid w:val="0057722F"/>
    <w:rsid w:val="005802CC"/>
    <w:rsid w:val="00580442"/>
    <w:rsid w:val="00580EA7"/>
    <w:rsid w:val="005840E6"/>
    <w:rsid w:val="00585A63"/>
    <w:rsid w:val="00590135"/>
    <w:rsid w:val="00591A70"/>
    <w:rsid w:val="0059370E"/>
    <w:rsid w:val="00593970"/>
    <w:rsid w:val="005945D5"/>
    <w:rsid w:val="00597A15"/>
    <w:rsid w:val="00597BBC"/>
    <w:rsid w:val="00597FEA"/>
    <w:rsid w:val="005A07C5"/>
    <w:rsid w:val="005A38AD"/>
    <w:rsid w:val="005A44EE"/>
    <w:rsid w:val="005A66EC"/>
    <w:rsid w:val="005B13FA"/>
    <w:rsid w:val="005B2A13"/>
    <w:rsid w:val="005B4516"/>
    <w:rsid w:val="005B59DB"/>
    <w:rsid w:val="005B7052"/>
    <w:rsid w:val="005C0DFE"/>
    <w:rsid w:val="005C2D6F"/>
    <w:rsid w:val="005C3138"/>
    <w:rsid w:val="005C3826"/>
    <w:rsid w:val="005C3E28"/>
    <w:rsid w:val="005C58A3"/>
    <w:rsid w:val="005C7BEF"/>
    <w:rsid w:val="005D2947"/>
    <w:rsid w:val="005D2D09"/>
    <w:rsid w:val="005D3CB0"/>
    <w:rsid w:val="005D40AB"/>
    <w:rsid w:val="005D4438"/>
    <w:rsid w:val="005E1803"/>
    <w:rsid w:val="005E1E7E"/>
    <w:rsid w:val="005E1FF1"/>
    <w:rsid w:val="005E2A2A"/>
    <w:rsid w:val="005E4116"/>
    <w:rsid w:val="005E5337"/>
    <w:rsid w:val="005E65F6"/>
    <w:rsid w:val="005E6AF5"/>
    <w:rsid w:val="005F039D"/>
    <w:rsid w:val="005F2181"/>
    <w:rsid w:val="005F2E39"/>
    <w:rsid w:val="005F56BC"/>
    <w:rsid w:val="005F599A"/>
    <w:rsid w:val="005F731D"/>
    <w:rsid w:val="005F7FA0"/>
    <w:rsid w:val="00600046"/>
    <w:rsid w:val="006011A2"/>
    <w:rsid w:val="00601A42"/>
    <w:rsid w:val="006045BE"/>
    <w:rsid w:val="0060702F"/>
    <w:rsid w:val="00614299"/>
    <w:rsid w:val="00616998"/>
    <w:rsid w:val="00620171"/>
    <w:rsid w:val="00620B74"/>
    <w:rsid w:val="00620B98"/>
    <w:rsid w:val="006212E7"/>
    <w:rsid w:val="00622DE7"/>
    <w:rsid w:val="00625F41"/>
    <w:rsid w:val="00627546"/>
    <w:rsid w:val="00630A39"/>
    <w:rsid w:val="00631A0B"/>
    <w:rsid w:val="00632684"/>
    <w:rsid w:val="006326B6"/>
    <w:rsid w:val="006331C8"/>
    <w:rsid w:val="0063434A"/>
    <w:rsid w:val="00635776"/>
    <w:rsid w:val="00641302"/>
    <w:rsid w:val="0064191D"/>
    <w:rsid w:val="0064206D"/>
    <w:rsid w:val="00642D5F"/>
    <w:rsid w:val="00643265"/>
    <w:rsid w:val="00645386"/>
    <w:rsid w:val="006510BF"/>
    <w:rsid w:val="00652FD1"/>
    <w:rsid w:val="0065349D"/>
    <w:rsid w:val="00653EF8"/>
    <w:rsid w:val="00653F1D"/>
    <w:rsid w:val="006552E0"/>
    <w:rsid w:val="00655B71"/>
    <w:rsid w:val="00657E4F"/>
    <w:rsid w:val="0066040E"/>
    <w:rsid w:val="006628DF"/>
    <w:rsid w:val="00664C68"/>
    <w:rsid w:val="00665057"/>
    <w:rsid w:val="006658F9"/>
    <w:rsid w:val="006670CE"/>
    <w:rsid w:val="006706DA"/>
    <w:rsid w:val="00670994"/>
    <w:rsid w:val="006719CC"/>
    <w:rsid w:val="0067282F"/>
    <w:rsid w:val="006759C5"/>
    <w:rsid w:val="006776A0"/>
    <w:rsid w:val="006779F1"/>
    <w:rsid w:val="00677A3D"/>
    <w:rsid w:val="006825FA"/>
    <w:rsid w:val="00691053"/>
    <w:rsid w:val="00692250"/>
    <w:rsid w:val="006927FB"/>
    <w:rsid w:val="00697A1E"/>
    <w:rsid w:val="006A0B0D"/>
    <w:rsid w:val="006A0ED2"/>
    <w:rsid w:val="006A1262"/>
    <w:rsid w:val="006A2328"/>
    <w:rsid w:val="006A3108"/>
    <w:rsid w:val="006A67C7"/>
    <w:rsid w:val="006A7E1A"/>
    <w:rsid w:val="006B07C7"/>
    <w:rsid w:val="006B11F1"/>
    <w:rsid w:val="006B1ABF"/>
    <w:rsid w:val="006B20C0"/>
    <w:rsid w:val="006B258D"/>
    <w:rsid w:val="006B4678"/>
    <w:rsid w:val="006B483D"/>
    <w:rsid w:val="006B5719"/>
    <w:rsid w:val="006B5CD4"/>
    <w:rsid w:val="006C00CE"/>
    <w:rsid w:val="006C10F3"/>
    <w:rsid w:val="006C1B24"/>
    <w:rsid w:val="006C2577"/>
    <w:rsid w:val="006C3E46"/>
    <w:rsid w:val="006C45F3"/>
    <w:rsid w:val="006C58E9"/>
    <w:rsid w:val="006D1652"/>
    <w:rsid w:val="006D3E96"/>
    <w:rsid w:val="006D49B4"/>
    <w:rsid w:val="006E0993"/>
    <w:rsid w:val="006E1014"/>
    <w:rsid w:val="006E3FA8"/>
    <w:rsid w:val="006E45EB"/>
    <w:rsid w:val="006E579C"/>
    <w:rsid w:val="006E6067"/>
    <w:rsid w:val="006E7F48"/>
    <w:rsid w:val="006F30D0"/>
    <w:rsid w:val="006F44B0"/>
    <w:rsid w:val="006F6238"/>
    <w:rsid w:val="006F69C4"/>
    <w:rsid w:val="00702659"/>
    <w:rsid w:val="007030F2"/>
    <w:rsid w:val="00706566"/>
    <w:rsid w:val="00706649"/>
    <w:rsid w:val="007068E7"/>
    <w:rsid w:val="00712ECB"/>
    <w:rsid w:val="0071469E"/>
    <w:rsid w:val="00715153"/>
    <w:rsid w:val="00715727"/>
    <w:rsid w:val="007163AB"/>
    <w:rsid w:val="00721747"/>
    <w:rsid w:val="0072422C"/>
    <w:rsid w:val="00724CD3"/>
    <w:rsid w:val="0072664F"/>
    <w:rsid w:val="007273D6"/>
    <w:rsid w:val="00731899"/>
    <w:rsid w:val="00732185"/>
    <w:rsid w:val="00732DB2"/>
    <w:rsid w:val="00733F80"/>
    <w:rsid w:val="007342A3"/>
    <w:rsid w:val="00735442"/>
    <w:rsid w:val="00740016"/>
    <w:rsid w:val="00740852"/>
    <w:rsid w:val="00740EC1"/>
    <w:rsid w:val="00742B63"/>
    <w:rsid w:val="00743EEB"/>
    <w:rsid w:val="00744E47"/>
    <w:rsid w:val="00745993"/>
    <w:rsid w:val="00745C46"/>
    <w:rsid w:val="0074749A"/>
    <w:rsid w:val="00747AD8"/>
    <w:rsid w:val="007511F7"/>
    <w:rsid w:val="0075237D"/>
    <w:rsid w:val="00753075"/>
    <w:rsid w:val="00753541"/>
    <w:rsid w:val="00757E9F"/>
    <w:rsid w:val="00761A57"/>
    <w:rsid w:val="0076217B"/>
    <w:rsid w:val="00763499"/>
    <w:rsid w:val="00763A66"/>
    <w:rsid w:val="00764A73"/>
    <w:rsid w:val="00764B0B"/>
    <w:rsid w:val="0076770B"/>
    <w:rsid w:val="0076779C"/>
    <w:rsid w:val="00767A37"/>
    <w:rsid w:val="007715CC"/>
    <w:rsid w:val="00771873"/>
    <w:rsid w:val="007747C0"/>
    <w:rsid w:val="007749C2"/>
    <w:rsid w:val="00774A06"/>
    <w:rsid w:val="007826AA"/>
    <w:rsid w:val="007857C5"/>
    <w:rsid w:val="00785A41"/>
    <w:rsid w:val="00786388"/>
    <w:rsid w:val="007902AA"/>
    <w:rsid w:val="00793955"/>
    <w:rsid w:val="00796EB7"/>
    <w:rsid w:val="007978E9"/>
    <w:rsid w:val="007A3FD3"/>
    <w:rsid w:val="007A52FA"/>
    <w:rsid w:val="007A5B39"/>
    <w:rsid w:val="007A6964"/>
    <w:rsid w:val="007B063C"/>
    <w:rsid w:val="007B1AF8"/>
    <w:rsid w:val="007B2016"/>
    <w:rsid w:val="007B263F"/>
    <w:rsid w:val="007C5902"/>
    <w:rsid w:val="007C5F07"/>
    <w:rsid w:val="007D1004"/>
    <w:rsid w:val="007D188E"/>
    <w:rsid w:val="007D2F40"/>
    <w:rsid w:val="007D36A9"/>
    <w:rsid w:val="007D6D8A"/>
    <w:rsid w:val="007E1142"/>
    <w:rsid w:val="007E1F8B"/>
    <w:rsid w:val="007E4E67"/>
    <w:rsid w:val="007E6441"/>
    <w:rsid w:val="007E7A19"/>
    <w:rsid w:val="007F3EC4"/>
    <w:rsid w:val="007F5BF2"/>
    <w:rsid w:val="00801F8A"/>
    <w:rsid w:val="00802B51"/>
    <w:rsid w:val="008058EB"/>
    <w:rsid w:val="00806804"/>
    <w:rsid w:val="00806E12"/>
    <w:rsid w:val="0080739A"/>
    <w:rsid w:val="00807CF6"/>
    <w:rsid w:val="00811963"/>
    <w:rsid w:val="00811C5B"/>
    <w:rsid w:val="0081385C"/>
    <w:rsid w:val="00813B31"/>
    <w:rsid w:val="00814319"/>
    <w:rsid w:val="00814E24"/>
    <w:rsid w:val="008179F2"/>
    <w:rsid w:val="0082000C"/>
    <w:rsid w:val="00821A17"/>
    <w:rsid w:val="0082204B"/>
    <w:rsid w:val="00823E58"/>
    <w:rsid w:val="00824C96"/>
    <w:rsid w:val="0082756B"/>
    <w:rsid w:val="0083000E"/>
    <w:rsid w:val="008301A9"/>
    <w:rsid w:val="00830B1D"/>
    <w:rsid w:val="00832192"/>
    <w:rsid w:val="00834249"/>
    <w:rsid w:val="008358C7"/>
    <w:rsid w:val="00837A07"/>
    <w:rsid w:val="008437A4"/>
    <w:rsid w:val="00844D24"/>
    <w:rsid w:val="008454E9"/>
    <w:rsid w:val="0084589A"/>
    <w:rsid w:val="008503A0"/>
    <w:rsid w:val="00850446"/>
    <w:rsid w:val="008566F4"/>
    <w:rsid w:val="00860CB5"/>
    <w:rsid w:val="0086134C"/>
    <w:rsid w:val="00861C3D"/>
    <w:rsid w:val="00863848"/>
    <w:rsid w:val="0086430B"/>
    <w:rsid w:val="0086537A"/>
    <w:rsid w:val="008679C3"/>
    <w:rsid w:val="00870795"/>
    <w:rsid w:val="00872D01"/>
    <w:rsid w:val="0087318B"/>
    <w:rsid w:val="00873287"/>
    <w:rsid w:val="008734A1"/>
    <w:rsid w:val="008744FA"/>
    <w:rsid w:val="00876DC2"/>
    <w:rsid w:val="0087787C"/>
    <w:rsid w:val="00882E1F"/>
    <w:rsid w:val="0089116C"/>
    <w:rsid w:val="00894F6C"/>
    <w:rsid w:val="00897665"/>
    <w:rsid w:val="008A068C"/>
    <w:rsid w:val="008A1B74"/>
    <w:rsid w:val="008A2D95"/>
    <w:rsid w:val="008A3563"/>
    <w:rsid w:val="008A645F"/>
    <w:rsid w:val="008A65AA"/>
    <w:rsid w:val="008A6842"/>
    <w:rsid w:val="008A6BBB"/>
    <w:rsid w:val="008B0FF3"/>
    <w:rsid w:val="008B26F2"/>
    <w:rsid w:val="008B549A"/>
    <w:rsid w:val="008B5D8E"/>
    <w:rsid w:val="008B6E4C"/>
    <w:rsid w:val="008C2D8D"/>
    <w:rsid w:val="008C50DF"/>
    <w:rsid w:val="008C6B5F"/>
    <w:rsid w:val="008C6DBC"/>
    <w:rsid w:val="008D12B0"/>
    <w:rsid w:val="008D13B8"/>
    <w:rsid w:val="008D19C6"/>
    <w:rsid w:val="008D2EB8"/>
    <w:rsid w:val="008D4074"/>
    <w:rsid w:val="008D4A00"/>
    <w:rsid w:val="008D4B71"/>
    <w:rsid w:val="008D563B"/>
    <w:rsid w:val="008E0D28"/>
    <w:rsid w:val="008E16CB"/>
    <w:rsid w:val="008E39B8"/>
    <w:rsid w:val="008E3D14"/>
    <w:rsid w:val="008E3D3B"/>
    <w:rsid w:val="008E3F43"/>
    <w:rsid w:val="008E4AF7"/>
    <w:rsid w:val="008E6713"/>
    <w:rsid w:val="008E7992"/>
    <w:rsid w:val="008F0353"/>
    <w:rsid w:val="008F26BE"/>
    <w:rsid w:val="008F2ABD"/>
    <w:rsid w:val="008F3359"/>
    <w:rsid w:val="008F3FC4"/>
    <w:rsid w:val="008F5E9F"/>
    <w:rsid w:val="00900ED5"/>
    <w:rsid w:val="00901E5C"/>
    <w:rsid w:val="00902ADC"/>
    <w:rsid w:val="00904B36"/>
    <w:rsid w:val="009078FE"/>
    <w:rsid w:val="00907C73"/>
    <w:rsid w:val="00913B2F"/>
    <w:rsid w:val="00913D9B"/>
    <w:rsid w:val="00914D69"/>
    <w:rsid w:val="00917115"/>
    <w:rsid w:val="0091760A"/>
    <w:rsid w:val="0092170D"/>
    <w:rsid w:val="00923972"/>
    <w:rsid w:val="00927DD6"/>
    <w:rsid w:val="00932C37"/>
    <w:rsid w:val="009338F2"/>
    <w:rsid w:val="00935CB0"/>
    <w:rsid w:val="00936FE0"/>
    <w:rsid w:val="00937C6D"/>
    <w:rsid w:val="009419BF"/>
    <w:rsid w:val="00941FD5"/>
    <w:rsid w:val="00943CB0"/>
    <w:rsid w:val="00943DA4"/>
    <w:rsid w:val="00943F6A"/>
    <w:rsid w:val="0094413D"/>
    <w:rsid w:val="009450C1"/>
    <w:rsid w:val="00945AE6"/>
    <w:rsid w:val="0094687A"/>
    <w:rsid w:val="00946C42"/>
    <w:rsid w:val="009518C5"/>
    <w:rsid w:val="00955560"/>
    <w:rsid w:val="00955730"/>
    <w:rsid w:val="00955F41"/>
    <w:rsid w:val="009600E0"/>
    <w:rsid w:val="00962EB4"/>
    <w:rsid w:val="0096377C"/>
    <w:rsid w:val="00963BC0"/>
    <w:rsid w:val="0096445E"/>
    <w:rsid w:val="0096473F"/>
    <w:rsid w:val="00964E48"/>
    <w:rsid w:val="0096528A"/>
    <w:rsid w:val="00966562"/>
    <w:rsid w:val="009728F8"/>
    <w:rsid w:val="00972D52"/>
    <w:rsid w:val="009747CB"/>
    <w:rsid w:val="00976B4C"/>
    <w:rsid w:val="00977EBD"/>
    <w:rsid w:val="00980807"/>
    <w:rsid w:val="00983587"/>
    <w:rsid w:val="00984FEB"/>
    <w:rsid w:val="00985642"/>
    <w:rsid w:val="00986807"/>
    <w:rsid w:val="00986AFC"/>
    <w:rsid w:val="00992E95"/>
    <w:rsid w:val="00994A2A"/>
    <w:rsid w:val="0099693E"/>
    <w:rsid w:val="00996D5A"/>
    <w:rsid w:val="009A1E7B"/>
    <w:rsid w:val="009A3161"/>
    <w:rsid w:val="009B01BA"/>
    <w:rsid w:val="009B5AFA"/>
    <w:rsid w:val="009B7062"/>
    <w:rsid w:val="009C4C36"/>
    <w:rsid w:val="009D02E2"/>
    <w:rsid w:val="009D1074"/>
    <w:rsid w:val="009D342E"/>
    <w:rsid w:val="009D4560"/>
    <w:rsid w:val="009D52BA"/>
    <w:rsid w:val="009D5B12"/>
    <w:rsid w:val="009D7E17"/>
    <w:rsid w:val="009E1B22"/>
    <w:rsid w:val="009E2D1A"/>
    <w:rsid w:val="009E7CCA"/>
    <w:rsid w:val="009F2EF5"/>
    <w:rsid w:val="009F41B5"/>
    <w:rsid w:val="00A02CCA"/>
    <w:rsid w:val="00A02DC1"/>
    <w:rsid w:val="00A049D7"/>
    <w:rsid w:val="00A05617"/>
    <w:rsid w:val="00A074DB"/>
    <w:rsid w:val="00A12E01"/>
    <w:rsid w:val="00A12E22"/>
    <w:rsid w:val="00A14437"/>
    <w:rsid w:val="00A20427"/>
    <w:rsid w:val="00A23C9F"/>
    <w:rsid w:val="00A25595"/>
    <w:rsid w:val="00A25948"/>
    <w:rsid w:val="00A272A6"/>
    <w:rsid w:val="00A3082B"/>
    <w:rsid w:val="00A3217D"/>
    <w:rsid w:val="00A32251"/>
    <w:rsid w:val="00A407E6"/>
    <w:rsid w:val="00A41D5D"/>
    <w:rsid w:val="00A43E1D"/>
    <w:rsid w:val="00A4499D"/>
    <w:rsid w:val="00A44CFE"/>
    <w:rsid w:val="00A45398"/>
    <w:rsid w:val="00A45E9D"/>
    <w:rsid w:val="00A478E8"/>
    <w:rsid w:val="00A47BD8"/>
    <w:rsid w:val="00A47C33"/>
    <w:rsid w:val="00A54060"/>
    <w:rsid w:val="00A5425B"/>
    <w:rsid w:val="00A54CAE"/>
    <w:rsid w:val="00A54F09"/>
    <w:rsid w:val="00A5594F"/>
    <w:rsid w:val="00A57233"/>
    <w:rsid w:val="00A602BB"/>
    <w:rsid w:val="00A604C5"/>
    <w:rsid w:val="00A61447"/>
    <w:rsid w:val="00A61985"/>
    <w:rsid w:val="00A65302"/>
    <w:rsid w:val="00A653AD"/>
    <w:rsid w:val="00A655D8"/>
    <w:rsid w:val="00A658E3"/>
    <w:rsid w:val="00A66F4F"/>
    <w:rsid w:val="00A70052"/>
    <w:rsid w:val="00A70AB7"/>
    <w:rsid w:val="00A719E0"/>
    <w:rsid w:val="00A72010"/>
    <w:rsid w:val="00A74319"/>
    <w:rsid w:val="00A76EE1"/>
    <w:rsid w:val="00A82692"/>
    <w:rsid w:val="00A86729"/>
    <w:rsid w:val="00A87A51"/>
    <w:rsid w:val="00A91E32"/>
    <w:rsid w:val="00A93F97"/>
    <w:rsid w:val="00A950E7"/>
    <w:rsid w:val="00A95ECF"/>
    <w:rsid w:val="00A95F28"/>
    <w:rsid w:val="00A95F99"/>
    <w:rsid w:val="00A97350"/>
    <w:rsid w:val="00AA43E7"/>
    <w:rsid w:val="00AA51B7"/>
    <w:rsid w:val="00AA5D69"/>
    <w:rsid w:val="00AA7243"/>
    <w:rsid w:val="00AB2FEC"/>
    <w:rsid w:val="00AB44A9"/>
    <w:rsid w:val="00AC01B0"/>
    <w:rsid w:val="00AC13FE"/>
    <w:rsid w:val="00AC1BD3"/>
    <w:rsid w:val="00AC34E3"/>
    <w:rsid w:val="00AC3A1E"/>
    <w:rsid w:val="00AC5E33"/>
    <w:rsid w:val="00AC73C6"/>
    <w:rsid w:val="00AD1CEA"/>
    <w:rsid w:val="00AD242E"/>
    <w:rsid w:val="00AD42AC"/>
    <w:rsid w:val="00AD552D"/>
    <w:rsid w:val="00AD5B5A"/>
    <w:rsid w:val="00AD5F46"/>
    <w:rsid w:val="00AD7703"/>
    <w:rsid w:val="00AE0604"/>
    <w:rsid w:val="00AE2766"/>
    <w:rsid w:val="00AE27F8"/>
    <w:rsid w:val="00AE3962"/>
    <w:rsid w:val="00AE39FF"/>
    <w:rsid w:val="00AE3B2E"/>
    <w:rsid w:val="00AE3C7F"/>
    <w:rsid w:val="00AE3D88"/>
    <w:rsid w:val="00AE56BC"/>
    <w:rsid w:val="00AE5A87"/>
    <w:rsid w:val="00AF0602"/>
    <w:rsid w:val="00AF0C7B"/>
    <w:rsid w:val="00AF7FA9"/>
    <w:rsid w:val="00B0202B"/>
    <w:rsid w:val="00B02920"/>
    <w:rsid w:val="00B02B02"/>
    <w:rsid w:val="00B03191"/>
    <w:rsid w:val="00B05E81"/>
    <w:rsid w:val="00B06DD5"/>
    <w:rsid w:val="00B07AAC"/>
    <w:rsid w:val="00B1034C"/>
    <w:rsid w:val="00B114DF"/>
    <w:rsid w:val="00B11646"/>
    <w:rsid w:val="00B117CE"/>
    <w:rsid w:val="00B11ABE"/>
    <w:rsid w:val="00B12BEA"/>
    <w:rsid w:val="00B13670"/>
    <w:rsid w:val="00B13CB0"/>
    <w:rsid w:val="00B14670"/>
    <w:rsid w:val="00B150E7"/>
    <w:rsid w:val="00B212D9"/>
    <w:rsid w:val="00B2345D"/>
    <w:rsid w:val="00B24E85"/>
    <w:rsid w:val="00B25014"/>
    <w:rsid w:val="00B2623D"/>
    <w:rsid w:val="00B33162"/>
    <w:rsid w:val="00B4176A"/>
    <w:rsid w:val="00B41C6F"/>
    <w:rsid w:val="00B43A94"/>
    <w:rsid w:val="00B45F1E"/>
    <w:rsid w:val="00B47B8D"/>
    <w:rsid w:val="00B52523"/>
    <w:rsid w:val="00B52CEA"/>
    <w:rsid w:val="00B53E09"/>
    <w:rsid w:val="00B60737"/>
    <w:rsid w:val="00B614BC"/>
    <w:rsid w:val="00B636DC"/>
    <w:rsid w:val="00B645FC"/>
    <w:rsid w:val="00B6492F"/>
    <w:rsid w:val="00B6502B"/>
    <w:rsid w:val="00B67275"/>
    <w:rsid w:val="00B702D2"/>
    <w:rsid w:val="00B71D2B"/>
    <w:rsid w:val="00B73B6F"/>
    <w:rsid w:val="00B743C3"/>
    <w:rsid w:val="00B802D7"/>
    <w:rsid w:val="00B8196E"/>
    <w:rsid w:val="00B8525A"/>
    <w:rsid w:val="00B8554C"/>
    <w:rsid w:val="00B86D54"/>
    <w:rsid w:val="00B9280D"/>
    <w:rsid w:val="00B928DE"/>
    <w:rsid w:val="00B946D5"/>
    <w:rsid w:val="00B9664C"/>
    <w:rsid w:val="00B96D2D"/>
    <w:rsid w:val="00BA1680"/>
    <w:rsid w:val="00BA2B1D"/>
    <w:rsid w:val="00BA345A"/>
    <w:rsid w:val="00BA3658"/>
    <w:rsid w:val="00BA3665"/>
    <w:rsid w:val="00BB0E73"/>
    <w:rsid w:val="00BB2322"/>
    <w:rsid w:val="00BB48D2"/>
    <w:rsid w:val="00BB4D3F"/>
    <w:rsid w:val="00BC073B"/>
    <w:rsid w:val="00BC1924"/>
    <w:rsid w:val="00BC1F2C"/>
    <w:rsid w:val="00BC25C6"/>
    <w:rsid w:val="00BC278C"/>
    <w:rsid w:val="00BC5CF2"/>
    <w:rsid w:val="00BC69A5"/>
    <w:rsid w:val="00BC6BCB"/>
    <w:rsid w:val="00BC744D"/>
    <w:rsid w:val="00BD0BE6"/>
    <w:rsid w:val="00BD1617"/>
    <w:rsid w:val="00BD2B8F"/>
    <w:rsid w:val="00BD59EA"/>
    <w:rsid w:val="00BD7C84"/>
    <w:rsid w:val="00BE02A3"/>
    <w:rsid w:val="00BE2520"/>
    <w:rsid w:val="00BE47FB"/>
    <w:rsid w:val="00BE4927"/>
    <w:rsid w:val="00BF05F5"/>
    <w:rsid w:val="00BF176F"/>
    <w:rsid w:val="00BF4A33"/>
    <w:rsid w:val="00BF5F47"/>
    <w:rsid w:val="00BF5F59"/>
    <w:rsid w:val="00BF6142"/>
    <w:rsid w:val="00BF6BE3"/>
    <w:rsid w:val="00C02921"/>
    <w:rsid w:val="00C02EBC"/>
    <w:rsid w:val="00C05CB1"/>
    <w:rsid w:val="00C1134D"/>
    <w:rsid w:val="00C12925"/>
    <w:rsid w:val="00C14B74"/>
    <w:rsid w:val="00C15C0E"/>
    <w:rsid w:val="00C15E52"/>
    <w:rsid w:val="00C23D57"/>
    <w:rsid w:val="00C24395"/>
    <w:rsid w:val="00C2649C"/>
    <w:rsid w:val="00C26C38"/>
    <w:rsid w:val="00C274DB"/>
    <w:rsid w:val="00C3067A"/>
    <w:rsid w:val="00C33411"/>
    <w:rsid w:val="00C40367"/>
    <w:rsid w:val="00C4050E"/>
    <w:rsid w:val="00C42047"/>
    <w:rsid w:val="00C43E0E"/>
    <w:rsid w:val="00C44ADC"/>
    <w:rsid w:val="00C464AE"/>
    <w:rsid w:val="00C47FC3"/>
    <w:rsid w:val="00C51066"/>
    <w:rsid w:val="00C51575"/>
    <w:rsid w:val="00C51AAD"/>
    <w:rsid w:val="00C52D88"/>
    <w:rsid w:val="00C533E8"/>
    <w:rsid w:val="00C5411A"/>
    <w:rsid w:val="00C5431D"/>
    <w:rsid w:val="00C57AC3"/>
    <w:rsid w:val="00C605DA"/>
    <w:rsid w:val="00C628A5"/>
    <w:rsid w:val="00C65C79"/>
    <w:rsid w:val="00C65E09"/>
    <w:rsid w:val="00C6722F"/>
    <w:rsid w:val="00C7084C"/>
    <w:rsid w:val="00C72F46"/>
    <w:rsid w:val="00C73854"/>
    <w:rsid w:val="00C740B0"/>
    <w:rsid w:val="00C74B6B"/>
    <w:rsid w:val="00C74E33"/>
    <w:rsid w:val="00C75498"/>
    <w:rsid w:val="00C761AA"/>
    <w:rsid w:val="00C77771"/>
    <w:rsid w:val="00C77AFD"/>
    <w:rsid w:val="00C814EB"/>
    <w:rsid w:val="00C81CB8"/>
    <w:rsid w:val="00C81D1C"/>
    <w:rsid w:val="00C825DA"/>
    <w:rsid w:val="00C83741"/>
    <w:rsid w:val="00C83BAC"/>
    <w:rsid w:val="00C85B49"/>
    <w:rsid w:val="00C85E50"/>
    <w:rsid w:val="00C868F0"/>
    <w:rsid w:val="00C876E4"/>
    <w:rsid w:val="00C90863"/>
    <w:rsid w:val="00C93E4E"/>
    <w:rsid w:val="00C94671"/>
    <w:rsid w:val="00C947F7"/>
    <w:rsid w:val="00C9718D"/>
    <w:rsid w:val="00CA1127"/>
    <w:rsid w:val="00CA23CF"/>
    <w:rsid w:val="00CB0BEF"/>
    <w:rsid w:val="00CB1840"/>
    <w:rsid w:val="00CB1F85"/>
    <w:rsid w:val="00CB2418"/>
    <w:rsid w:val="00CB4D59"/>
    <w:rsid w:val="00CB55E2"/>
    <w:rsid w:val="00CB6DD6"/>
    <w:rsid w:val="00CC169A"/>
    <w:rsid w:val="00CC1CF6"/>
    <w:rsid w:val="00CC2D4A"/>
    <w:rsid w:val="00CC3F7B"/>
    <w:rsid w:val="00CC5E52"/>
    <w:rsid w:val="00CD0717"/>
    <w:rsid w:val="00CD1912"/>
    <w:rsid w:val="00CD38DB"/>
    <w:rsid w:val="00CD3CA2"/>
    <w:rsid w:val="00CD4F4D"/>
    <w:rsid w:val="00CD5690"/>
    <w:rsid w:val="00CD63EB"/>
    <w:rsid w:val="00CD6DB2"/>
    <w:rsid w:val="00CD75BE"/>
    <w:rsid w:val="00CE4653"/>
    <w:rsid w:val="00CE54A8"/>
    <w:rsid w:val="00CE5A98"/>
    <w:rsid w:val="00CE6585"/>
    <w:rsid w:val="00CE68A9"/>
    <w:rsid w:val="00CF1C4C"/>
    <w:rsid w:val="00CF1E5F"/>
    <w:rsid w:val="00CF32F1"/>
    <w:rsid w:val="00CF7371"/>
    <w:rsid w:val="00CF7705"/>
    <w:rsid w:val="00D023D3"/>
    <w:rsid w:val="00D0727C"/>
    <w:rsid w:val="00D104FF"/>
    <w:rsid w:val="00D115EE"/>
    <w:rsid w:val="00D118FC"/>
    <w:rsid w:val="00D11BB6"/>
    <w:rsid w:val="00D15924"/>
    <w:rsid w:val="00D20C13"/>
    <w:rsid w:val="00D22FE9"/>
    <w:rsid w:val="00D24CE0"/>
    <w:rsid w:val="00D33A4A"/>
    <w:rsid w:val="00D33F97"/>
    <w:rsid w:val="00D34412"/>
    <w:rsid w:val="00D36002"/>
    <w:rsid w:val="00D37638"/>
    <w:rsid w:val="00D37AE5"/>
    <w:rsid w:val="00D41034"/>
    <w:rsid w:val="00D45170"/>
    <w:rsid w:val="00D45869"/>
    <w:rsid w:val="00D467E7"/>
    <w:rsid w:val="00D47DF2"/>
    <w:rsid w:val="00D52517"/>
    <w:rsid w:val="00D52ED7"/>
    <w:rsid w:val="00D53B41"/>
    <w:rsid w:val="00D53D71"/>
    <w:rsid w:val="00D56ECE"/>
    <w:rsid w:val="00D60CED"/>
    <w:rsid w:val="00D62C25"/>
    <w:rsid w:val="00D62DAE"/>
    <w:rsid w:val="00D6340F"/>
    <w:rsid w:val="00D642F1"/>
    <w:rsid w:val="00D6524B"/>
    <w:rsid w:val="00D71B1A"/>
    <w:rsid w:val="00D71FA7"/>
    <w:rsid w:val="00D728DB"/>
    <w:rsid w:val="00D740A5"/>
    <w:rsid w:val="00D74F6C"/>
    <w:rsid w:val="00D756C8"/>
    <w:rsid w:val="00D75A26"/>
    <w:rsid w:val="00D75B00"/>
    <w:rsid w:val="00D75B62"/>
    <w:rsid w:val="00D7795F"/>
    <w:rsid w:val="00D804F6"/>
    <w:rsid w:val="00D83FD9"/>
    <w:rsid w:val="00D84399"/>
    <w:rsid w:val="00D845D9"/>
    <w:rsid w:val="00D8551E"/>
    <w:rsid w:val="00D869DA"/>
    <w:rsid w:val="00D876EF"/>
    <w:rsid w:val="00D87A39"/>
    <w:rsid w:val="00D90CA6"/>
    <w:rsid w:val="00D916AC"/>
    <w:rsid w:val="00D92F52"/>
    <w:rsid w:val="00D94A1B"/>
    <w:rsid w:val="00D94C31"/>
    <w:rsid w:val="00D971A1"/>
    <w:rsid w:val="00DA04FC"/>
    <w:rsid w:val="00DA2790"/>
    <w:rsid w:val="00DA53A8"/>
    <w:rsid w:val="00DA581A"/>
    <w:rsid w:val="00DA6C19"/>
    <w:rsid w:val="00DA7D15"/>
    <w:rsid w:val="00DB1227"/>
    <w:rsid w:val="00DB36BC"/>
    <w:rsid w:val="00DB41B7"/>
    <w:rsid w:val="00DB6930"/>
    <w:rsid w:val="00DC2B15"/>
    <w:rsid w:val="00DC2DDA"/>
    <w:rsid w:val="00DC3A17"/>
    <w:rsid w:val="00DC4D9D"/>
    <w:rsid w:val="00DC4E19"/>
    <w:rsid w:val="00DC5390"/>
    <w:rsid w:val="00DC68B6"/>
    <w:rsid w:val="00DD0031"/>
    <w:rsid w:val="00DD085E"/>
    <w:rsid w:val="00DD25C7"/>
    <w:rsid w:val="00DD645B"/>
    <w:rsid w:val="00DD67C0"/>
    <w:rsid w:val="00DE1306"/>
    <w:rsid w:val="00DE147F"/>
    <w:rsid w:val="00DE29E3"/>
    <w:rsid w:val="00DE430C"/>
    <w:rsid w:val="00DE4A4A"/>
    <w:rsid w:val="00DE4CA9"/>
    <w:rsid w:val="00DE5312"/>
    <w:rsid w:val="00DE7F11"/>
    <w:rsid w:val="00DF1586"/>
    <w:rsid w:val="00DF1F88"/>
    <w:rsid w:val="00DF3629"/>
    <w:rsid w:val="00DF3E67"/>
    <w:rsid w:val="00DF3F8A"/>
    <w:rsid w:val="00DF6C10"/>
    <w:rsid w:val="00E01F5A"/>
    <w:rsid w:val="00E04392"/>
    <w:rsid w:val="00E066CB"/>
    <w:rsid w:val="00E06D37"/>
    <w:rsid w:val="00E10C0A"/>
    <w:rsid w:val="00E12DCA"/>
    <w:rsid w:val="00E14CF3"/>
    <w:rsid w:val="00E170F9"/>
    <w:rsid w:val="00E1745C"/>
    <w:rsid w:val="00E17D24"/>
    <w:rsid w:val="00E2007C"/>
    <w:rsid w:val="00E2081A"/>
    <w:rsid w:val="00E21348"/>
    <w:rsid w:val="00E21576"/>
    <w:rsid w:val="00E22022"/>
    <w:rsid w:val="00E23E7C"/>
    <w:rsid w:val="00E23F4D"/>
    <w:rsid w:val="00E246F4"/>
    <w:rsid w:val="00E24B1F"/>
    <w:rsid w:val="00E25E6D"/>
    <w:rsid w:val="00E27382"/>
    <w:rsid w:val="00E31309"/>
    <w:rsid w:val="00E35151"/>
    <w:rsid w:val="00E3557C"/>
    <w:rsid w:val="00E355DA"/>
    <w:rsid w:val="00E355FE"/>
    <w:rsid w:val="00E367EB"/>
    <w:rsid w:val="00E401A6"/>
    <w:rsid w:val="00E41207"/>
    <w:rsid w:val="00E413A9"/>
    <w:rsid w:val="00E42FFF"/>
    <w:rsid w:val="00E43BDB"/>
    <w:rsid w:val="00E45C00"/>
    <w:rsid w:val="00E45DD8"/>
    <w:rsid w:val="00E52429"/>
    <w:rsid w:val="00E52735"/>
    <w:rsid w:val="00E56546"/>
    <w:rsid w:val="00E5799F"/>
    <w:rsid w:val="00E57FE0"/>
    <w:rsid w:val="00E60458"/>
    <w:rsid w:val="00E60F56"/>
    <w:rsid w:val="00E62FA2"/>
    <w:rsid w:val="00E648B3"/>
    <w:rsid w:val="00E64D2E"/>
    <w:rsid w:val="00E67F26"/>
    <w:rsid w:val="00E733E4"/>
    <w:rsid w:val="00E73923"/>
    <w:rsid w:val="00E74DFC"/>
    <w:rsid w:val="00E74E36"/>
    <w:rsid w:val="00E77F8B"/>
    <w:rsid w:val="00E83372"/>
    <w:rsid w:val="00E84D9B"/>
    <w:rsid w:val="00E8716E"/>
    <w:rsid w:val="00E92CA2"/>
    <w:rsid w:val="00E942C5"/>
    <w:rsid w:val="00E954CF"/>
    <w:rsid w:val="00E96DC3"/>
    <w:rsid w:val="00E9796D"/>
    <w:rsid w:val="00E97E53"/>
    <w:rsid w:val="00EA0627"/>
    <w:rsid w:val="00EA1187"/>
    <w:rsid w:val="00EA195F"/>
    <w:rsid w:val="00EA361E"/>
    <w:rsid w:val="00EA59D4"/>
    <w:rsid w:val="00EA616D"/>
    <w:rsid w:val="00EA6658"/>
    <w:rsid w:val="00EA70E5"/>
    <w:rsid w:val="00EB57E9"/>
    <w:rsid w:val="00EC0C10"/>
    <w:rsid w:val="00EC4A45"/>
    <w:rsid w:val="00ED0027"/>
    <w:rsid w:val="00ED26E4"/>
    <w:rsid w:val="00ED31C6"/>
    <w:rsid w:val="00ED3BF6"/>
    <w:rsid w:val="00EE2E1B"/>
    <w:rsid w:val="00EE4FBE"/>
    <w:rsid w:val="00EE6E08"/>
    <w:rsid w:val="00EE7C1F"/>
    <w:rsid w:val="00EE7C44"/>
    <w:rsid w:val="00EF19DA"/>
    <w:rsid w:val="00EF19F9"/>
    <w:rsid w:val="00EF1C50"/>
    <w:rsid w:val="00EF22BA"/>
    <w:rsid w:val="00EF41A1"/>
    <w:rsid w:val="00EF5F8F"/>
    <w:rsid w:val="00EF63B8"/>
    <w:rsid w:val="00EF7740"/>
    <w:rsid w:val="00F02EC4"/>
    <w:rsid w:val="00F03DE5"/>
    <w:rsid w:val="00F04534"/>
    <w:rsid w:val="00F04D41"/>
    <w:rsid w:val="00F05D50"/>
    <w:rsid w:val="00F115D0"/>
    <w:rsid w:val="00F12B5C"/>
    <w:rsid w:val="00F15769"/>
    <w:rsid w:val="00F165CA"/>
    <w:rsid w:val="00F20933"/>
    <w:rsid w:val="00F23E31"/>
    <w:rsid w:val="00F249BB"/>
    <w:rsid w:val="00F24BFF"/>
    <w:rsid w:val="00F25184"/>
    <w:rsid w:val="00F254B4"/>
    <w:rsid w:val="00F275B0"/>
    <w:rsid w:val="00F27956"/>
    <w:rsid w:val="00F32379"/>
    <w:rsid w:val="00F32D46"/>
    <w:rsid w:val="00F34655"/>
    <w:rsid w:val="00F34FE3"/>
    <w:rsid w:val="00F36C9F"/>
    <w:rsid w:val="00F3748D"/>
    <w:rsid w:val="00F41B65"/>
    <w:rsid w:val="00F42001"/>
    <w:rsid w:val="00F42862"/>
    <w:rsid w:val="00F433CB"/>
    <w:rsid w:val="00F4470C"/>
    <w:rsid w:val="00F44F43"/>
    <w:rsid w:val="00F46E08"/>
    <w:rsid w:val="00F513D7"/>
    <w:rsid w:val="00F523C3"/>
    <w:rsid w:val="00F528BC"/>
    <w:rsid w:val="00F533DA"/>
    <w:rsid w:val="00F538D2"/>
    <w:rsid w:val="00F55910"/>
    <w:rsid w:val="00F55CA0"/>
    <w:rsid w:val="00F57CA6"/>
    <w:rsid w:val="00F60BD7"/>
    <w:rsid w:val="00F624D4"/>
    <w:rsid w:val="00F64BE8"/>
    <w:rsid w:val="00F66123"/>
    <w:rsid w:val="00F66C0F"/>
    <w:rsid w:val="00F67B65"/>
    <w:rsid w:val="00F71E1E"/>
    <w:rsid w:val="00F722DF"/>
    <w:rsid w:val="00F73397"/>
    <w:rsid w:val="00F748BF"/>
    <w:rsid w:val="00F74C89"/>
    <w:rsid w:val="00F7508A"/>
    <w:rsid w:val="00F769B9"/>
    <w:rsid w:val="00F77F5C"/>
    <w:rsid w:val="00F80791"/>
    <w:rsid w:val="00F8259F"/>
    <w:rsid w:val="00F86E08"/>
    <w:rsid w:val="00F86E33"/>
    <w:rsid w:val="00F901CC"/>
    <w:rsid w:val="00F91A5F"/>
    <w:rsid w:val="00F91EF2"/>
    <w:rsid w:val="00F93660"/>
    <w:rsid w:val="00F9475D"/>
    <w:rsid w:val="00F94AA5"/>
    <w:rsid w:val="00F9517E"/>
    <w:rsid w:val="00F96011"/>
    <w:rsid w:val="00F96408"/>
    <w:rsid w:val="00F97C6B"/>
    <w:rsid w:val="00FA344F"/>
    <w:rsid w:val="00FA4726"/>
    <w:rsid w:val="00FA53AD"/>
    <w:rsid w:val="00FB013F"/>
    <w:rsid w:val="00FB0A5D"/>
    <w:rsid w:val="00FB431F"/>
    <w:rsid w:val="00FB4A62"/>
    <w:rsid w:val="00FC2612"/>
    <w:rsid w:val="00FC265C"/>
    <w:rsid w:val="00FC274D"/>
    <w:rsid w:val="00FC490D"/>
    <w:rsid w:val="00FC56E2"/>
    <w:rsid w:val="00FC7527"/>
    <w:rsid w:val="00FC7787"/>
    <w:rsid w:val="00FD0C19"/>
    <w:rsid w:val="00FD14D7"/>
    <w:rsid w:val="00FD2328"/>
    <w:rsid w:val="00FD405B"/>
    <w:rsid w:val="00FD4E3A"/>
    <w:rsid w:val="00FD6658"/>
    <w:rsid w:val="00FD7006"/>
    <w:rsid w:val="00FE0176"/>
    <w:rsid w:val="00FE1E77"/>
    <w:rsid w:val="00FE232C"/>
    <w:rsid w:val="00FE3A96"/>
    <w:rsid w:val="00FE5115"/>
    <w:rsid w:val="00FE61FE"/>
    <w:rsid w:val="00FE7F91"/>
    <w:rsid w:val="00FF30BA"/>
    <w:rsid w:val="00FF45E5"/>
    <w:rsid w:val="00FF4918"/>
    <w:rsid w:val="00FF4E5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ECC47E"/>
  <w15:docId w15:val="{45C04209-390B-4ADA-BE9D-160C15945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69D"/>
    <w:pPr>
      <w:jc w:val="both"/>
    </w:pPr>
    <w:rPr>
      <w:rFonts w:ascii="Arial" w:hAnsi="Arial"/>
      <w:bCs/>
      <w:color w:val="000000"/>
      <w:sz w:val="18"/>
      <w:szCs w:val="18"/>
      <w:lang w:val="en-ZA"/>
    </w:rPr>
  </w:style>
  <w:style w:type="paragraph" w:styleId="Heading1">
    <w:name w:val="heading 1"/>
    <w:basedOn w:val="Normal"/>
    <w:next w:val="Normal"/>
    <w:qFormat/>
    <w:rsid w:val="003000E8"/>
    <w:pPr>
      <w:keepNext/>
      <w:shd w:val="clear" w:color="auto" w:fill="E6E6E6"/>
      <w:ind w:left="540" w:right="-150" w:hanging="540"/>
      <w:jc w:val="left"/>
      <w:outlineLvl w:val="0"/>
    </w:pPr>
    <w:rPr>
      <w:b/>
      <w:bCs w:val="0"/>
      <w:caps/>
      <w:sz w:val="23"/>
      <w:lang w:val="en-US"/>
    </w:rPr>
  </w:style>
  <w:style w:type="paragraph" w:styleId="Heading2">
    <w:name w:val="heading 2"/>
    <w:basedOn w:val="Normal"/>
    <w:next w:val="Normal"/>
    <w:autoRedefine/>
    <w:qFormat/>
    <w:rsid w:val="00110944"/>
    <w:pPr>
      <w:widowControl w:val="0"/>
      <w:shd w:val="clear" w:color="auto" w:fill="E6E6E6"/>
      <w:ind w:left="709" w:right="-150" w:hanging="709"/>
      <w:jc w:val="left"/>
      <w:outlineLvl w:val="1"/>
    </w:pPr>
    <w:rPr>
      <w:rFonts w:cs="Arial"/>
      <w:b/>
      <w:bCs w:val="0"/>
      <w:caps/>
      <w:color w:val="auto"/>
      <w:sz w:val="22"/>
      <w:lang w:val="en-US"/>
    </w:rPr>
  </w:style>
  <w:style w:type="paragraph" w:styleId="Heading3">
    <w:name w:val="heading 3"/>
    <w:basedOn w:val="Normal"/>
    <w:next w:val="Normal"/>
    <w:qFormat/>
    <w:rsid w:val="00074330"/>
    <w:pPr>
      <w:keepNext/>
      <w:shd w:val="clear" w:color="auto" w:fill="E6E6E6"/>
      <w:outlineLvl w:val="2"/>
    </w:pPr>
    <w:rPr>
      <w:b/>
      <w:bCs w:val="0"/>
      <w:caps/>
    </w:rPr>
  </w:style>
  <w:style w:type="paragraph" w:styleId="Heading4">
    <w:name w:val="heading 4"/>
    <w:basedOn w:val="Normal"/>
    <w:next w:val="Normal"/>
    <w:autoRedefine/>
    <w:qFormat/>
    <w:rsid w:val="00C02921"/>
    <w:pPr>
      <w:keepNext/>
      <w:outlineLvl w:val="3"/>
    </w:pPr>
    <w:rPr>
      <w:rFonts w:cs="Arial"/>
      <w:caps/>
      <w:sz w:val="16"/>
      <w:szCs w:val="16"/>
      <w:lang w:val="en-GB"/>
    </w:rPr>
  </w:style>
  <w:style w:type="paragraph" w:styleId="Heading5">
    <w:name w:val="heading 5"/>
    <w:basedOn w:val="Normal"/>
    <w:next w:val="Normal"/>
    <w:link w:val="Heading5Char"/>
    <w:qFormat/>
    <w:rsid w:val="005C63D3"/>
    <w:pPr>
      <w:keepNext/>
      <w:outlineLvl w:val="4"/>
    </w:pPr>
    <w:rPr>
      <w:b/>
      <w:bCs w:val="0"/>
      <w:sz w:val="20"/>
      <w:szCs w:val="20"/>
    </w:rPr>
  </w:style>
  <w:style w:type="paragraph" w:styleId="Heading6">
    <w:name w:val="heading 6"/>
    <w:basedOn w:val="Normal"/>
    <w:next w:val="Normal"/>
    <w:qFormat/>
    <w:rsid w:val="00C57DF2"/>
    <w:pPr>
      <w:keepNext/>
      <w:outlineLvl w:val="5"/>
    </w:pPr>
    <w:rPr>
      <w:b/>
      <w:bCs w:val="0"/>
      <w:lang w:val="en-GB"/>
    </w:rPr>
  </w:style>
  <w:style w:type="paragraph" w:styleId="Heading7">
    <w:name w:val="heading 7"/>
    <w:basedOn w:val="Normal"/>
    <w:next w:val="Normal"/>
    <w:qFormat/>
    <w:rsid w:val="00074330"/>
    <w:pPr>
      <w:keepNext/>
      <w:widowControl w:val="0"/>
      <w:tabs>
        <w:tab w:val="left" w:pos="360"/>
      </w:tabs>
      <w:outlineLvl w:val="6"/>
    </w:pPr>
    <w:rPr>
      <w:rFonts w:cs="Arial"/>
      <w:b/>
      <w:bCs w:val="0"/>
      <w:szCs w:val="20"/>
      <w:lang w:val="en-US" w:eastAsia="en-ZA"/>
    </w:rPr>
  </w:style>
  <w:style w:type="paragraph" w:styleId="Heading8">
    <w:name w:val="heading 8"/>
    <w:basedOn w:val="Normal"/>
    <w:next w:val="Normal"/>
    <w:qFormat/>
    <w:rsid w:val="00074330"/>
    <w:pPr>
      <w:keepNext/>
      <w:jc w:val="center"/>
      <w:outlineLvl w:val="7"/>
    </w:pPr>
    <w:rPr>
      <w:b/>
      <w:bCs w:val="0"/>
    </w:rPr>
  </w:style>
  <w:style w:type="paragraph" w:styleId="Heading9">
    <w:name w:val="heading 9"/>
    <w:basedOn w:val="Normal"/>
    <w:next w:val="Normal"/>
    <w:qFormat/>
    <w:rsid w:val="00074330"/>
    <w:pPr>
      <w:keepNext/>
      <w:widowControl w:val="0"/>
      <w:tabs>
        <w:tab w:val="left" w:pos="360"/>
      </w:tabs>
      <w:outlineLvl w:val="8"/>
    </w:pPr>
    <w:rPr>
      <w:rFonts w:cs="Arial"/>
      <w:szCs w:val="20"/>
      <w:u w:val="single"/>
      <w:lang w:val="en-US"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head1"/>
    <w:basedOn w:val="Heading1"/>
    <w:autoRedefine/>
    <w:rsid w:val="00074330"/>
    <w:rPr>
      <w:caps w:val="0"/>
      <w:kern w:val="24"/>
      <w:sz w:val="22"/>
      <w:szCs w:val="20"/>
      <w:lang w:val="en-ZA"/>
    </w:rPr>
  </w:style>
  <w:style w:type="paragraph" w:styleId="BodyText">
    <w:name w:val="Body Text"/>
    <w:basedOn w:val="Normal"/>
    <w:rsid w:val="00074330"/>
    <w:rPr>
      <w:bCs w:val="0"/>
      <w:sz w:val="16"/>
    </w:rPr>
  </w:style>
  <w:style w:type="paragraph" w:customStyle="1" w:styleId="head2">
    <w:name w:val="head2"/>
    <w:autoRedefine/>
    <w:rsid w:val="00074330"/>
    <w:rPr>
      <w:rFonts w:ascii="Arial" w:hAnsi="Arial"/>
      <w:b/>
      <w:bCs/>
      <w:sz w:val="18"/>
      <w:lang w:val="en-ZA"/>
    </w:rPr>
  </w:style>
  <w:style w:type="paragraph" w:customStyle="1" w:styleId="Heading10">
    <w:name w:val="Heading 10"/>
    <w:basedOn w:val="Normal"/>
    <w:autoRedefine/>
    <w:rsid w:val="00074330"/>
    <w:pPr>
      <w:numPr>
        <w:numId w:val="2"/>
      </w:numPr>
      <w:jc w:val="center"/>
    </w:pPr>
    <w:rPr>
      <w:b/>
      <w:caps/>
    </w:rPr>
  </w:style>
  <w:style w:type="paragraph" w:customStyle="1" w:styleId="ep4">
    <w:name w:val="ep4"/>
    <w:basedOn w:val="Normal"/>
    <w:rsid w:val="005C63D3"/>
    <w:pPr>
      <w:widowControl w:val="0"/>
      <w:numPr>
        <w:numId w:val="5"/>
      </w:numPr>
    </w:pPr>
    <w:rPr>
      <w:rFonts w:cs="Arial"/>
      <w:szCs w:val="20"/>
    </w:rPr>
  </w:style>
  <w:style w:type="paragraph" w:customStyle="1" w:styleId="DefaultText">
    <w:name w:val="Default Text"/>
    <w:basedOn w:val="Normal"/>
    <w:autoRedefine/>
    <w:rsid w:val="00074330"/>
    <w:pPr>
      <w:shd w:val="clear" w:color="auto" w:fill="E6E6E6"/>
      <w:overflowPunct w:val="0"/>
      <w:autoSpaceDE w:val="0"/>
      <w:autoSpaceDN w:val="0"/>
      <w:adjustRightInd w:val="0"/>
      <w:textAlignment w:val="baseline"/>
    </w:pPr>
    <w:rPr>
      <w:b/>
      <w:caps/>
      <w:sz w:val="20"/>
      <w:szCs w:val="20"/>
      <w:lang w:val="en-US"/>
    </w:rPr>
  </w:style>
  <w:style w:type="paragraph" w:customStyle="1" w:styleId="Bullet1">
    <w:name w:val="Bullet 1"/>
    <w:basedOn w:val="Normal"/>
    <w:autoRedefine/>
    <w:rsid w:val="00407C61"/>
    <w:rPr>
      <w:rFonts w:cs="Arial"/>
      <w:spacing w:val="-4"/>
    </w:rPr>
  </w:style>
  <w:style w:type="paragraph" w:customStyle="1" w:styleId="Title1">
    <w:name w:val="Title1"/>
    <w:basedOn w:val="Normal"/>
    <w:autoRedefine/>
    <w:rsid w:val="00074330"/>
    <w:pPr>
      <w:shd w:val="clear" w:color="auto" w:fill="000000"/>
      <w:jc w:val="center"/>
      <w:outlineLvl w:val="0"/>
    </w:pPr>
    <w:rPr>
      <w:b/>
      <w:sz w:val="24"/>
      <w:szCs w:val="20"/>
    </w:rPr>
  </w:style>
  <w:style w:type="paragraph" w:customStyle="1" w:styleId="epr">
    <w:name w:val="epr"/>
    <w:basedOn w:val="Normal"/>
    <w:autoRedefine/>
    <w:rsid w:val="00074330"/>
    <w:rPr>
      <w:sz w:val="16"/>
    </w:rPr>
  </w:style>
  <w:style w:type="paragraph" w:customStyle="1" w:styleId="head3">
    <w:name w:val="head3"/>
    <w:autoRedefine/>
    <w:rsid w:val="00074330"/>
    <w:pPr>
      <w:shd w:val="clear" w:color="auto" w:fill="E6E6E6"/>
      <w:spacing w:line="180" w:lineRule="exact"/>
    </w:pPr>
    <w:rPr>
      <w:rFonts w:ascii="Arial" w:hAnsi="Arial"/>
      <w:b/>
      <w:lang w:val="en-ZA"/>
    </w:rPr>
  </w:style>
  <w:style w:type="paragraph" w:styleId="BodyText2">
    <w:name w:val="Body Text 2"/>
    <w:basedOn w:val="Normal"/>
    <w:rsid w:val="00074330"/>
    <w:rPr>
      <w:rFonts w:cs="Arial"/>
    </w:rPr>
  </w:style>
  <w:style w:type="paragraph" w:styleId="Header">
    <w:name w:val="header"/>
    <w:basedOn w:val="Normal"/>
    <w:autoRedefine/>
    <w:rsid w:val="00BD57A3"/>
    <w:pPr>
      <w:tabs>
        <w:tab w:val="center" w:pos="6120"/>
        <w:tab w:val="right" w:pos="8306"/>
      </w:tabs>
    </w:pPr>
    <w:rPr>
      <w:b/>
      <w:smallCaps/>
    </w:rPr>
  </w:style>
  <w:style w:type="paragraph" w:styleId="CommentText">
    <w:name w:val="annotation text"/>
    <w:basedOn w:val="Normal"/>
    <w:link w:val="CommentTextChar"/>
    <w:rsid w:val="00074330"/>
    <w:rPr>
      <w:b/>
      <w:bCs w:val="0"/>
      <w:color w:val="auto"/>
      <w:sz w:val="22"/>
      <w:szCs w:val="20"/>
    </w:rPr>
  </w:style>
  <w:style w:type="paragraph" w:styleId="Title">
    <w:name w:val="Title"/>
    <w:basedOn w:val="Normal"/>
    <w:autoRedefine/>
    <w:qFormat/>
    <w:rsid w:val="00074330"/>
    <w:pPr>
      <w:shd w:val="clear" w:color="auto" w:fill="000000"/>
      <w:jc w:val="center"/>
    </w:pPr>
    <w:rPr>
      <w:rFonts w:cs="Arial"/>
      <w:b/>
      <w:bCs w:val="0"/>
      <w:caps/>
      <w:sz w:val="24"/>
      <w:shd w:val="solid" w:color="auto" w:fill="000000"/>
      <w:lang w:val="en-US"/>
    </w:rPr>
  </w:style>
  <w:style w:type="paragraph" w:customStyle="1" w:styleId="epb">
    <w:name w:val="epb"/>
    <w:basedOn w:val="Normal"/>
    <w:autoRedefine/>
    <w:rsid w:val="00074330"/>
    <w:pPr>
      <w:spacing w:line="180" w:lineRule="exact"/>
    </w:pPr>
    <w:rPr>
      <w:b/>
      <w:bCs w:val="0"/>
      <w:caps/>
      <w:color w:val="auto"/>
      <w:szCs w:val="20"/>
    </w:rPr>
  </w:style>
  <w:style w:type="paragraph" w:customStyle="1" w:styleId="ep0">
    <w:name w:val="ep0"/>
    <w:rsid w:val="002E77B1"/>
    <w:pPr>
      <w:ind w:left="48"/>
      <w:jc w:val="both"/>
    </w:pPr>
    <w:rPr>
      <w:rFonts w:ascii="Arial" w:hAnsi="Arial"/>
      <w:strike/>
      <w:sz w:val="18"/>
      <w:lang w:val="en-ZA"/>
    </w:rPr>
  </w:style>
  <w:style w:type="paragraph" w:customStyle="1" w:styleId="ep5">
    <w:name w:val="ep5"/>
    <w:basedOn w:val="Normal"/>
    <w:autoRedefine/>
    <w:rsid w:val="00074330"/>
    <w:pPr>
      <w:jc w:val="left"/>
    </w:pPr>
    <w:rPr>
      <w:bCs w:val="0"/>
      <w:szCs w:val="20"/>
    </w:rPr>
  </w:style>
  <w:style w:type="paragraph" w:customStyle="1" w:styleId="elist">
    <w:name w:val="elist"/>
    <w:basedOn w:val="ep0"/>
    <w:autoRedefine/>
    <w:rsid w:val="00074330"/>
    <w:pPr>
      <w:numPr>
        <w:numId w:val="1"/>
      </w:numPr>
      <w:tabs>
        <w:tab w:val="left" w:pos="113"/>
      </w:tabs>
      <w:jc w:val="left"/>
    </w:pPr>
  </w:style>
  <w:style w:type="paragraph" w:styleId="Footer">
    <w:name w:val="footer"/>
    <w:basedOn w:val="Normal"/>
    <w:link w:val="FooterChar"/>
    <w:uiPriority w:val="99"/>
    <w:rsid w:val="0026249C"/>
    <w:pPr>
      <w:tabs>
        <w:tab w:val="center" w:pos="5580"/>
        <w:tab w:val="right" w:pos="8306"/>
      </w:tabs>
      <w:overflowPunct w:val="0"/>
      <w:autoSpaceDE w:val="0"/>
      <w:autoSpaceDN w:val="0"/>
      <w:adjustRightInd w:val="0"/>
      <w:jc w:val="left"/>
      <w:textAlignment w:val="baseline"/>
    </w:pPr>
    <w:rPr>
      <w:bCs w:val="0"/>
      <w:noProof/>
      <w:sz w:val="16"/>
      <w:szCs w:val="16"/>
      <w:lang w:val="en-US"/>
    </w:rPr>
  </w:style>
  <w:style w:type="paragraph" w:customStyle="1" w:styleId="ep00">
    <w:name w:val="ep00"/>
    <w:basedOn w:val="ep0"/>
    <w:rsid w:val="00074330"/>
    <w:pPr>
      <w:widowControl w:val="0"/>
      <w:numPr>
        <w:numId w:val="4"/>
      </w:numPr>
    </w:pPr>
  </w:style>
  <w:style w:type="paragraph" w:styleId="NormalWeb">
    <w:name w:val="Normal (Web)"/>
    <w:basedOn w:val="Normal"/>
    <w:uiPriority w:val="99"/>
    <w:rsid w:val="00074330"/>
    <w:pPr>
      <w:widowControl w:val="0"/>
      <w:tabs>
        <w:tab w:val="left" w:pos="360"/>
      </w:tabs>
      <w:spacing w:before="100" w:beforeAutospacing="1" w:after="100" w:afterAutospacing="1"/>
    </w:pPr>
    <w:rPr>
      <w:rFonts w:ascii="Arial Unicode MS" w:eastAsia="Arial Unicode MS" w:hAnsi="Arial Unicode MS" w:cs="Arial Unicode MS"/>
      <w:szCs w:val="20"/>
      <w:lang w:val="en-GB"/>
    </w:rPr>
  </w:style>
  <w:style w:type="paragraph" w:customStyle="1" w:styleId="Normal2">
    <w:name w:val="Normal2"/>
    <w:basedOn w:val="Normal"/>
    <w:rsid w:val="00305D2C"/>
    <w:pPr>
      <w:widowControl w:val="0"/>
    </w:pPr>
    <w:rPr>
      <w:rFonts w:cs="Arial"/>
      <w:szCs w:val="20"/>
      <w:lang w:val="en-US" w:eastAsia="en-ZA"/>
    </w:rPr>
  </w:style>
  <w:style w:type="paragraph" w:customStyle="1" w:styleId="Level1">
    <w:name w:val="Level 1"/>
    <w:basedOn w:val="Normal"/>
    <w:rsid w:val="00074330"/>
    <w:pPr>
      <w:widowControl w:val="0"/>
      <w:tabs>
        <w:tab w:val="left" w:pos="360"/>
      </w:tabs>
      <w:autoSpaceDE w:val="0"/>
      <w:autoSpaceDN w:val="0"/>
      <w:adjustRightInd w:val="0"/>
      <w:ind w:left="333" w:hanging="170"/>
    </w:pPr>
    <w:rPr>
      <w:rFonts w:ascii="Times New Roman" w:hAnsi="Times New Roman" w:cs="Arial"/>
      <w:szCs w:val="20"/>
      <w:lang w:val="en-US"/>
    </w:rPr>
  </w:style>
  <w:style w:type="paragraph" w:styleId="BalloonText">
    <w:name w:val="Balloon Text"/>
    <w:basedOn w:val="Normal"/>
    <w:semiHidden/>
    <w:rsid w:val="00074330"/>
    <w:pPr>
      <w:widowControl w:val="0"/>
      <w:tabs>
        <w:tab w:val="left" w:pos="360"/>
      </w:tabs>
    </w:pPr>
    <w:rPr>
      <w:rFonts w:ascii="Tahoma" w:hAnsi="Tahoma" w:cs="Tahoma"/>
      <w:sz w:val="16"/>
      <w:szCs w:val="16"/>
      <w:lang w:val="en-US" w:eastAsia="en-ZA"/>
    </w:rPr>
  </w:style>
  <w:style w:type="paragraph" w:styleId="BodyTextIndent3">
    <w:name w:val="Body Text Indent 3"/>
    <w:basedOn w:val="Normal"/>
    <w:rsid w:val="00074330"/>
    <w:pPr>
      <w:widowControl w:val="0"/>
      <w:tabs>
        <w:tab w:val="left" w:pos="360"/>
      </w:tabs>
    </w:pPr>
    <w:rPr>
      <w:rFonts w:cs="Arial"/>
      <w:szCs w:val="20"/>
      <w:lang w:val="en-US" w:eastAsia="en-ZA"/>
    </w:rPr>
  </w:style>
  <w:style w:type="paragraph" w:styleId="BlockText">
    <w:name w:val="Block Text"/>
    <w:basedOn w:val="Normal"/>
    <w:rsid w:val="00074330"/>
    <w:pPr>
      <w:widowControl w:val="0"/>
      <w:tabs>
        <w:tab w:val="left" w:pos="360"/>
      </w:tabs>
      <w:spacing w:before="60" w:after="60"/>
      <w:jc w:val="center"/>
    </w:pPr>
    <w:rPr>
      <w:rFonts w:cs="Arial"/>
      <w:szCs w:val="20"/>
      <w:lang w:val="en-US" w:eastAsia="en-ZA"/>
    </w:rPr>
  </w:style>
  <w:style w:type="paragraph" w:customStyle="1" w:styleId="Head4">
    <w:name w:val="Head4"/>
    <w:basedOn w:val="Normal"/>
    <w:rsid w:val="00074330"/>
    <w:pPr>
      <w:widowControl w:val="0"/>
      <w:pBdr>
        <w:top w:val="single" w:sz="6" w:space="1" w:color="auto"/>
        <w:bottom w:val="single" w:sz="6" w:space="1" w:color="auto"/>
      </w:pBdr>
      <w:tabs>
        <w:tab w:val="left" w:pos="360"/>
      </w:tabs>
    </w:pPr>
    <w:rPr>
      <w:rFonts w:ascii="Times New Roman" w:hAnsi="Times New Roman" w:cs="Arial"/>
      <w:b/>
      <w:bCs w:val="0"/>
      <w:smallCaps/>
      <w:sz w:val="20"/>
      <w:szCs w:val="20"/>
    </w:rPr>
  </w:style>
  <w:style w:type="paragraph" w:customStyle="1" w:styleId="P1s">
    <w:name w:val="P1s"/>
    <w:basedOn w:val="Normal"/>
    <w:rsid w:val="00074330"/>
    <w:pPr>
      <w:widowControl w:val="0"/>
      <w:tabs>
        <w:tab w:val="left" w:pos="360"/>
      </w:tabs>
      <w:spacing w:line="170" w:lineRule="exact"/>
      <w:ind w:left="113" w:hanging="113"/>
    </w:pPr>
    <w:rPr>
      <w:rFonts w:ascii="Times New Roman" w:hAnsi="Times New Roman" w:cs="Arial"/>
      <w:sz w:val="14"/>
      <w:szCs w:val="14"/>
    </w:rPr>
  </w:style>
  <w:style w:type="paragraph" w:customStyle="1" w:styleId="P03">
    <w:name w:val="P03"/>
    <w:basedOn w:val="Normal"/>
    <w:rsid w:val="00074330"/>
    <w:pPr>
      <w:widowControl w:val="0"/>
      <w:tabs>
        <w:tab w:val="left" w:pos="360"/>
      </w:tabs>
      <w:spacing w:line="60" w:lineRule="exact"/>
    </w:pPr>
    <w:rPr>
      <w:rFonts w:ascii="Times New Roman" w:hAnsi="Times New Roman" w:cs="Arial"/>
      <w:sz w:val="16"/>
      <w:szCs w:val="20"/>
    </w:rPr>
  </w:style>
  <w:style w:type="paragraph" w:customStyle="1" w:styleId="P01">
    <w:name w:val="P01"/>
    <w:basedOn w:val="Normal"/>
    <w:rsid w:val="00074330"/>
    <w:pPr>
      <w:widowControl w:val="0"/>
      <w:tabs>
        <w:tab w:val="left" w:pos="360"/>
      </w:tabs>
      <w:spacing w:line="40" w:lineRule="exact"/>
    </w:pPr>
    <w:rPr>
      <w:rFonts w:ascii="Times New Roman" w:hAnsi="Times New Roman" w:cs="Arial"/>
      <w:sz w:val="16"/>
      <w:szCs w:val="16"/>
    </w:rPr>
  </w:style>
  <w:style w:type="paragraph" w:customStyle="1" w:styleId="Blocktextb">
    <w:name w:val="Block textb"/>
    <w:basedOn w:val="BlockText"/>
    <w:autoRedefine/>
    <w:rsid w:val="00074330"/>
    <w:pPr>
      <w:framePr w:hSpace="180" w:wrap="around" w:vAnchor="text" w:hAnchor="margin" w:y="105"/>
    </w:pPr>
    <w:rPr>
      <w:b/>
    </w:rPr>
  </w:style>
  <w:style w:type="paragraph" w:styleId="BodyTextIndent2">
    <w:name w:val="Body Text Indent 2"/>
    <w:basedOn w:val="Normal"/>
    <w:link w:val="BodyTextIndent2Char"/>
    <w:rsid w:val="00074330"/>
    <w:pPr>
      <w:widowControl w:val="0"/>
      <w:tabs>
        <w:tab w:val="left" w:pos="360"/>
      </w:tabs>
      <w:autoSpaceDE w:val="0"/>
      <w:autoSpaceDN w:val="0"/>
      <w:adjustRightInd w:val="0"/>
      <w:ind w:left="720"/>
    </w:pPr>
    <w:rPr>
      <w:rFonts w:cs="Arial"/>
      <w:sz w:val="20"/>
      <w:szCs w:val="16"/>
      <w:lang w:val="en-US"/>
    </w:rPr>
  </w:style>
  <w:style w:type="paragraph" w:customStyle="1" w:styleId="P1">
    <w:name w:val="P1"/>
    <w:rsid w:val="00074330"/>
    <w:pPr>
      <w:spacing w:line="170" w:lineRule="exact"/>
      <w:jc w:val="both"/>
    </w:pPr>
    <w:rPr>
      <w:sz w:val="16"/>
      <w:szCs w:val="16"/>
      <w:lang w:val="en-ZA"/>
    </w:rPr>
  </w:style>
  <w:style w:type="paragraph" w:customStyle="1" w:styleId="P8">
    <w:name w:val="P8"/>
    <w:basedOn w:val="P1"/>
    <w:rsid w:val="00074330"/>
    <w:pPr>
      <w:ind w:left="227"/>
    </w:pPr>
  </w:style>
  <w:style w:type="paragraph" w:customStyle="1" w:styleId="pb">
    <w:name w:val="pb"/>
    <w:basedOn w:val="P1"/>
    <w:rsid w:val="00074330"/>
    <w:rPr>
      <w:b/>
      <w:bCs/>
    </w:rPr>
  </w:style>
  <w:style w:type="character" w:styleId="PageNumber">
    <w:name w:val="page number"/>
    <w:basedOn w:val="DefaultParagraphFont"/>
    <w:rsid w:val="00074330"/>
  </w:style>
  <w:style w:type="paragraph" w:styleId="BodyTextIndent">
    <w:name w:val="Body Text Indent"/>
    <w:basedOn w:val="Normal"/>
    <w:rsid w:val="00074330"/>
    <w:pPr>
      <w:ind w:left="360"/>
    </w:pPr>
  </w:style>
  <w:style w:type="paragraph" w:customStyle="1" w:styleId="Style1">
    <w:name w:val="Style1"/>
    <w:basedOn w:val="ep0"/>
    <w:autoRedefine/>
    <w:rsid w:val="00074330"/>
    <w:pPr>
      <w:numPr>
        <w:numId w:val="6"/>
      </w:numPr>
      <w:jc w:val="left"/>
    </w:pPr>
    <w:rPr>
      <w:lang w:val="en-GB"/>
    </w:rPr>
  </w:style>
  <w:style w:type="paragraph" w:customStyle="1" w:styleId="ep1">
    <w:name w:val="ep1"/>
    <w:basedOn w:val="Normal"/>
    <w:rsid w:val="00074330"/>
    <w:pPr>
      <w:numPr>
        <w:numId w:val="7"/>
      </w:numPr>
    </w:pPr>
  </w:style>
  <w:style w:type="paragraph" w:customStyle="1" w:styleId="Style2">
    <w:name w:val="Style2"/>
    <w:basedOn w:val="Style1"/>
    <w:autoRedefine/>
    <w:rsid w:val="006A2328"/>
    <w:pPr>
      <w:numPr>
        <w:numId w:val="3"/>
      </w:numPr>
      <w:tabs>
        <w:tab w:val="clear" w:pos="717"/>
      </w:tabs>
      <w:ind w:hanging="187"/>
    </w:pPr>
  </w:style>
  <w:style w:type="paragraph" w:styleId="DocumentMap">
    <w:name w:val="Document Map"/>
    <w:basedOn w:val="Normal"/>
    <w:semiHidden/>
    <w:rsid w:val="00E3710A"/>
    <w:pPr>
      <w:shd w:val="clear" w:color="auto" w:fill="000080"/>
    </w:pPr>
    <w:rPr>
      <w:rFonts w:ascii="Tahoma" w:hAnsi="Tahoma" w:cs="Tahoma"/>
      <w:sz w:val="20"/>
      <w:szCs w:val="20"/>
    </w:rPr>
  </w:style>
  <w:style w:type="character" w:styleId="Emphasis">
    <w:name w:val="Emphasis"/>
    <w:qFormat/>
    <w:rsid w:val="00F615AE"/>
    <w:rPr>
      <w:i/>
      <w:iCs/>
    </w:rPr>
  </w:style>
  <w:style w:type="table" w:styleId="TableGrid">
    <w:name w:val="Table Grid"/>
    <w:basedOn w:val="TableNormal"/>
    <w:uiPriority w:val="59"/>
    <w:rsid w:val="000350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text">
    <w:name w:val="abstracttext"/>
    <w:basedOn w:val="Normal"/>
    <w:rsid w:val="00020237"/>
    <w:pPr>
      <w:spacing w:before="100" w:beforeAutospacing="1" w:after="100" w:afterAutospacing="1"/>
      <w:ind w:right="20"/>
      <w:jc w:val="left"/>
    </w:pPr>
    <w:rPr>
      <w:rFonts w:cs="Arial"/>
      <w:b/>
      <w:bCs w:val="0"/>
      <w:sz w:val="13"/>
      <w:szCs w:val="13"/>
      <w:lang w:val="en-GB" w:eastAsia="en-GB"/>
    </w:rPr>
  </w:style>
  <w:style w:type="character" w:customStyle="1" w:styleId="textbold">
    <w:name w:val="text_bold"/>
    <w:basedOn w:val="DefaultParagraphFont"/>
    <w:rsid w:val="00020237"/>
  </w:style>
  <w:style w:type="character" w:styleId="CommentReference">
    <w:name w:val="annotation reference"/>
    <w:uiPriority w:val="99"/>
    <w:rsid w:val="00B468C9"/>
    <w:rPr>
      <w:sz w:val="16"/>
      <w:szCs w:val="16"/>
    </w:rPr>
  </w:style>
  <w:style w:type="paragraph" w:styleId="ListParagraph">
    <w:name w:val="List Paragraph"/>
    <w:basedOn w:val="Normal"/>
    <w:uiPriority w:val="34"/>
    <w:qFormat/>
    <w:rsid w:val="00B468C9"/>
    <w:pPr>
      <w:spacing w:line="360" w:lineRule="auto"/>
      <w:ind w:left="720"/>
      <w:jc w:val="left"/>
    </w:pPr>
    <w:rPr>
      <w:rFonts w:ascii="Calibri" w:hAnsi="Calibri"/>
      <w:bCs w:val="0"/>
      <w:sz w:val="22"/>
      <w:szCs w:val="22"/>
    </w:rPr>
  </w:style>
  <w:style w:type="paragraph" w:styleId="CommentSubject">
    <w:name w:val="annotation subject"/>
    <w:basedOn w:val="CommentText"/>
    <w:next w:val="CommentText"/>
    <w:semiHidden/>
    <w:rsid w:val="0072080F"/>
    <w:rPr>
      <w:bCs/>
      <w:sz w:val="20"/>
    </w:rPr>
  </w:style>
  <w:style w:type="paragraph" w:customStyle="1" w:styleId="ChapterHeader">
    <w:name w:val="Chapter Header"/>
    <w:qFormat/>
    <w:rsid w:val="00696F84"/>
    <w:pPr>
      <w:spacing w:line="360" w:lineRule="auto"/>
      <w:jc w:val="center"/>
    </w:pPr>
    <w:rPr>
      <w:rFonts w:ascii="Arial" w:hAnsi="Arial" w:cs="Arial"/>
      <w:b/>
      <w:noProof/>
      <w:color w:val="000000"/>
      <w:sz w:val="28"/>
      <w:szCs w:val="18"/>
      <w:lang w:val="en-ZA"/>
    </w:rPr>
  </w:style>
  <w:style w:type="paragraph" w:customStyle="1" w:styleId="StyleHeading111pt">
    <w:name w:val="Style Heading 1 + 11 pt"/>
    <w:basedOn w:val="Heading1"/>
    <w:rsid w:val="00C57DF2"/>
    <w:rPr>
      <w:bCs/>
      <w:sz w:val="22"/>
    </w:rPr>
  </w:style>
  <w:style w:type="paragraph" w:customStyle="1" w:styleId="Medicinebullet1">
    <w:name w:val="Medicine bullet 1"/>
    <w:qFormat/>
    <w:rsid w:val="00C57DF2"/>
    <w:rPr>
      <w:rFonts w:ascii="Arial" w:hAnsi="Arial"/>
      <w:noProof/>
      <w:sz w:val="18"/>
      <w:szCs w:val="18"/>
      <w:lang w:val="en-ZA"/>
    </w:rPr>
  </w:style>
  <w:style w:type="paragraph" w:customStyle="1" w:styleId="Styleep0NotStrikethrough">
    <w:name w:val="Style ep0 + Not Strikethrough"/>
    <w:basedOn w:val="ep0"/>
    <w:rsid w:val="005C63D3"/>
    <w:rPr>
      <w:strike w:val="0"/>
    </w:rPr>
  </w:style>
  <w:style w:type="paragraph" w:customStyle="1" w:styleId="Styleep00NotStrikethrough">
    <w:name w:val="Style ep00 + Not Strikethrough"/>
    <w:basedOn w:val="ep00"/>
    <w:rsid w:val="00564675"/>
    <w:rPr>
      <w:strike w:val="0"/>
    </w:rPr>
  </w:style>
  <w:style w:type="paragraph" w:customStyle="1" w:styleId="Styleep00NotStrikethrough1">
    <w:name w:val="Style ep00 + Not Strikethrough1"/>
    <w:basedOn w:val="ep00"/>
    <w:rsid w:val="00696378"/>
    <w:rPr>
      <w:strike w:val="0"/>
    </w:rPr>
  </w:style>
  <w:style w:type="character" w:customStyle="1" w:styleId="StyleBold">
    <w:name w:val="Style Bold"/>
    <w:rsid w:val="00953AA2"/>
    <w:rPr>
      <w:b/>
    </w:rPr>
  </w:style>
  <w:style w:type="paragraph" w:customStyle="1" w:styleId="StyleBodyTextIndentStrikethrough">
    <w:name w:val="Style Body Text Indent + Strikethrough"/>
    <w:basedOn w:val="BodyTextIndent"/>
    <w:rsid w:val="001C4AD6"/>
    <w:rPr>
      <w:bCs w:val="0"/>
      <w:strike/>
    </w:rPr>
  </w:style>
  <w:style w:type="paragraph" w:customStyle="1" w:styleId="Styleep0NotStrikethrough1">
    <w:name w:val="Style ep0 + Not Strikethrough1"/>
    <w:basedOn w:val="ep0"/>
    <w:rsid w:val="001C4AD6"/>
    <w:rPr>
      <w:strike w:val="0"/>
    </w:rPr>
  </w:style>
  <w:style w:type="paragraph" w:customStyle="1" w:styleId="Styleep0BlackNotStrikethrough">
    <w:name w:val="Style ep0 + Black Not Strikethrough"/>
    <w:basedOn w:val="ep0"/>
    <w:rsid w:val="001C4AD6"/>
    <w:rPr>
      <w:strike w:val="0"/>
      <w:color w:val="000000"/>
    </w:rPr>
  </w:style>
  <w:style w:type="paragraph" w:customStyle="1" w:styleId="StyleStyleep0NotStrikethroughBold">
    <w:name w:val="Style Style ep0 + Not Strikethrough + Bold"/>
    <w:basedOn w:val="Styleep0NotStrikethrough"/>
    <w:rsid w:val="001C4AD6"/>
    <w:rPr>
      <w:b/>
      <w:bCs/>
    </w:rPr>
  </w:style>
  <w:style w:type="paragraph" w:customStyle="1" w:styleId="Styleep0Black">
    <w:name w:val="Style ep0 + Black"/>
    <w:basedOn w:val="ep0"/>
    <w:rsid w:val="001C4AD6"/>
    <w:rPr>
      <w:color w:val="000000"/>
    </w:rPr>
  </w:style>
  <w:style w:type="paragraph" w:customStyle="1" w:styleId="Styleep0BlackNotStrikethroughLeft0cm">
    <w:name w:val="Style ep0 + Black Not Strikethrough Left:  0 cm"/>
    <w:basedOn w:val="ep0"/>
    <w:rsid w:val="001C4AD6"/>
    <w:pPr>
      <w:ind w:left="0"/>
    </w:pPr>
    <w:rPr>
      <w:strike w:val="0"/>
      <w:color w:val="000000"/>
    </w:rPr>
  </w:style>
  <w:style w:type="paragraph" w:customStyle="1" w:styleId="Styleep0Bold">
    <w:name w:val="Style ep0 + Bold"/>
    <w:basedOn w:val="ep0"/>
    <w:rsid w:val="001C4AD6"/>
    <w:rPr>
      <w:b/>
      <w:bCs/>
    </w:rPr>
  </w:style>
  <w:style w:type="paragraph" w:customStyle="1" w:styleId="StyleNormal2Bold">
    <w:name w:val="Style Normal2 + Bold"/>
    <w:basedOn w:val="Normal2"/>
    <w:rsid w:val="00100FC2"/>
    <w:rPr>
      <w:b/>
    </w:rPr>
  </w:style>
  <w:style w:type="paragraph" w:customStyle="1" w:styleId="StyleNormal2Bold1">
    <w:name w:val="Style Normal2 + Bold1"/>
    <w:basedOn w:val="Normal2"/>
    <w:rsid w:val="00B3496E"/>
    <w:rPr>
      <w:b/>
    </w:rPr>
  </w:style>
  <w:style w:type="paragraph" w:customStyle="1" w:styleId="StyleNormal2Blue">
    <w:name w:val="Style Normal2 + Blue"/>
    <w:basedOn w:val="Normal2"/>
    <w:rsid w:val="00B3496E"/>
    <w:rPr>
      <w:bCs w:val="0"/>
      <w:color w:val="0000FF"/>
    </w:rPr>
  </w:style>
  <w:style w:type="paragraph" w:styleId="Revision">
    <w:name w:val="Revision"/>
    <w:hidden/>
    <w:uiPriority w:val="99"/>
    <w:semiHidden/>
    <w:rsid w:val="00CD135E"/>
    <w:rPr>
      <w:rFonts w:ascii="Arial" w:hAnsi="Arial"/>
      <w:bCs/>
      <w:color w:val="000000"/>
      <w:sz w:val="18"/>
      <w:szCs w:val="18"/>
      <w:lang w:val="en-ZA"/>
    </w:rPr>
  </w:style>
  <w:style w:type="character" w:customStyle="1" w:styleId="FooterChar">
    <w:name w:val="Footer Char"/>
    <w:link w:val="Footer"/>
    <w:uiPriority w:val="99"/>
    <w:rsid w:val="00CB787D"/>
    <w:rPr>
      <w:rFonts w:ascii="Arial" w:hAnsi="Arial"/>
      <w:noProof/>
      <w:color w:val="000000"/>
      <w:sz w:val="16"/>
      <w:szCs w:val="16"/>
      <w:lang w:val="en-US"/>
    </w:rPr>
  </w:style>
  <w:style w:type="character" w:customStyle="1" w:styleId="A4">
    <w:name w:val="A4"/>
    <w:uiPriority w:val="99"/>
    <w:rsid w:val="00BB0E73"/>
    <w:rPr>
      <w:rFonts w:cs="Times"/>
      <w:color w:val="000000"/>
      <w:sz w:val="20"/>
      <w:szCs w:val="20"/>
    </w:rPr>
  </w:style>
  <w:style w:type="paragraph" w:customStyle="1" w:styleId="ep2">
    <w:name w:val="ep2"/>
    <w:basedOn w:val="ep0"/>
    <w:uiPriority w:val="99"/>
    <w:rsid w:val="00593970"/>
    <w:pPr>
      <w:ind w:left="198" w:hanging="113"/>
      <w:jc w:val="left"/>
    </w:pPr>
    <w:rPr>
      <w:rFonts w:cs="Arial"/>
      <w:strike w:val="0"/>
      <w:szCs w:val="18"/>
      <w:lang w:val="en-GB"/>
    </w:rPr>
  </w:style>
  <w:style w:type="character" w:customStyle="1" w:styleId="Heading5Char">
    <w:name w:val="Heading 5 Char"/>
    <w:basedOn w:val="DefaultParagraphFont"/>
    <w:link w:val="Heading5"/>
    <w:locked/>
    <w:rsid w:val="00665057"/>
    <w:rPr>
      <w:rFonts w:ascii="Arial" w:hAnsi="Arial"/>
      <w:b/>
      <w:color w:val="000000"/>
      <w:lang w:val="en-ZA"/>
    </w:rPr>
  </w:style>
  <w:style w:type="paragraph" w:styleId="FootnoteText">
    <w:name w:val="footnote text"/>
    <w:basedOn w:val="Normal"/>
    <w:link w:val="FootnoteTextChar"/>
    <w:unhideWhenUsed/>
    <w:rsid w:val="00E733E4"/>
    <w:pPr>
      <w:spacing w:after="200" w:line="276" w:lineRule="auto"/>
      <w:jc w:val="left"/>
    </w:pPr>
    <w:rPr>
      <w:rFonts w:ascii="Calibri" w:eastAsia="Calibri" w:hAnsi="Calibri"/>
      <w:bCs w:val="0"/>
      <w:color w:val="auto"/>
      <w:sz w:val="20"/>
      <w:szCs w:val="20"/>
    </w:rPr>
  </w:style>
  <w:style w:type="character" w:customStyle="1" w:styleId="FootnoteTextChar">
    <w:name w:val="Footnote Text Char"/>
    <w:basedOn w:val="DefaultParagraphFont"/>
    <w:link w:val="FootnoteText"/>
    <w:rsid w:val="00E733E4"/>
    <w:rPr>
      <w:rFonts w:ascii="Calibri" w:eastAsia="Calibri" w:hAnsi="Calibri"/>
      <w:lang w:val="en-ZA"/>
    </w:rPr>
  </w:style>
  <w:style w:type="character" w:styleId="FootnoteReference">
    <w:name w:val="footnote reference"/>
    <w:uiPriority w:val="99"/>
    <w:unhideWhenUsed/>
    <w:rsid w:val="00E733E4"/>
    <w:rPr>
      <w:vertAlign w:val="superscript"/>
    </w:rPr>
  </w:style>
  <w:style w:type="paragraph" w:styleId="HTMLPreformatted">
    <w:name w:val="HTML Preformatted"/>
    <w:basedOn w:val="Normal"/>
    <w:link w:val="HTMLPreformattedChar"/>
    <w:uiPriority w:val="99"/>
    <w:unhideWhenUsed/>
    <w:rsid w:val="00E733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bCs w:val="0"/>
      <w:color w:val="auto"/>
      <w:sz w:val="20"/>
      <w:szCs w:val="20"/>
      <w:lang w:eastAsia="en-ZA"/>
    </w:rPr>
  </w:style>
  <w:style w:type="character" w:customStyle="1" w:styleId="HTMLPreformattedChar">
    <w:name w:val="HTML Preformatted Char"/>
    <w:basedOn w:val="DefaultParagraphFont"/>
    <w:link w:val="HTMLPreformatted"/>
    <w:uiPriority w:val="99"/>
    <w:rsid w:val="00E733E4"/>
    <w:rPr>
      <w:rFonts w:ascii="Courier New" w:hAnsi="Courier New"/>
      <w:lang w:val="en-ZA" w:eastAsia="en-ZA"/>
    </w:rPr>
  </w:style>
  <w:style w:type="character" w:customStyle="1" w:styleId="st">
    <w:name w:val="st"/>
    <w:basedOn w:val="DefaultParagraphFont"/>
    <w:rsid w:val="00E733E4"/>
  </w:style>
  <w:style w:type="character" w:styleId="Hyperlink">
    <w:name w:val="Hyperlink"/>
    <w:basedOn w:val="DefaultParagraphFont"/>
    <w:uiPriority w:val="99"/>
    <w:rsid w:val="00D20C13"/>
    <w:rPr>
      <w:rFonts w:ascii="Arial" w:hAnsi="Arial" w:cs="Arial"/>
      <w:color w:val="1122CC"/>
      <w:u w:val="none"/>
      <w:effect w:val="none"/>
    </w:rPr>
  </w:style>
  <w:style w:type="character" w:styleId="EndnoteReference">
    <w:name w:val="endnote reference"/>
    <w:basedOn w:val="DefaultParagraphFont"/>
    <w:rsid w:val="00D20C13"/>
    <w:rPr>
      <w:vertAlign w:val="superscript"/>
    </w:rPr>
  </w:style>
  <w:style w:type="paragraph" w:styleId="EndnoteText">
    <w:name w:val="endnote text"/>
    <w:basedOn w:val="Normal"/>
    <w:link w:val="EndnoteTextChar"/>
    <w:rsid w:val="00D20C13"/>
    <w:pPr>
      <w:widowControl w:val="0"/>
      <w:autoSpaceDE w:val="0"/>
      <w:autoSpaceDN w:val="0"/>
      <w:adjustRightInd w:val="0"/>
      <w:ind w:left="360"/>
    </w:pPr>
    <w:rPr>
      <w:sz w:val="20"/>
      <w:szCs w:val="20"/>
      <w:lang w:val="en-US"/>
    </w:rPr>
  </w:style>
  <w:style w:type="character" w:customStyle="1" w:styleId="EndnoteTextChar">
    <w:name w:val="Endnote Text Char"/>
    <w:basedOn w:val="DefaultParagraphFont"/>
    <w:link w:val="EndnoteText"/>
    <w:rsid w:val="00D20C13"/>
    <w:rPr>
      <w:rFonts w:ascii="Arial" w:hAnsi="Arial"/>
      <w:bCs/>
      <w:color w:val="000000"/>
    </w:rPr>
  </w:style>
  <w:style w:type="character" w:customStyle="1" w:styleId="text">
    <w:name w:val="text"/>
    <w:basedOn w:val="DefaultParagraphFont"/>
    <w:rsid w:val="00C93E4E"/>
  </w:style>
  <w:style w:type="character" w:customStyle="1" w:styleId="size-xl">
    <w:name w:val="size-xl"/>
    <w:basedOn w:val="DefaultParagraphFont"/>
    <w:rsid w:val="00C93E4E"/>
  </w:style>
  <w:style w:type="character" w:customStyle="1" w:styleId="size-m">
    <w:name w:val="size-m"/>
    <w:basedOn w:val="DefaultParagraphFont"/>
    <w:rsid w:val="00C93E4E"/>
  </w:style>
  <w:style w:type="character" w:customStyle="1" w:styleId="italic">
    <w:name w:val="italic"/>
    <w:basedOn w:val="DefaultParagraphFont"/>
    <w:rsid w:val="00E367EB"/>
  </w:style>
  <w:style w:type="character" w:customStyle="1" w:styleId="superscript">
    <w:name w:val="superscript"/>
    <w:basedOn w:val="DefaultParagraphFont"/>
    <w:rsid w:val="00215969"/>
  </w:style>
  <w:style w:type="paragraph" w:customStyle="1" w:styleId="footnotes">
    <w:name w:val="footnotes"/>
    <w:basedOn w:val="Normal"/>
    <w:rsid w:val="00215969"/>
    <w:pPr>
      <w:spacing w:before="100" w:beforeAutospacing="1" w:after="100" w:afterAutospacing="1"/>
      <w:jc w:val="left"/>
    </w:pPr>
    <w:rPr>
      <w:rFonts w:ascii="Times" w:hAnsi="Times"/>
      <w:bCs w:val="0"/>
      <w:color w:val="auto"/>
      <w:sz w:val="20"/>
      <w:szCs w:val="20"/>
    </w:rPr>
  </w:style>
  <w:style w:type="character" w:customStyle="1" w:styleId="ref">
    <w:name w:val="ref"/>
    <w:basedOn w:val="DefaultParagraphFont"/>
    <w:rsid w:val="00215969"/>
  </w:style>
  <w:style w:type="character" w:customStyle="1" w:styleId="CommentTextChar">
    <w:name w:val="Comment Text Char"/>
    <w:basedOn w:val="DefaultParagraphFont"/>
    <w:link w:val="CommentText"/>
    <w:locked/>
    <w:rsid w:val="00557ACD"/>
    <w:rPr>
      <w:rFonts w:ascii="Arial" w:hAnsi="Arial"/>
      <w:b/>
      <w:sz w:val="22"/>
      <w:szCs w:val="20"/>
      <w:lang w:val="en-ZA"/>
    </w:rPr>
  </w:style>
  <w:style w:type="character" w:styleId="Strong">
    <w:name w:val="Strong"/>
    <w:basedOn w:val="DefaultParagraphFont"/>
    <w:uiPriority w:val="22"/>
    <w:qFormat/>
    <w:rsid w:val="00844D24"/>
    <w:rPr>
      <w:b/>
      <w:bCs/>
    </w:rPr>
  </w:style>
  <w:style w:type="character" w:customStyle="1" w:styleId="BodyTextIndent2Char">
    <w:name w:val="Body Text Indent 2 Char"/>
    <w:basedOn w:val="DefaultParagraphFont"/>
    <w:link w:val="BodyTextIndent2"/>
    <w:rsid w:val="0083000E"/>
    <w:rPr>
      <w:rFonts w:ascii="Arial" w:hAnsi="Arial" w:cs="Arial"/>
      <w:bCs/>
      <w:color w:val="000000"/>
      <w:sz w:val="20"/>
      <w:szCs w:val="16"/>
    </w:rPr>
  </w:style>
  <w:style w:type="paragraph" w:customStyle="1" w:styleId="Default">
    <w:name w:val="Default"/>
    <w:rsid w:val="00B6492F"/>
    <w:pPr>
      <w:autoSpaceDE w:val="0"/>
      <w:autoSpaceDN w:val="0"/>
      <w:adjustRightInd w:val="0"/>
    </w:pPr>
    <w:rPr>
      <w:rFonts w:ascii="Arial" w:hAnsi="Arial" w:cs="Arial"/>
      <w:color w:val="000000"/>
      <w:lang w:val="en-ZA"/>
    </w:rPr>
  </w:style>
  <w:style w:type="table" w:customStyle="1" w:styleId="TableGrid4">
    <w:name w:val="Table Grid4"/>
    <w:basedOn w:val="TableNormal"/>
    <w:next w:val="TableGrid"/>
    <w:uiPriority w:val="39"/>
    <w:rsid w:val="00FD0C19"/>
    <w:rPr>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D0C19"/>
    <w:rPr>
      <w:sz w:val="20"/>
      <w:szCs w:val="20"/>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Text1">
    <w:name w:val="Style Text 1"/>
    <w:rsid w:val="00FC490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3784">
      <w:bodyDiv w:val="1"/>
      <w:marLeft w:val="0"/>
      <w:marRight w:val="0"/>
      <w:marTop w:val="0"/>
      <w:marBottom w:val="0"/>
      <w:divBdr>
        <w:top w:val="none" w:sz="0" w:space="0" w:color="auto"/>
        <w:left w:val="none" w:sz="0" w:space="0" w:color="auto"/>
        <w:bottom w:val="none" w:sz="0" w:space="0" w:color="auto"/>
        <w:right w:val="none" w:sz="0" w:space="0" w:color="auto"/>
      </w:divBdr>
      <w:divsChild>
        <w:div w:id="1017854879">
          <w:marLeft w:val="0"/>
          <w:marRight w:val="0"/>
          <w:marTop w:val="0"/>
          <w:marBottom w:val="0"/>
          <w:divBdr>
            <w:top w:val="none" w:sz="0" w:space="0" w:color="auto"/>
            <w:left w:val="none" w:sz="0" w:space="0" w:color="auto"/>
            <w:bottom w:val="none" w:sz="0" w:space="0" w:color="auto"/>
            <w:right w:val="none" w:sz="0" w:space="0" w:color="auto"/>
          </w:divBdr>
        </w:div>
        <w:div w:id="1746566076">
          <w:marLeft w:val="0"/>
          <w:marRight w:val="0"/>
          <w:marTop w:val="0"/>
          <w:marBottom w:val="0"/>
          <w:divBdr>
            <w:top w:val="none" w:sz="0" w:space="0" w:color="auto"/>
            <w:left w:val="none" w:sz="0" w:space="0" w:color="auto"/>
            <w:bottom w:val="none" w:sz="0" w:space="0" w:color="auto"/>
            <w:right w:val="none" w:sz="0" w:space="0" w:color="auto"/>
          </w:divBdr>
        </w:div>
      </w:divsChild>
    </w:div>
    <w:div w:id="184488576">
      <w:bodyDiv w:val="1"/>
      <w:marLeft w:val="0"/>
      <w:marRight w:val="0"/>
      <w:marTop w:val="0"/>
      <w:marBottom w:val="0"/>
      <w:divBdr>
        <w:top w:val="none" w:sz="0" w:space="0" w:color="auto"/>
        <w:left w:val="none" w:sz="0" w:space="0" w:color="auto"/>
        <w:bottom w:val="none" w:sz="0" w:space="0" w:color="auto"/>
        <w:right w:val="none" w:sz="0" w:space="0" w:color="auto"/>
      </w:divBdr>
    </w:div>
    <w:div w:id="185405924">
      <w:bodyDiv w:val="1"/>
      <w:marLeft w:val="0"/>
      <w:marRight w:val="0"/>
      <w:marTop w:val="0"/>
      <w:marBottom w:val="0"/>
      <w:divBdr>
        <w:top w:val="none" w:sz="0" w:space="0" w:color="auto"/>
        <w:left w:val="none" w:sz="0" w:space="0" w:color="auto"/>
        <w:bottom w:val="none" w:sz="0" w:space="0" w:color="auto"/>
        <w:right w:val="none" w:sz="0" w:space="0" w:color="auto"/>
      </w:divBdr>
      <w:divsChild>
        <w:div w:id="155346400">
          <w:marLeft w:val="0"/>
          <w:marRight w:val="0"/>
          <w:marTop w:val="0"/>
          <w:marBottom w:val="0"/>
          <w:divBdr>
            <w:top w:val="none" w:sz="0" w:space="0" w:color="auto"/>
            <w:left w:val="none" w:sz="0" w:space="0" w:color="auto"/>
            <w:bottom w:val="none" w:sz="0" w:space="0" w:color="auto"/>
            <w:right w:val="none" w:sz="0" w:space="0" w:color="auto"/>
          </w:divBdr>
        </w:div>
        <w:div w:id="1609118698">
          <w:marLeft w:val="0"/>
          <w:marRight w:val="0"/>
          <w:marTop w:val="0"/>
          <w:marBottom w:val="0"/>
          <w:divBdr>
            <w:top w:val="none" w:sz="0" w:space="0" w:color="auto"/>
            <w:left w:val="none" w:sz="0" w:space="0" w:color="auto"/>
            <w:bottom w:val="none" w:sz="0" w:space="0" w:color="auto"/>
            <w:right w:val="none" w:sz="0" w:space="0" w:color="auto"/>
          </w:divBdr>
        </w:div>
        <w:div w:id="493297403">
          <w:marLeft w:val="0"/>
          <w:marRight w:val="0"/>
          <w:marTop w:val="0"/>
          <w:marBottom w:val="0"/>
          <w:divBdr>
            <w:top w:val="none" w:sz="0" w:space="0" w:color="auto"/>
            <w:left w:val="none" w:sz="0" w:space="0" w:color="auto"/>
            <w:bottom w:val="none" w:sz="0" w:space="0" w:color="auto"/>
            <w:right w:val="none" w:sz="0" w:space="0" w:color="auto"/>
          </w:divBdr>
        </w:div>
        <w:div w:id="32965999">
          <w:marLeft w:val="0"/>
          <w:marRight w:val="0"/>
          <w:marTop w:val="0"/>
          <w:marBottom w:val="0"/>
          <w:divBdr>
            <w:top w:val="none" w:sz="0" w:space="0" w:color="auto"/>
            <w:left w:val="none" w:sz="0" w:space="0" w:color="auto"/>
            <w:bottom w:val="none" w:sz="0" w:space="0" w:color="auto"/>
            <w:right w:val="none" w:sz="0" w:space="0" w:color="auto"/>
          </w:divBdr>
        </w:div>
        <w:div w:id="1878084547">
          <w:marLeft w:val="0"/>
          <w:marRight w:val="0"/>
          <w:marTop w:val="0"/>
          <w:marBottom w:val="0"/>
          <w:divBdr>
            <w:top w:val="none" w:sz="0" w:space="0" w:color="auto"/>
            <w:left w:val="none" w:sz="0" w:space="0" w:color="auto"/>
            <w:bottom w:val="none" w:sz="0" w:space="0" w:color="auto"/>
            <w:right w:val="none" w:sz="0" w:space="0" w:color="auto"/>
          </w:divBdr>
        </w:div>
      </w:divsChild>
    </w:div>
    <w:div w:id="214393865">
      <w:bodyDiv w:val="1"/>
      <w:marLeft w:val="0"/>
      <w:marRight w:val="0"/>
      <w:marTop w:val="0"/>
      <w:marBottom w:val="0"/>
      <w:divBdr>
        <w:top w:val="none" w:sz="0" w:space="0" w:color="auto"/>
        <w:left w:val="none" w:sz="0" w:space="0" w:color="auto"/>
        <w:bottom w:val="none" w:sz="0" w:space="0" w:color="auto"/>
        <w:right w:val="none" w:sz="0" w:space="0" w:color="auto"/>
      </w:divBdr>
    </w:div>
    <w:div w:id="315839753">
      <w:bodyDiv w:val="1"/>
      <w:marLeft w:val="0"/>
      <w:marRight w:val="0"/>
      <w:marTop w:val="0"/>
      <w:marBottom w:val="0"/>
      <w:divBdr>
        <w:top w:val="none" w:sz="0" w:space="0" w:color="auto"/>
        <w:left w:val="none" w:sz="0" w:space="0" w:color="auto"/>
        <w:bottom w:val="none" w:sz="0" w:space="0" w:color="auto"/>
        <w:right w:val="none" w:sz="0" w:space="0" w:color="auto"/>
      </w:divBdr>
      <w:divsChild>
        <w:div w:id="333265434">
          <w:marLeft w:val="0"/>
          <w:marRight w:val="0"/>
          <w:marTop w:val="0"/>
          <w:marBottom w:val="0"/>
          <w:divBdr>
            <w:top w:val="none" w:sz="0" w:space="0" w:color="auto"/>
            <w:left w:val="none" w:sz="0" w:space="0" w:color="auto"/>
            <w:bottom w:val="none" w:sz="0" w:space="0" w:color="auto"/>
            <w:right w:val="none" w:sz="0" w:space="0" w:color="auto"/>
          </w:divBdr>
        </w:div>
        <w:div w:id="2134978060">
          <w:marLeft w:val="0"/>
          <w:marRight w:val="0"/>
          <w:marTop w:val="0"/>
          <w:marBottom w:val="0"/>
          <w:divBdr>
            <w:top w:val="none" w:sz="0" w:space="0" w:color="auto"/>
            <w:left w:val="none" w:sz="0" w:space="0" w:color="auto"/>
            <w:bottom w:val="none" w:sz="0" w:space="0" w:color="auto"/>
            <w:right w:val="none" w:sz="0" w:space="0" w:color="auto"/>
          </w:divBdr>
        </w:div>
      </w:divsChild>
    </w:div>
    <w:div w:id="399719828">
      <w:bodyDiv w:val="1"/>
      <w:marLeft w:val="0"/>
      <w:marRight w:val="0"/>
      <w:marTop w:val="0"/>
      <w:marBottom w:val="0"/>
      <w:divBdr>
        <w:top w:val="none" w:sz="0" w:space="0" w:color="auto"/>
        <w:left w:val="none" w:sz="0" w:space="0" w:color="auto"/>
        <w:bottom w:val="none" w:sz="0" w:space="0" w:color="auto"/>
        <w:right w:val="none" w:sz="0" w:space="0" w:color="auto"/>
      </w:divBdr>
      <w:divsChild>
        <w:div w:id="905842413">
          <w:marLeft w:val="0"/>
          <w:marRight w:val="0"/>
          <w:marTop w:val="0"/>
          <w:marBottom w:val="0"/>
          <w:divBdr>
            <w:top w:val="none" w:sz="0" w:space="0" w:color="auto"/>
            <w:left w:val="none" w:sz="0" w:space="0" w:color="auto"/>
            <w:bottom w:val="none" w:sz="0" w:space="0" w:color="auto"/>
            <w:right w:val="none" w:sz="0" w:space="0" w:color="auto"/>
          </w:divBdr>
        </w:div>
      </w:divsChild>
    </w:div>
    <w:div w:id="669723251">
      <w:bodyDiv w:val="1"/>
      <w:marLeft w:val="0"/>
      <w:marRight w:val="0"/>
      <w:marTop w:val="0"/>
      <w:marBottom w:val="0"/>
      <w:divBdr>
        <w:top w:val="none" w:sz="0" w:space="0" w:color="auto"/>
        <w:left w:val="none" w:sz="0" w:space="0" w:color="auto"/>
        <w:bottom w:val="none" w:sz="0" w:space="0" w:color="auto"/>
        <w:right w:val="none" w:sz="0" w:space="0" w:color="auto"/>
      </w:divBdr>
    </w:div>
    <w:div w:id="690305132">
      <w:bodyDiv w:val="1"/>
      <w:marLeft w:val="0"/>
      <w:marRight w:val="0"/>
      <w:marTop w:val="0"/>
      <w:marBottom w:val="0"/>
      <w:divBdr>
        <w:top w:val="none" w:sz="0" w:space="0" w:color="auto"/>
        <w:left w:val="none" w:sz="0" w:space="0" w:color="auto"/>
        <w:bottom w:val="none" w:sz="0" w:space="0" w:color="auto"/>
        <w:right w:val="none" w:sz="0" w:space="0" w:color="auto"/>
      </w:divBdr>
    </w:div>
    <w:div w:id="811295310">
      <w:bodyDiv w:val="1"/>
      <w:marLeft w:val="0"/>
      <w:marRight w:val="0"/>
      <w:marTop w:val="0"/>
      <w:marBottom w:val="0"/>
      <w:divBdr>
        <w:top w:val="none" w:sz="0" w:space="0" w:color="auto"/>
        <w:left w:val="none" w:sz="0" w:space="0" w:color="auto"/>
        <w:bottom w:val="none" w:sz="0" w:space="0" w:color="auto"/>
        <w:right w:val="none" w:sz="0" w:space="0" w:color="auto"/>
      </w:divBdr>
    </w:div>
    <w:div w:id="828400787">
      <w:bodyDiv w:val="1"/>
      <w:marLeft w:val="0"/>
      <w:marRight w:val="0"/>
      <w:marTop w:val="0"/>
      <w:marBottom w:val="0"/>
      <w:divBdr>
        <w:top w:val="none" w:sz="0" w:space="0" w:color="auto"/>
        <w:left w:val="none" w:sz="0" w:space="0" w:color="auto"/>
        <w:bottom w:val="none" w:sz="0" w:space="0" w:color="auto"/>
        <w:right w:val="none" w:sz="0" w:space="0" w:color="auto"/>
      </w:divBdr>
    </w:div>
    <w:div w:id="844901918">
      <w:bodyDiv w:val="1"/>
      <w:marLeft w:val="0"/>
      <w:marRight w:val="0"/>
      <w:marTop w:val="0"/>
      <w:marBottom w:val="0"/>
      <w:divBdr>
        <w:top w:val="none" w:sz="0" w:space="0" w:color="auto"/>
        <w:left w:val="none" w:sz="0" w:space="0" w:color="auto"/>
        <w:bottom w:val="none" w:sz="0" w:space="0" w:color="auto"/>
        <w:right w:val="none" w:sz="0" w:space="0" w:color="auto"/>
      </w:divBdr>
      <w:divsChild>
        <w:div w:id="2050374183">
          <w:marLeft w:val="0"/>
          <w:marRight w:val="0"/>
          <w:marTop w:val="0"/>
          <w:marBottom w:val="0"/>
          <w:divBdr>
            <w:top w:val="none" w:sz="0" w:space="0" w:color="auto"/>
            <w:left w:val="none" w:sz="0" w:space="0" w:color="auto"/>
            <w:bottom w:val="none" w:sz="0" w:space="0" w:color="auto"/>
            <w:right w:val="none" w:sz="0" w:space="0" w:color="auto"/>
          </w:divBdr>
        </w:div>
        <w:div w:id="48305911">
          <w:marLeft w:val="0"/>
          <w:marRight w:val="0"/>
          <w:marTop w:val="0"/>
          <w:marBottom w:val="0"/>
          <w:divBdr>
            <w:top w:val="none" w:sz="0" w:space="0" w:color="auto"/>
            <w:left w:val="none" w:sz="0" w:space="0" w:color="auto"/>
            <w:bottom w:val="none" w:sz="0" w:space="0" w:color="auto"/>
            <w:right w:val="none" w:sz="0" w:space="0" w:color="auto"/>
          </w:divBdr>
        </w:div>
        <w:div w:id="499738743">
          <w:marLeft w:val="0"/>
          <w:marRight w:val="0"/>
          <w:marTop w:val="0"/>
          <w:marBottom w:val="0"/>
          <w:divBdr>
            <w:top w:val="none" w:sz="0" w:space="0" w:color="auto"/>
            <w:left w:val="none" w:sz="0" w:space="0" w:color="auto"/>
            <w:bottom w:val="none" w:sz="0" w:space="0" w:color="auto"/>
            <w:right w:val="none" w:sz="0" w:space="0" w:color="auto"/>
          </w:divBdr>
        </w:div>
        <w:div w:id="1066150921">
          <w:marLeft w:val="0"/>
          <w:marRight w:val="0"/>
          <w:marTop w:val="0"/>
          <w:marBottom w:val="0"/>
          <w:divBdr>
            <w:top w:val="none" w:sz="0" w:space="0" w:color="auto"/>
            <w:left w:val="none" w:sz="0" w:space="0" w:color="auto"/>
            <w:bottom w:val="none" w:sz="0" w:space="0" w:color="auto"/>
            <w:right w:val="none" w:sz="0" w:space="0" w:color="auto"/>
          </w:divBdr>
        </w:div>
        <w:div w:id="1618218276">
          <w:marLeft w:val="0"/>
          <w:marRight w:val="0"/>
          <w:marTop w:val="0"/>
          <w:marBottom w:val="0"/>
          <w:divBdr>
            <w:top w:val="none" w:sz="0" w:space="0" w:color="auto"/>
            <w:left w:val="none" w:sz="0" w:space="0" w:color="auto"/>
            <w:bottom w:val="none" w:sz="0" w:space="0" w:color="auto"/>
            <w:right w:val="none" w:sz="0" w:space="0" w:color="auto"/>
          </w:divBdr>
        </w:div>
      </w:divsChild>
    </w:div>
    <w:div w:id="1079600742">
      <w:bodyDiv w:val="1"/>
      <w:marLeft w:val="0"/>
      <w:marRight w:val="0"/>
      <w:marTop w:val="0"/>
      <w:marBottom w:val="0"/>
      <w:divBdr>
        <w:top w:val="none" w:sz="0" w:space="0" w:color="auto"/>
        <w:left w:val="none" w:sz="0" w:space="0" w:color="auto"/>
        <w:bottom w:val="none" w:sz="0" w:space="0" w:color="auto"/>
        <w:right w:val="none" w:sz="0" w:space="0" w:color="auto"/>
      </w:divBdr>
    </w:div>
    <w:div w:id="1183209539">
      <w:bodyDiv w:val="1"/>
      <w:marLeft w:val="0"/>
      <w:marRight w:val="0"/>
      <w:marTop w:val="0"/>
      <w:marBottom w:val="0"/>
      <w:divBdr>
        <w:top w:val="none" w:sz="0" w:space="0" w:color="auto"/>
        <w:left w:val="none" w:sz="0" w:space="0" w:color="auto"/>
        <w:bottom w:val="none" w:sz="0" w:space="0" w:color="auto"/>
        <w:right w:val="none" w:sz="0" w:space="0" w:color="auto"/>
      </w:divBdr>
    </w:div>
    <w:div w:id="1246721934">
      <w:bodyDiv w:val="1"/>
      <w:marLeft w:val="0"/>
      <w:marRight w:val="0"/>
      <w:marTop w:val="0"/>
      <w:marBottom w:val="0"/>
      <w:divBdr>
        <w:top w:val="none" w:sz="0" w:space="0" w:color="auto"/>
        <w:left w:val="none" w:sz="0" w:space="0" w:color="auto"/>
        <w:bottom w:val="none" w:sz="0" w:space="0" w:color="auto"/>
        <w:right w:val="none" w:sz="0" w:space="0" w:color="auto"/>
      </w:divBdr>
    </w:div>
    <w:div w:id="1371489439">
      <w:bodyDiv w:val="1"/>
      <w:marLeft w:val="0"/>
      <w:marRight w:val="0"/>
      <w:marTop w:val="0"/>
      <w:marBottom w:val="0"/>
      <w:divBdr>
        <w:top w:val="none" w:sz="0" w:space="0" w:color="auto"/>
        <w:left w:val="none" w:sz="0" w:space="0" w:color="auto"/>
        <w:bottom w:val="none" w:sz="0" w:space="0" w:color="auto"/>
        <w:right w:val="none" w:sz="0" w:space="0" w:color="auto"/>
      </w:divBdr>
    </w:div>
    <w:div w:id="1444569227">
      <w:bodyDiv w:val="1"/>
      <w:marLeft w:val="0"/>
      <w:marRight w:val="0"/>
      <w:marTop w:val="0"/>
      <w:marBottom w:val="0"/>
      <w:divBdr>
        <w:top w:val="none" w:sz="0" w:space="0" w:color="auto"/>
        <w:left w:val="none" w:sz="0" w:space="0" w:color="auto"/>
        <w:bottom w:val="none" w:sz="0" w:space="0" w:color="auto"/>
        <w:right w:val="none" w:sz="0" w:space="0" w:color="auto"/>
      </w:divBdr>
    </w:div>
    <w:div w:id="1671642888">
      <w:bodyDiv w:val="1"/>
      <w:marLeft w:val="0"/>
      <w:marRight w:val="0"/>
      <w:marTop w:val="0"/>
      <w:marBottom w:val="0"/>
      <w:divBdr>
        <w:top w:val="none" w:sz="0" w:space="0" w:color="auto"/>
        <w:left w:val="none" w:sz="0" w:space="0" w:color="auto"/>
        <w:bottom w:val="none" w:sz="0" w:space="0" w:color="auto"/>
        <w:right w:val="none" w:sz="0" w:space="0" w:color="auto"/>
      </w:divBdr>
      <w:divsChild>
        <w:div w:id="770272811">
          <w:marLeft w:val="0"/>
          <w:marRight w:val="0"/>
          <w:marTop w:val="0"/>
          <w:marBottom w:val="0"/>
          <w:divBdr>
            <w:top w:val="none" w:sz="0" w:space="0" w:color="auto"/>
            <w:left w:val="none" w:sz="0" w:space="0" w:color="auto"/>
            <w:bottom w:val="none" w:sz="0" w:space="0" w:color="auto"/>
            <w:right w:val="none" w:sz="0" w:space="0" w:color="auto"/>
          </w:divBdr>
        </w:div>
        <w:div w:id="113137081">
          <w:marLeft w:val="0"/>
          <w:marRight w:val="0"/>
          <w:marTop w:val="0"/>
          <w:marBottom w:val="0"/>
          <w:divBdr>
            <w:top w:val="none" w:sz="0" w:space="0" w:color="auto"/>
            <w:left w:val="none" w:sz="0" w:space="0" w:color="auto"/>
            <w:bottom w:val="none" w:sz="0" w:space="0" w:color="auto"/>
            <w:right w:val="none" w:sz="0" w:space="0" w:color="auto"/>
          </w:divBdr>
        </w:div>
        <w:div w:id="1290359619">
          <w:marLeft w:val="0"/>
          <w:marRight w:val="0"/>
          <w:marTop w:val="0"/>
          <w:marBottom w:val="0"/>
          <w:divBdr>
            <w:top w:val="none" w:sz="0" w:space="0" w:color="auto"/>
            <w:left w:val="none" w:sz="0" w:space="0" w:color="auto"/>
            <w:bottom w:val="none" w:sz="0" w:space="0" w:color="auto"/>
            <w:right w:val="none" w:sz="0" w:space="0" w:color="auto"/>
          </w:divBdr>
        </w:div>
      </w:divsChild>
    </w:div>
    <w:div w:id="1672829207">
      <w:bodyDiv w:val="1"/>
      <w:marLeft w:val="0"/>
      <w:marRight w:val="0"/>
      <w:marTop w:val="0"/>
      <w:marBottom w:val="0"/>
      <w:divBdr>
        <w:top w:val="none" w:sz="0" w:space="0" w:color="auto"/>
        <w:left w:val="none" w:sz="0" w:space="0" w:color="auto"/>
        <w:bottom w:val="none" w:sz="0" w:space="0" w:color="auto"/>
        <w:right w:val="none" w:sz="0" w:space="0" w:color="auto"/>
      </w:divBdr>
    </w:div>
    <w:div w:id="1981374436">
      <w:bodyDiv w:val="1"/>
      <w:marLeft w:val="0"/>
      <w:marRight w:val="0"/>
      <w:marTop w:val="0"/>
      <w:marBottom w:val="0"/>
      <w:divBdr>
        <w:top w:val="none" w:sz="0" w:space="0" w:color="auto"/>
        <w:left w:val="none" w:sz="0" w:space="0" w:color="auto"/>
        <w:bottom w:val="none" w:sz="0" w:space="0" w:color="auto"/>
        <w:right w:val="none" w:sz="0" w:space="0" w:color="auto"/>
      </w:divBdr>
    </w:div>
    <w:div w:id="2071540393">
      <w:bodyDiv w:val="1"/>
      <w:marLeft w:val="0"/>
      <w:marRight w:val="0"/>
      <w:marTop w:val="0"/>
      <w:marBottom w:val="0"/>
      <w:divBdr>
        <w:top w:val="none" w:sz="0" w:space="0" w:color="auto"/>
        <w:left w:val="none" w:sz="0" w:space="0" w:color="auto"/>
        <w:bottom w:val="none" w:sz="0" w:space="0" w:color="auto"/>
        <w:right w:val="none" w:sz="0" w:space="0" w:color="auto"/>
      </w:divBdr>
    </w:div>
    <w:div w:id="2083486543">
      <w:bodyDiv w:val="1"/>
      <w:marLeft w:val="0"/>
      <w:marRight w:val="0"/>
      <w:marTop w:val="0"/>
      <w:marBottom w:val="0"/>
      <w:divBdr>
        <w:top w:val="none" w:sz="0" w:space="0" w:color="auto"/>
        <w:left w:val="none" w:sz="0" w:space="0" w:color="auto"/>
        <w:bottom w:val="none" w:sz="0" w:space="0" w:color="auto"/>
        <w:right w:val="none" w:sz="0" w:space="0" w:color="auto"/>
      </w:divBdr>
      <w:divsChild>
        <w:div w:id="1210147206">
          <w:marLeft w:val="0"/>
          <w:marRight w:val="0"/>
          <w:marTop w:val="75"/>
          <w:marBottom w:val="0"/>
          <w:divBdr>
            <w:top w:val="none" w:sz="0" w:space="0" w:color="auto"/>
            <w:left w:val="none" w:sz="0" w:space="0" w:color="auto"/>
            <w:bottom w:val="none" w:sz="0" w:space="0" w:color="auto"/>
            <w:right w:val="none" w:sz="0" w:space="0" w:color="auto"/>
          </w:divBdr>
          <w:divsChild>
            <w:div w:id="2093624368">
              <w:marLeft w:val="0"/>
              <w:marRight w:val="0"/>
              <w:marTop w:val="0"/>
              <w:marBottom w:val="0"/>
              <w:divBdr>
                <w:top w:val="none" w:sz="0" w:space="0" w:color="auto"/>
                <w:left w:val="none" w:sz="0" w:space="0" w:color="auto"/>
                <w:bottom w:val="none" w:sz="0" w:space="0" w:color="auto"/>
                <w:right w:val="none" w:sz="0" w:space="0" w:color="auto"/>
              </w:divBdr>
              <w:divsChild>
                <w:div w:id="1085418632">
                  <w:marLeft w:val="0"/>
                  <w:marRight w:val="0"/>
                  <w:marTop w:val="0"/>
                  <w:marBottom w:val="150"/>
                  <w:divBdr>
                    <w:top w:val="none" w:sz="0" w:space="0" w:color="auto"/>
                    <w:left w:val="none" w:sz="0" w:space="0" w:color="auto"/>
                    <w:bottom w:val="none" w:sz="0" w:space="0" w:color="auto"/>
                    <w:right w:val="none" w:sz="0" w:space="0" w:color="auto"/>
                  </w:divBdr>
                  <w:divsChild>
                    <w:div w:id="979308643">
                      <w:marLeft w:val="0"/>
                      <w:marRight w:val="0"/>
                      <w:marTop w:val="0"/>
                      <w:marBottom w:val="0"/>
                      <w:divBdr>
                        <w:top w:val="none" w:sz="0" w:space="0" w:color="auto"/>
                        <w:left w:val="none" w:sz="0" w:space="0" w:color="auto"/>
                        <w:bottom w:val="none" w:sz="0" w:space="0" w:color="auto"/>
                        <w:right w:val="none" w:sz="0" w:space="0" w:color="auto"/>
                      </w:divBdr>
                      <w:divsChild>
                        <w:div w:id="1342048718">
                          <w:marLeft w:val="0"/>
                          <w:marRight w:val="0"/>
                          <w:marTop w:val="0"/>
                          <w:marBottom w:val="0"/>
                          <w:divBdr>
                            <w:top w:val="none" w:sz="0" w:space="0" w:color="auto"/>
                            <w:left w:val="none" w:sz="0" w:space="0" w:color="auto"/>
                            <w:bottom w:val="none" w:sz="0" w:space="0" w:color="auto"/>
                            <w:right w:val="none" w:sz="0" w:space="0" w:color="auto"/>
                          </w:divBdr>
                          <w:divsChild>
                            <w:div w:id="330111333">
                              <w:marLeft w:val="0"/>
                              <w:marRight w:val="0"/>
                              <w:marTop w:val="0"/>
                              <w:marBottom w:val="0"/>
                              <w:divBdr>
                                <w:top w:val="none" w:sz="0" w:space="0" w:color="auto"/>
                                <w:left w:val="none" w:sz="0" w:space="0" w:color="auto"/>
                                <w:bottom w:val="none" w:sz="0" w:space="0" w:color="auto"/>
                                <w:right w:val="none" w:sz="0" w:space="0" w:color="auto"/>
                              </w:divBdr>
                              <w:divsChild>
                                <w:div w:id="1370914178">
                                  <w:marLeft w:val="0"/>
                                  <w:marRight w:val="0"/>
                                  <w:marTop w:val="0"/>
                                  <w:marBottom w:val="0"/>
                                  <w:divBdr>
                                    <w:top w:val="none" w:sz="0" w:space="0" w:color="auto"/>
                                    <w:left w:val="none" w:sz="0" w:space="0" w:color="auto"/>
                                    <w:bottom w:val="none" w:sz="0" w:space="0" w:color="auto"/>
                                    <w:right w:val="none" w:sz="0" w:space="0" w:color="auto"/>
                                  </w:divBdr>
                                  <w:divsChild>
                                    <w:div w:id="958341001">
                                      <w:marLeft w:val="0"/>
                                      <w:marRight w:val="0"/>
                                      <w:marTop w:val="0"/>
                                      <w:marBottom w:val="0"/>
                                      <w:divBdr>
                                        <w:top w:val="none" w:sz="0" w:space="0" w:color="auto"/>
                                        <w:left w:val="none" w:sz="0" w:space="0" w:color="auto"/>
                                        <w:bottom w:val="none" w:sz="0" w:space="0" w:color="auto"/>
                                        <w:right w:val="none" w:sz="0" w:space="0" w:color="auto"/>
                                      </w:divBdr>
                                      <w:divsChild>
                                        <w:div w:id="381248971">
                                          <w:marLeft w:val="0"/>
                                          <w:marRight w:val="0"/>
                                          <w:marTop w:val="0"/>
                                          <w:marBottom w:val="0"/>
                                          <w:divBdr>
                                            <w:top w:val="none" w:sz="0" w:space="0" w:color="auto"/>
                                            <w:left w:val="none" w:sz="0" w:space="0" w:color="auto"/>
                                            <w:bottom w:val="none" w:sz="0" w:space="0" w:color="auto"/>
                                            <w:right w:val="none" w:sz="0" w:space="0" w:color="auto"/>
                                          </w:divBdr>
                                          <w:divsChild>
                                            <w:div w:id="794061992">
                                              <w:marLeft w:val="0"/>
                                              <w:marRight w:val="0"/>
                                              <w:marTop w:val="0"/>
                                              <w:marBottom w:val="0"/>
                                              <w:divBdr>
                                                <w:top w:val="none" w:sz="0" w:space="0" w:color="auto"/>
                                                <w:left w:val="none" w:sz="0" w:space="0" w:color="auto"/>
                                                <w:bottom w:val="none" w:sz="0" w:space="0" w:color="auto"/>
                                                <w:right w:val="none" w:sz="0" w:space="0" w:color="auto"/>
                                              </w:divBdr>
                                              <w:divsChild>
                                                <w:div w:id="2013990420">
                                                  <w:marLeft w:val="0"/>
                                                  <w:marRight w:val="0"/>
                                                  <w:marTop w:val="0"/>
                                                  <w:marBottom w:val="0"/>
                                                  <w:divBdr>
                                                    <w:top w:val="none" w:sz="0" w:space="0" w:color="auto"/>
                                                    <w:left w:val="none" w:sz="0" w:space="0" w:color="auto"/>
                                                    <w:bottom w:val="none" w:sz="0" w:space="0" w:color="auto"/>
                                                    <w:right w:val="none" w:sz="0" w:space="0" w:color="auto"/>
                                                  </w:divBdr>
                                                  <w:divsChild>
                                                    <w:div w:id="1351643737">
                                                      <w:marLeft w:val="0"/>
                                                      <w:marRight w:val="0"/>
                                                      <w:marTop w:val="0"/>
                                                      <w:marBottom w:val="0"/>
                                                      <w:divBdr>
                                                        <w:top w:val="none" w:sz="0" w:space="0" w:color="auto"/>
                                                        <w:left w:val="none" w:sz="0" w:space="0" w:color="auto"/>
                                                        <w:bottom w:val="none" w:sz="0" w:space="0" w:color="auto"/>
                                                        <w:right w:val="none" w:sz="0" w:space="0" w:color="auto"/>
                                                      </w:divBdr>
                                                      <w:divsChild>
                                                        <w:div w:id="120521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9300888">
      <w:bodyDiv w:val="1"/>
      <w:marLeft w:val="0"/>
      <w:marRight w:val="0"/>
      <w:marTop w:val="0"/>
      <w:marBottom w:val="0"/>
      <w:divBdr>
        <w:top w:val="none" w:sz="0" w:space="0" w:color="auto"/>
        <w:left w:val="none" w:sz="0" w:space="0" w:color="auto"/>
        <w:bottom w:val="none" w:sz="0" w:space="0" w:color="auto"/>
        <w:right w:val="none" w:sz="0" w:space="0" w:color="auto"/>
      </w:divBdr>
    </w:div>
    <w:div w:id="210313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3" Type="http://schemas.openxmlformats.org/officeDocument/2006/relationships/hyperlink" Target="http://www.jemdsa.co.za/index.php/JEMDSA/article/view/647/937" TargetMode="External"/><Relationship Id="rId18" Type="http://schemas.openxmlformats.org/officeDocument/2006/relationships/hyperlink" Target="http://guidelines.diabetes.ca/app_themes/cdacpg/resources/cpg_2013_full_en.pdf" TargetMode="External"/><Relationship Id="rId26" Type="http://schemas.openxmlformats.org/officeDocument/2006/relationships/hyperlink" Target="http://www.ncbi.nlm.nih.gov/pubmed/23350893" TargetMode="External"/><Relationship Id="rId39" Type="http://schemas.openxmlformats.org/officeDocument/2006/relationships/hyperlink" Target="https://www.ncbi.nlm.nih.gov/pubmed/21067804" TargetMode="External"/><Relationship Id="rId21" Type="http://schemas.openxmlformats.org/officeDocument/2006/relationships/hyperlink" Target="https://www.ncbi.nlm.nih.gov/pubmed/11406737" TargetMode="External"/><Relationship Id="rId34" Type="http://schemas.openxmlformats.org/officeDocument/2006/relationships/hyperlink" Target="file:///D:\EDL\PHC\PHC2016\FINAL%20chapters\www.health.gov.za" TargetMode="External"/><Relationship Id="rId42" Type="http://schemas.openxmlformats.org/officeDocument/2006/relationships/hyperlink" Target="https://www.ncbi.nlm.nih.gov/pubmed/16097365" TargetMode="External"/><Relationship Id="rId47" Type="http://schemas.openxmlformats.org/officeDocument/2006/relationships/hyperlink" Target="https://www.ncbi.nlm.nih.gov/pubmed/14960258" TargetMode="External"/><Relationship Id="rId50" Type="http://schemas.openxmlformats.org/officeDocument/2006/relationships/hyperlink" Target="http://www.ncbi.nlm.nih.gov/pubmed/22548296" TargetMode="External"/><Relationship Id="rId55" Type="http://schemas.openxmlformats.org/officeDocument/2006/relationships/hyperlink" Target="http://www.ncbi.nlm.nih.gov/pubmed/26420387" TargetMode="External"/><Relationship Id="rId63" Type="http://schemas.openxmlformats.org/officeDocument/2006/relationships/hyperlink" Target="https://www.ncbi.nlm.nih.gov/pubmed/24893135" TargetMode="External"/><Relationship Id="rId7" Type="http://schemas.openxmlformats.org/officeDocument/2006/relationships/hyperlink" Target="https://www.ncbi.nlm.nih.gov/pubmed/20525906" TargetMode="External"/><Relationship Id="rId2" Type="http://schemas.openxmlformats.org/officeDocument/2006/relationships/hyperlink" Target="http://www.jemdsa.co.za/index.php/JEMDSA/article/view/647/937" TargetMode="External"/><Relationship Id="rId16" Type="http://schemas.openxmlformats.org/officeDocument/2006/relationships/hyperlink" Target="http://sa-renalsociety.org/registry/" TargetMode="External"/><Relationship Id="rId29" Type="http://schemas.openxmlformats.org/officeDocument/2006/relationships/hyperlink" Target="http://www.jemdsa.co.za/index.php/JEMDSA/article/view/647/937" TargetMode="External"/><Relationship Id="rId11" Type="http://schemas.openxmlformats.org/officeDocument/2006/relationships/hyperlink" Target="https://www.ncbi.nlm.nih.gov/pubmed/28898252" TargetMode="External"/><Relationship Id="rId24" Type="http://schemas.openxmlformats.org/officeDocument/2006/relationships/hyperlink" Target="http://www.ncbi.nlm.nih.gov/pubmed/11242497" TargetMode="External"/><Relationship Id="rId32" Type="http://schemas.openxmlformats.org/officeDocument/2006/relationships/hyperlink" Target="https://www.ncbi.nlm.nih.gov/pubmed/23470492" TargetMode="External"/><Relationship Id="rId37" Type="http://schemas.openxmlformats.org/officeDocument/2006/relationships/hyperlink" Target="https://www.ncbi.nlm.nih.gov/pubmed/29067253" TargetMode="External"/><Relationship Id="rId40" Type="http://schemas.openxmlformats.org/officeDocument/2006/relationships/hyperlink" Target="https://www.ncbi.nlm.nih.gov/pubmed/23529608" TargetMode="External"/><Relationship Id="rId45" Type="http://schemas.openxmlformats.org/officeDocument/2006/relationships/hyperlink" Target="http://www.ncbi.nlm.nih.gov/pubmed/19897665" TargetMode="External"/><Relationship Id="rId53" Type="http://schemas.openxmlformats.org/officeDocument/2006/relationships/hyperlink" Target="http://www.ncbi.nlm.nih.gov/pubmed/11838732" TargetMode="External"/><Relationship Id="rId58" Type="http://schemas.openxmlformats.org/officeDocument/2006/relationships/hyperlink" Target="http://www.health.gov.za/" TargetMode="External"/><Relationship Id="rId5" Type="http://schemas.openxmlformats.org/officeDocument/2006/relationships/hyperlink" Target="http://www.jemdsa.co.za/index.php/JEMDSA/article/view/647/937" TargetMode="External"/><Relationship Id="rId61" Type="http://schemas.openxmlformats.org/officeDocument/2006/relationships/hyperlink" Target="https://www.bnf.org/" TargetMode="External"/><Relationship Id="rId19" Type="http://schemas.openxmlformats.org/officeDocument/2006/relationships/hyperlink" Target="https://www.nice.org.uk/guidance/ng28" TargetMode="External"/><Relationship Id="rId14" Type="http://schemas.openxmlformats.org/officeDocument/2006/relationships/hyperlink" Target="http://www.jemdsa.co.za/index.php/JEMDSA/article/view/647/937" TargetMode="External"/><Relationship Id="rId22" Type="http://schemas.openxmlformats.org/officeDocument/2006/relationships/hyperlink" Target="http://www.jemdsa.co.za/index.php/JEMDSA/article/view/647/937" TargetMode="External"/><Relationship Id="rId27" Type="http://schemas.openxmlformats.org/officeDocument/2006/relationships/hyperlink" Target="https://www.ncbi.nlm.nih.gov/pubmed/15983093" TargetMode="External"/><Relationship Id="rId30" Type="http://schemas.openxmlformats.org/officeDocument/2006/relationships/hyperlink" Target="http://www.jemdsa.co.za/index.php/JEMDSA/article/view/647/937" TargetMode="External"/><Relationship Id="rId35" Type="http://schemas.openxmlformats.org/officeDocument/2006/relationships/hyperlink" Target="https://www.ncbi.nlm.nih.gov/pubmed/21067804" TargetMode="External"/><Relationship Id="rId43" Type="http://schemas.openxmlformats.org/officeDocument/2006/relationships/hyperlink" Target="https://www.ncbi.nlm.nih.gov/pubmed/23965645" TargetMode="External"/><Relationship Id="rId48" Type="http://schemas.openxmlformats.org/officeDocument/2006/relationships/hyperlink" Target="http://www.jemdsa.co.za/index.php/JEMDSA/article/view/647/937" TargetMode="External"/><Relationship Id="rId56" Type="http://schemas.openxmlformats.org/officeDocument/2006/relationships/hyperlink" Target="http://www.ncbi.nlm.nih.gov/pubmed/26420387" TargetMode="External"/><Relationship Id="rId8" Type="http://schemas.openxmlformats.org/officeDocument/2006/relationships/hyperlink" Target="http://www.ncbi.nlm.nih.gov/pubmed/15001614" TargetMode="External"/><Relationship Id="rId51" Type="http://schemas.openxmlformats.org/officeDocument/2006/relationships/hyperlink" Target="http://www.ncbi.nlm.nih.gov/pubmed/20463094" TargetMode="External"/><Relationship Id="rId3" Type="http://schemas.openxmlformats.org/officeDocument/2006/relationships/hyperlink" Target="http://www.jemdsa.co.za/index.php/JEMDSA/article/view/647/937" TargetMode="External"/><Relationship Id="rId12" Type="http://schemas.openxmlformats.org/officeDocument/2006/relationships/hyperlink" Target="https://www.ncbi.nlm.nih.gov/pubmed/17536077" TargetMode="External"/><Relationship Id="rId17" Type="http://schemas.openxmlformats.org/officeDocument/2006/relationships/hyperlink" Target="http://www.ncbi.nlm.nih.gov/pubmed/9742977" TargetMode="External"/><Relationship Id="rId25" Type="http://schemas.openxmlformats.org/officeDocument/2006/relationships/hyperlink" Target="http://www.ncbi.nlm.nih.gov/pubmed/18539917" TargetMode="External"/><Relationship Id="rId33" Type="http://schemas.openxmlformats.org/officeDocument/2006/relationships/hyperlink" Target="https://www.ncbi.nlm.nih.gov/pubmed/28477396" TargetMode="External"/><Relationship Id="rId38" Type="http://schemas.openxmlformats.org/officeDocument/2006/relationships/hyperlink" Target="file:///D:\EDL\PHC\PHC2016\FINAL%20chapters\www.health.gov.za" TargetMode="External"/><Relationship Id="rId46" Type="http://schemas.openxmlformats.org/officeDocument/2006/relationships/hyperlink" Target="http://www.health.gov.za/" TargetMode="External"/><Relationship Id="rId59" Type="http://schemas.openxmlformats.org/officeDocument/2006/relationships/hyperlink" Target="https://www.ncbi.nlm.nih.gov/pubmed/27706804" TargetMode="External"/><Relationship Id="rId20" Type="http://schemas.openxmlformats.org/officeDocument/2006/relationships/hyperlink" Target="http://www.ncbi.nlm.nih.gov/pubmed/21617112" TargetMode="External"/><Relationship Id="rId41" Type="http://schemas.openxmlformats.org/officeDocument/2006/relationships/hyperlink" Target="https://www.hiv-druginteractions.org/" TargetMode="External"/><Relationship Id="rId54" Type="http://schemas.openxmlformats.org/officeDocument/2006/relationships/hyperlink" Target="https://www.ncbi.nlm.nih.gov/pubmed/15455194" TargetMode="External"/><Relationship Id="rId62" Type="http://schemas.openxmlformats.org/officeDocument/2006/relationships/hyperlink" Target="http://www.ncbi.nlm.nih.gov/pubmed/24829175" TargetMode="External"/><Relationship Id="rId1" Type="http://schemas.openxmlformats.org/officeDocument/2006/relationships/hyperlink" Target="https://www.ncbi.nlm.nih.gov/pubmed/26760044" TargetMode="External"/><Relationship Id="rId6" Type="http://schemas.openxmlformats.org/officeDocument/2006/relationships/hyperlink" Target="https://www.ncbi.nlm.nih.gov/pubmed/26760044" TargetMode="External"/><Relationship Id="rId15" Type="http://schemas.openxmlformats.org/officeDocument/2006/relationships/hyperlink" Target="https://www.ncbi.nlm.nih.gov/pubmed/26069725" TargetMode="External"/><Relationship Id="rId23" Type="http://schemas.openxmlformats.org/officeDocument/2006/relationships/hyperlink" Target="http://www.jemdsa.co.za/index.php/JEMDSA/article/view/647/937" TargetMode="External"/><Relationship Id="rId28" Type="http://schemas.openxmlformats.org/officeDocument/2006/relationships/hyperlink" Target="http://www.jemdsa.co.za/index.php/JEMDSA/article/view/647/937" TargetMode="External"/><Relationship Id="rId36" Type="http://schemas.openxmlformats.org/officeDocument/2006/relationships/hyperlink" Target="https://www.ncbi.nlm.nih.gov/pubmed/23529608" TargetMode="External"/><Relationship Id="rId49" Type="http://schemas.openxmlformats.org/officeDocument/2006/relationships/hyperlink" Target="http://journals.lww.com/theendocrinologist/Abstract/1996/01000/Diagnosis_and_Treatment_of_Hypocalcemic.3.aspx" TargetMode="External"/><Relationship Id="rId57" Type="http://schemas.openxmlformats.org/officeDocument/2006/relationships/hyperlink" Target="https://www.ncbi.nlm.nih.gov/pubmed/27801641" TargetMode="External"/><Relationship Id="rId10" Type="http://schemas.openxmlformats.org/officeDocument/2006/relationships/hyperlink" Target="http://www.health.gov.za/" TargetMode="External"/><Relationship Id="rId31" Type="http://schemas.openxmlformats.org/officeDocument/2006/relationships/hyperlink" Target="http://www.ncbi.nlm.nih.gov/pubmed/17646601" TargetMode="External"/><Relationship Id="rId44" Type="http://schemas.openxmlformats.org/officeDocument/2006/relationships/hyperlink" Target="file:///C:\Users\Renee\Downloads\www.nice.org.uk\guidance\cg181" TargetMode="External"/><Relationship Id="rId52" Type="http://schemas.openxmlformats.org/officeDocument/2006/relationships/hyperlink" Target="http://www.ncbi.nlm.nih.gov/pubmed/15254282" TargetMode="External"/><Relationship Id="rId60" Type="http://schemas.openxmlformats.org/officeDocument/2006/relationships/hyperlink" Target="https://www.ncbi.nlm.nih.gov/pubmed/23884783" TargetMode="External"/><Relationship Id="rId4" Type="http://schemas.openxmlformats.org/officeDocument/2006/relationships/hyperlink" Target="http://www.jemdsa.co.za/index.php/JEMDSA/article/view/647/937" TargetMode="External"/><Relationship Id="rId9" Type="http://schemas.openxmlformats.org/officeDocument/2006/relationships/hyperlink" Target="http://www.jemdsa.co.za/index.php/JEMDSA/article/view/647/9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8443F-3765-4374-93BD-FB438196F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39</Pages>
  <Words>8104</Words>
  <Characters>46872</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Endocrine</vt:lpstr>
    </vt:vector>
  </TitlesOfParts>
  <Company>DoH</Company>
  <LinksUpToDate>false</LinksUpToDate>
  <CharactersWithSpaces>54867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Endocrine</dc:title>
  <dc:creator>LeongT</dc:creator>
  <cp:lastModifiedBy>Maropeng Rapetsoa</cp:lastModifiedBy>
  <cp:revision>7</cp:revision>
  <cp:lastPrinted>2020-02-05T18:26:00Z</cp:lastPrinted>
  <dcterms:created xsi:type="dcterms:W3CDTF">2020-03-24T12:39:00Z</dcterms:created>
  <dcterms:modified xsi:type="dcterms:W3CDTF">2025-07-09T06:21:00Z</dcterms:modified>
</cp:coreProperties>
</file>