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348B81" w14:textId="14CDBA58" w:rsidR="00580997" w:rsidRPr="00074303" w:rsidRDefault="00AF5B91" w:rsidP="00B2353D">
      <w:pPr>
        <w:pStyle w:val="Heading1"/>
      </w:pPr>
      <w:r>
        <w:t>Sexually transmitted infections</w:t>
      </w:r>
    </w:p>
    <w:p w14:paraId="52C4B37A" w14:textId="77777777" w:rsidR="002B1F27" w:rsidRDefault="00734A6D">
      <w:pPr>
        <w:pStyle w:val="TOC7"/>
        <w:rPr>
          <w:rFonts w:asciiTheme="minorHAnsi" w:eastAsiaTheme="minorEastAsia" w:hAnsiTheme="minorHAnsi"/>
          <w:spacing w:val="0"/>
          <w:sz w:val="22"/>
          <w:szCs w:val="22"/>
          <w:lang w:val="en-ZA" w:eastAsia="en-ZA"/>
        </w:rPr>
      </w:pPr>
      <w:r>
        <w:fldChar w:fldCharType="begin"/>
      </w:r>
      <w:r>
        <w:instrText xml:space="preserve"> TOC \b Chapter12 \n \h \z \u \t "Heading 1A,6,Heading 2,7,Heading 3,8,Heading 4,9" </w:instrText>
      </w:r>
      <w:r>
        <w:fldChar w:fldCharType="separate"/>
      </w:r>
      <w:hyperlink w:anchor="_Toc57792309" w:history="1">
        <w:r w:rsidR="002B1F27" w:rsidRPr="00AF0494">
          <w:rPr>
            <w:rStyle w:val="Hyperlink"/>
          </w:rPr>
          <w:t>12.1</w:t>
        </w:r>
        <w:r w:rsidR="002B1F27">
          <w:rPr>
            <w:rFonts w:asciiTheme="minorHAnsi" w:eastAsiaTheme="minorEastAsia" w:hAnsiTheme="minorHAnsi"/>
            <w:spacing w:val="0"/>
            <w:sz w:val="22"/>
            <w:szCs w:val="22"/>
            <w:lang w:val="en-ZA" w:eastAsia="en-ZA"/>
          </w:rPr>
          <w:tab/>
        </w:r>
        <w:r w:rsidR="002B1F27" w:rsidRPr="00AF0494">
          <w:rPr>
            <w:rStyle w:val="Hyperlink"/>
          </w:rPr>
          <w:t>Vaginal discharge syndrome (VDS)</w:t>
        </w:r>
      </w:hyperlink>
    </w:p>
    <w:p w14:paraId="5F264422" w14:textId="77777777" w:rsidR="002B1F27" w:rsidRDefault="002B1F27">
      <w:pPr>
        <w:pStyle w:val="TOC8"/>
        <w:rPr>
          <w:rFonts w:asciiTheme="minorHAnsi" w:eastAsiaTheme="minorEastAsia" w:hAnsiTheme="minorHAnsi"/>
          <w:spacing w:val="0"/>
          <w:sz w:val="22"/>
          <w:szCs w:val="22"/>
          <w:lang w:val="en-ZA" w:eastAsia="en-ZA"/>
        </w:rPr>
      </w:pPr>
      <w:hyperlink w:anchor="_Toc57792310" w:history="1">
        <w:r w:rsidRPr="00AF0494">
          <w:rPr>
            <w:rStyle w:val="Hyperlink"/>
          </w:rPr>
          <w:t>12.1.1</w:t>
        </w:r>
        <w:r>
          <w:rPr>
            <w:rFonts w:asciiTheme="minorHAnsi" w:eastAsiaTheme="minorEastAsia" w:hAnsiTheme="minorHAnsi"/>
            <w:spacing w:val="0"/>
            <w:sz w:val="22"/>
            <w:szCs w:val="22"/>
            <w:lang w:val="en-ZA" w:eastAsia="en-ZA"/>
          </w:rPr>
          <w:tab/>
        </w:r>
        <w:r w:rsidRPr="00AF0494">
          <w:rPr>
            <w:rStyle w:val="Hyperlink"/>
          </w:rPr>
          <w:t>Sexually non-active women</w:t>
        </w:r>
      </w:hyperlink>
    </w:p>
    <w:p w14:paraId="5A10AD02" w14:textId="77777777" w:rsidR="002B1F27" w:rsidRDefault="002B1F27">
      <w:pPr>
        <w:pStyle w:val="TOC8"/>
        <w:rPr>
          <w:rFonts w:asciiTheme="minorHAnsi" w:eastAsiaTheme="minorEastAsia" w:hAnsiTheme="minorHAnsi"/>
          <w:spacing w:val="0"/>
          <w:sz w:val="22"/>
          <w:szCs w:val="22"/>
          <w:lang w:val="en-ZA" w:eastAsia="en-ZA"/>
        </w:rPr>
      </w:pPr>
      <w:hyperlink w:anchor="_Toc57792311" w:history="1">
        <w:r w:rsidRPr="00AF0494">
          <w:rPr>
            <w:rStyle w:val="Hyperlink"/>
          </w:rPr>
          <w:t>12.1.2</w:t>
        </w:r>
        <w:r>
          <w:rPr>
            <w:rFonts w:asciiTheme="minorHAnsi" w:eastAsiaTheme="minorEastAsia" w:hAnsiTheme="minorHAnsi"/>
            <w:spacing w:val="0"/>
            <w:sz w:val="22"/>
            <w:szCs w:val="22"/>
            <w:lang w:val="en-ZA" w:eastAsia="en-ZA"/>
          </w:rPr>
          <w:tab/>
        </w:r>
        <w:r w:rsidRPr="00AF0494">
          <w:rPr>
            <w:rStyle w:val="Hyperlink"/>
          </w:rPr>
          <w:t>Sexually active women</w:t>
        </w:r>
      </w:hyperlink>
    </w:p>
    <w:p w14:paraId="4CCA0BB4" w14:textId="77777777" w:rsidR="002B1F27" w:rsidRDefault="002B1F27">
      <w:pPr>
        <w:pStyle w:val="TOC7"/>
        <w:rPr>
          <w:rFonts w:asciiTheme="minorHAnsi" w:eastAsiaTheme="minorEastAsia" w:hAnsiTheme="minorHAnsi"/>
          <w:spacing w:val="0"/>
          <w:sz w:val="22"/>
          <w:szCs w:val="22"/>
          <w:lang w:val="en-ZA" w:eastAsia="en-ZA"/>
        </w:rPr>
      </w:pPr>
      <w:hyperlink w:anchor="_Toc57792312" w:history="1">
        <w:r w:rsidRPr="00AF0494">
          <w:rPr>
            <w:rStyle w:val="Hyperlink"/>
          </w:rPr>
          <w:t>12.2</w:t>
        </w:r>
        <w:r>
          <w:rPr>
            <w:rFonts w:asciiTheme="minorHAnsi" w:eastAsiaTheme="minorEastAsia" w:hAnsiTheme="minorHAnsi"/>
            <w:spacing w:val="0"/>
            <w:sz w:val="22"/>
            <w:szCs w:val="22"/>
            <w:lang w:val="en-ZA" w:eastAsia="en-ZA"/>
          </w:rPr>
          <w:tab/>
        </w:r>
        <w:r w:rsidRPr="00AF0494">
          <w:rPr>
            <w:rStyle w:val="Hyperlink"/>
          </w:rPr>
          <w:t>Lower abdominal pain (LAP)</w:t>
        </w:r>
      </w:hyperlink>
    </w:p>
    <w:p w14:paraId="7E2FDA65" w14:textId="77777777" w:rsidR="002B1F27" w:rsidRDefault="002B1F27">
      <w:pPr>
        <w:pStyle w:val="TOC7"/>
        <w:rPr>
          <w:rFonts w:asciiTheme="minorHAnsi" w:eastAsiaTheme="minorEastAsia" w:hAnsiTheme="minorHAnsi"/>
          <w:spacing w:val="0"/>
          <w:sz w:val="22"/>
          <w:szCs w:val="22"/>
          <w:lang w:val="en-ZA" w:eastAsia="en-ZA"/>
        </w:rPr>
      </w:pPr>
      <w:hyperlink w:anchor="_Toc57792313" w:history="1">
        <w:r w:rsidRPr="00AF0494">
          <w:rPr>
            <w:rStyle w:val="Hyperlink"/>
          </w:rPr>
          <w:t>12.3</w:t>
        </w:r>
        <w:r>
          <w:rPr>
            <w:rFonts w:asciiTheme="minorHAnsi" w:eastAsiaTheme="minorEastAsia" w:hAnsiTheme="minorHAnsi"/>
            <w:spacing w:val="0"/>
            <w:sz w:val="22"/>
            <w:szCs w:val="22"/>
            <w:lang w:val="en-ZA" w:eastAsia="en-ZA"/>
          </w:rPr>
          <w:tab/>
        </w:r>
        <w:r w:rsidRPr="00AF0494">
          <w:rPr>
            <w:rStyle w:val="Hyperlink"/>
          </w:rPr>
          <w:t>Male urethritis syndrome (MUS)</w:t>
        </w:r>
      </w:hyperlink>
    </w:p>
    <w:p w14:paraId="0CDA4503" w14:textId="77777777" w:rsidR="002B1F27" w:rsidRDefault="002B1F27">
      <w:pPr>
        <w:pStyle w:val="TOC7"/>
        <w:rPr>
          <w:rFonts w:asciiTheme="minorHAnsi" w:eastAsiaTheme="minorEastAsia" w:hAnsiTheme="minorHAnsi"/>
          <w:spacing w:val="0"/>
          <w:sz w:val="22"/>
          <w:szCs w:val="22"/>
          <w:lang w:val="en-ZA" w:eastAsia="en-ZA"/>
        </w:rPr>
      </w:pPr>
      <w:hyperlink w:anchor="_Toc57792314" w:history="1">
        <w:r w:rsidRPr="00AF0494">
          <w:rPr>
            <w:rStyle w:val="Hyperlink"/>
          </w:rPr>
          <w:t>12.4</w:t>
        </w:r>
        <w:r>
          <w:rPr>
            <w:rFonts w:asciiTheme="minorHAnsi" w:eastAsiaTheme="minorEastAsia" w:hAnsiTheme="minorHAnsi"/>
            <w:spacing w:val="0"/>
            <w:sz w:val="22"/>
            <w:szCs w:val="22"/>
            <w:lang w:val="en-ZA" w:eastAsia="en-ZA"/>
          </w:rPr>
          <w:tab/>
        </w:r>
        <w:r w:rsidRPr="00AF0494">
          <w:rPr>
            <w:rStyle w:val="Hyperlink"/>
          </w:rPr>
          <w:t>Scrotal swelling (SSW)</w:t>
        </w:r>
      </w:hyperlink>
    </w:p>
    <w:p w14:paraId="2C96425B" w14:textId="77777777" w:rsidR="002B1F27" w:rsidRDefault="002B1F27">
      <w:pPr>
        <w:pStyle w:val="TOC7"/>
        <w:rPr>
          <w:rFonts w:asciiTheme="minorHAnsi" w:eastAsiaTheme="minorEastAsia" w:hAnsiTheme="minorHAnsi"/>
          <w:spacing w:val="0"/>
          <w:sz w:val="22"/>
          <w:szCs w:val="22"/>
          <w:lang w:val="en-ZA" w:eastAsia="en-ZA"/>
        </w:rPr>
      </w:pPr>
      <w:hyperlink w:anchor="_Toc57792315" w:history="1">
        <w:r w:rsidRPr="00AF0494">
          <w:rPr>
            <w:rStyle w:val="Hyperlink"/>
          </w:rPr>
          <w:t>12.5</w:t>
        </w:r>
        <w:r>
          <w:rPr>
            <w:rFonts w:asciiTheme="minorHAnsi" w:eastAsiaTheme="minorEastAsia" w:hAnsiTheme="minorHAnsi"/>
            <w:spacing w:val="0"/>
            <w:sz w:val="22"/>
            <w:szCs w:val="22"/>
            <w:lang w:val="en-ZA" w:eastAsia="en-ZA"/>
          </w:rPr>
          <w:tab/>
        </w:r>
        <w:r w:rsidRPr="00AF0494">
          <w:rPr>
            <w:rStyle w:val="Hyperlink"/>
          </w:rPr>
          <w:t>Genital ulcer syndrome (GUS)</w:t>
        </w:r>
      </w:hyperlink>
    </w:p>
    <w:p w14:paraId="1B7C74BA" w14:textId="77777777" w:rsidR="002B1F27" w:rsidRDefault="002B1F27">
      <w:pPr>
        <w:pStyle w:val="TOC7"/>
        <w:rPr>
          <w:rFonts w:asciiTheme="minorHAnsi" w:eastAsiaTheme="minorEastAsia" w:hAnsiTheme="minorHAnsi"/>
          <w:spacing w:val="0"/>
          <w:sz w:val="22"/>
          <w:szCs w:val="22"/>
          <w:lang w:val="en-ZA" w:eastAsia="en-ZA"/>
        </w:rPr>
      </w:pPr>
      <w:hyperlink w:anchor="_Toc57792316" w:history="1">
        <w:r w:rsidRPr="00AF0494">
          <w:rPr>
            <w:rStyle w:val="Hyperlink"/>
          </w:rPr>
          <w:t>12.6</w:t>
        </w:r>
        <w:r>
          <w:rPr>
            <w:rFonts w:asciiTheme="minorHAnsi" w:eastAsiaTheme="minorEastAsia" w:hAnsiTheme="minorHAnsi"/>
            <w:spacing w:val="0"/>
            <w:sz w:val="22"/>
            <w:szCs w:val="22"/>
            <w:lang w:val="en-ZA" w:eastAsia="en-ZA"/>
          </w:rPr>
          <w:tab/>
        </w:r>
        <w:r w:rsidRPr="00AF0494">
          <w:rPr>
            <w:rStyle w:val="Hyperlink"/>
          </w:rPr>
          <w:t>Bubo</w:t>
        </w:r>
      </w:hyperlink>
    </w:p>
    <w:p w14:paraId="1096CAFB" w14:textId="77777777" w:rsidR="002B1F27" w:rsidRDefault="002B1F27">
      <w:pPr>
        <w:pStyle w:val="TOC7"/>
        <w:rPr>
          <w:rFonts w:asciiTheme="minorHAnsi" w:eastAsiaTheme="minorEastAsia" w:hAnsiTheme="minorHAnsi"/>
          <w:spacing w:val="0"/>
          <w:sz w:val="22"/>
          <w:szCs w:val="22"/>
          <w:lang w:val="en-ZA" w:eastAsia="en-ZA"/>
        </w:rPr>
      </w:pPr>
      <w:hyperlink w:anchor="_Toc57792317" w:history="1">
        <w:r w:rsidRPr="00AF0494">
          <w:rPr>
            <w:rStyle w:val="Hyperlink"/>
          </w:rPr>
          <w:t>12.7</w:t>
        </w:r>
        <w:r>
          <w:rPr>
            <w:rFonts w:asciiTheme="minorHAnsi" w:eastAsiaTheme="minorEastAsia" w:hAnsiTheme="minorHAnsi"/>
            <w:spacing w:val="0"/>
            <w:sz w:val="22"/>
            <w:szCs w:val="22"/>
            <w:lang w:val="en-ZA" w:eastAsia="en-ZA"/>
          </w:rPr>
          <w:tab/>
        </w:r>
        <w:r w:rsidRPr="00AF0494">
          <w:rPr>
            <w:rStyle w:val="Hyperlink"/>
          </w:rPr>
          <w:t>Balanitis/balanoposthitis (BAL)</w:t>
        </w:r>
      </w:hyperlink>
    </w:p>
    <w:p w14:paraId="03F5B6A2" w14:textId="77777777" w:rsidR="002B1F27" w:rsidRDefault="002B1F27">
      <w:pPr>
        <w:pStyle w:val="TOC7"/>
        <w:rPr>
          <w:rFonts w:asciiTheme="minorHAnsi" w:eastAsiaTheme="minorEastAsia" w:hAnsiTheme="minorHAnsi"/>
          <w:spacing w:val="0"/>
          <w:sz w:val="22"/>
          <w:szCs w:val="22"/>
          <w:lang w:val="en-ZA" w:eastAsia="en-ZA"/>
        </w:rPr>
      </w:pPr>
      <w:hyperlink w:anchor="_Toc57792318" w:history="1">
        <w:r w:rsidRPr="00AF0494">
          <w:rPr>
            <w:rStyle w:val="Hyperlink"/>
          </w:rPr>
          <w:t>12.8</w:t>
        </w:r>
        <w:r>
          <w:rPr>
            <w:rFonts w:asciiTheme="minorHAnsi" w:eastAsiaTheme="minorEastAsia" w:hAnsiTheme="minorHAnsi"/>
            <w:spacing w:val="0"/>
            <w:sz w:val="22"/>
            <w:szCs w:val="22"/>
            <w:lang w:val="en-ZA" w:eastAsia="en-ZA"/>
          </w:rPr>
          <w:tab/>
        </w:r>
        <w:r w:rsidRPr="00AF0494">
          <w:rPr>
            <w:rStyle w:val="Hyperlink"/>
          </w:rPr>
          <w:t>Syphilis serology and treatment</w:t>
        </w:r>
      </w:hyperlink>
    </w:p>
    <w:p w14:paraId="046C2837" w14:textId="77777777" w:rsidR="002B1F27" w:rsidRDefault="002B1F27">
      <w:pPr>
        <w:pStyle w:val="TOC7"/>
        <w:rPr>
          <w:rFonts w:asciiTheme="minorHAnsi" w:eastAsiaTheme="minorEastAsia" w:hAnsiTheme="minorHAnsi"/>
          <w:spacing w:val="0"/>
          <w:sz w:val="22"/>
          <w:szCs w:val="22"/>
          <w:lang w:val="en-ZA" w:eastAsia="en-ZA"/>
        </w:rPr>
      </w:pPr>
      <w:hyperlink w:anchor="_Toc57792319" w:history="1">
        <w:r w:rsidRPr="00AF0494">
          <w:rPr>
            <w:rStyle w:val="Hyperlink"/>
          </w:rPr>
          <w:t>12.9</w:t>
        </w:r>
        <w:r>
          <w:rPr>
            <w:rFonts w:asciiTheme="minorHAnsi" w:eastAsiaTheme="minorEastAsia" w:hAnsiTheme="minorHAnsi"/>
            <w:spacing w:val="0"/>
            <w:sz w:val="22"/>
            <w:szCs w:val="22"/>
            <w:lang w:val="en-ZA" w:eastAsia="en-ZA"/>
          </w:rPr>
          <w:tab/>
        </w:r>
        <w:r w:rsidRPr="00AF0494">
          <w:rPr>
            <w:rStyle w:val="Hyperlink"/>
          </w:rPr>
          <w:t>Treatment of more than one STI syndrome</w:t>
        </w:r>
      </w:hyperlink>
    </w:p>
    <w:p w14:paraId="444F84C5" w14:textId="77777777" w:rsidR="002B1F27" w:rsidRDefault="002B1F27">
      <w:pPr>
        <w:pStyle w:val="TOC7"/>
        <w:rPr>
          <w:rFonts w:asciiTheme="minorHAnsi" w:eastAsiaTheme="minorEastAsia" w:hAnsiTheme="minorHAnsi"/>
          <w:spacing w:val="0"/>
          <w:sz w:val="22"/>
          <w:szCs w:val="22"/>
          <w:lang w:val="en-ZA" w:eastAsia="en-ZA"/>
        </w:rPr>
      </w:pPr>
      <w:hyperlink w:anchor="_Toc57792320" w:history="1">
        <w:r w:rsidRPr="00AF0494">
          <w:rPr>
            <w:rStyle w:val="Hyperlink"/>
          </w:rPr>
          <w:t>12.10</w:t>
        </w:r>
        <w:r>
          <w:rPr>
            <w:rFonts w:asciiTheme="minorHAnsi" w:eastAsiaTheme="minorEastAsia" w:hAnsiTheme="minorHAnsi"/>
            <w:spacing w:val="0"/>
            <w:sz w:val="22"/>
            <w:szCs w:val="22"/>
            <w:lang w:val="en-ZA" w:eastAsia="en-ZA"/>
          </w:rPr>
          <w:tab/>
        </w:r>
        <w:r w:rsidRPr="00AF0494">
          <w:rPr>
            <w:rStyle w:val="Hyperlink"/>
          </w:rPr>
          <w:t>Treatment of partners</w:t>
        </w:r>
      </w:hyperlink>
    </w:p>
    <w:p w14:paraId="39A55BA6" w14:textId="77777777" w:rsidR="002B1F27" w:rsidRDefault="002B1F27">
      <w:pPr>
        <w:pStyle w:val="TOC7"/>
        <w:rPr>
          <w:rFonts w:asciiTheme="minorHAnsi" w:eastAsiaTheme="minorEastAsia" w:hAnsiTheme="minorHAnsi"/>
          <w:spacing w:val="0"/>
          <w:sz w:val="22"/>
          <w:szCs w:val="22"/>
          <w:lang w:val="en-ZA" w:eastAsia="en-ZA"/>
        </w:rPr>
      </w:pPr>
      <w:hyperlink w:anchor="_Toc57792321" w:history="1">
        <w:r w:rsidRPr="00AF0494">
          <w:rPr>
            <w:rStyle w:val="Hyperlink"/>
          </w:rPr>
          <w:t>12.11</w:t>
        </w:r>
        <w:r>
          <w:rPr>
            <w:rFonts w:asciiTheme="minorHAnsi" w:eastAsiaTheme="minorEastAsia" w:hAnsiTheme="minorHAnsi"/>
            <w:spacing w:val="0"/>
            <w:sz w:val="22"/>
            <w:szCs w:val="22"/>
            <w:lang w:val="en-ZA" w:eastAsia="en-ZA"/>
          </w:rPr>
          <w:tab/>
        </w:r>
        <w:r w:rsidRPr="00AF0494">
          <w:rPr>
            <w:rStyle w:val="Hyperlink"/>
          </w:rPr>
          <w:t>Genital molluscum contagiosum (MC)</w:t>
        </w:r>
      </w:hyperlink>
    </w:p>
    <w:p w14:paraId="17B9C03B" w14:textId="77777777" w:rsidR="002B1F27" w:rsidRDefault="002B1F27">
      <w:pPr>
        <w:pStyle w:val="TOC7"/>
        <w:rPr>
          <w:rFonts w:asciiTheme="minorHAnsi" w:eastAsiaTheme="minorEastAsia" w:hAnsiTheme="minorHAnsi"/>
          <w:spacing w:val="0"/>
          <w:sz w:val="22"/>
          <w:szCs w:val="22"/>
          <w:lang w:val="en-ZA" w:eastAsia="en-ZA"/>
        </w:rPr>
      </w:pPr>
      <w:hyperlink w:anchor="_Toc57792322" w:history="1">
        <w:r w:rsidRPr="00AF0494">
          <w:rPr>
            <w:rStyle w:val="Hyperlink"/>
          </w:rPr>
          <w:t>12.12</w:t>
        </w:r>
        <w:r>
          <w:rPr>
            <w:rFonts w:asciiTheme="minorHAnsi" w:eastAsiaTheme="minorEastAsia" w:hAnsiTheme="minorHAnsi"/>
            <w:spacing w:val="0"/>
            <w:sz w:val="22"/>
            <w:szCs w:val="22"/>
            <w:lang w:val="en-ZA" w:eastAsia="en-ZA"/>
          </w:rPr>
          <w:tab/>
        </w:r>
        <w:r w:rsidRPr="00AF0494">
          <w:rPr>
            <w:rStyle w:val="Hyperlink"/>
          </w:rPr>
          <w:t>Genital warts (GW): Condylomata Accuminata</w:t>
        </w:r>
      </w:hyperlink>
    </w:p>
    <w:p w14:paraId="4C105181" w14:textId="77777777" w:rsidR="002B1F27" w:rsidRDefault="002B1F27">
      <w:pPr>
        <w:pStyle w:val="TOC7"/>
        <w:rPr>
          <w:rFonts w:asciiTheme="minorHAnsi" w:eastAsiaTheme="minorEastAsia" w:hAnsiTheme="minorHAnsi"/>
          <w:spacing w:val="0"/>
          <w:sz w:val="22"/>
          <w:szCs w:val="22"/>
          <w:lang w:val="en-ZA" w:eastAsia="en-ZA"/>
        </w:rPr>
      </w:pPr>
      <w:hyperlink w:anchor="_Toc57792323" w:history="1">
        <w:r w:rsidRPr="00AF0494">
          <w:rPr>
            <w:rStyle w:val="Hyperlink"/>
          </w:rPr>
          <w:t>12.13</w:t>
        </w:r>
        <w:r>
          <w:rPr>
            <w:rFonts w:asciiTheme="minorHAnsi" w:eastAsiaTheme="minorEastAsia" w:hAnsiTheme="minorHAnsi"/>
            <w:spacing w:val="0"/>
            <w:sz w:val="22"/>
            <w:szCs w:val="22"/>
            <w:lang w:val="en-ZA" w:eastAsia="en-ZA"/>
          </w:rPr>
          <w:tab/>
        </w:r>
        <w:r w:rsidRPr="00AF0494">
          <w:rPr>
            <w:rStyle w:val="Hyperlink"/>
          </w:rPr>
          <w:t>Pubic lice (PL)</w:t>
        </w:r>
      </w:hyperlink>
    </w:p>
    <w:p w14:paraId="5FC5E27A" w14:textId="0DFACF41" w:rsidR="00471698" w:rsidRDefault="00734A6D" w:rsidP="00471698">
      <w:pPr>
        <w:pStyle w:val="NoSpacing"/>
        <w:rPr>
          <w:noProof/>
        </w:rPr>
      </w:pPr>
      <w:r>
        <w:rPr>
          <w:noProof/>
        </w:rPr>
        <w:fldChar w:fldCharType="end"/>
      </w:r>
      <w:r w:rsidR="00815E76">
        <w:rPr>
          <w:noProof/>
        </w:rPr>
        <w:t xml:space="preserve"> </w:t>
      </w:r>
      <w:r w:rsidR="00471698">
        <w:rPr>
          <w:noProof/>
        </w:rPr>
        <w:br w:type="page"/>
      </w:r>
    </w:p>
    <w:p w14:paraId="521AAA98" w14:textId="77777777" w:rsidR="000C19D9" w:rsidRPr="00E767D4" w:rsidRDefault="000C19D9" w:rsidP="000C19D9">
      <w:pPr>
        <w:pStyle w:val="NoSpacing"/>
      </w:pPr>
      <w:bookmarkStart w:id="0" w:name="_Toc50580094"/>
      <w:bookmarkStart w:id="1" w:name="Chapter12"/>
      <w:r w:rsidRPr="00E767D4">
        <w:lastRenderedPageBreak/>
        <w:t xml:space="preserve">The syndromic approach to Sexually Transmitted Infections (STIs) diagnosis and management is to treat the signs or symptoms (syndrome) of a group of diseases rather than treating a specific disease. This allows for the treatment of one or more conditions that often occur at the same time and has been accepted as the management of choice. </w:t>
      </w:r>
    </w:p>
    <w:p w14:paraId="3D9FE4E3" w14:textId="77777777" w:rsidR="000C19D9" w:rsidRPr="00E767D4" w:rsidRDefault="000C19D9" w:rsidP="0090482A">
      <w:pPr>
        <w:pStyle w:val="Heading6"/>
      </w:pPr>
      <w:r w:rsidRPr="00E767D4">
        <w:t>Causative organisms and medicine management for STI syndromes:</w:t>
      </w:r>
    </w:p>
    <w:tbl>
      <w:tblPr>
        <w:tblStyle w:val="SamplePHCTable"/>
        <w:tblW w:w="5000" w:type="pct"/>
        <w:tblLook w:val="04A0" w:firstRow="1" w:lastRow="0" w:firstColumn="1" w:lastColumn="0" w:noHBand="0" w:noVBand="1"/>
      </w:tblPr>
      <w:tblGrid>
        <w:gridCol w:w="2370"/>
        <w:gridCol w:w="1675"/>
        <w:gridCol w:w="2634"/>
      </w:tblGrid>
      <w:tr w:rsidR="000C19D9" w:rsidRPr="00E767D4" w14:paraId="61A1A8A5" w14:textId="77777777" w:rsidTr="0090482A">
        <w:trPr>
          <w:cnfStyle w:val="100000000000" w:firstRow="1" w:lastRow="0" w:firstColumn="0" w:lastColumn="0" w:oddVBand="0" w:evenVBand="0" w:oddHBand="0" w:evenHBand="0" w:firstRowFirstColumn="0" w:firstRowLastColumn="0" w:lastRowFirstColumn="0" w:lastRowLastColumn="0"/>
        </w:trPr>
        <w:tc>
          <w:tcPr>
            <w:tcW w:w="1774" w:type="pct"/>
          </w:tcPr>
          <w:p w14:paraId="7BAEB7F5" w14:textId="77777777" w:rsidR="000C19D9" w:rsidRPr="00E767D4" w:rsidRDefault="000C19D9" w:rsidP="00AA7E9A">
            <w:pPr>
              <w:pStyle w:val="NoSpacing"/>
              <w:jc w:val="center"/>
            </w:pPr>
            <w:r w:rsidRPr="00E767D4">
              <w:t>ORGANISM</w:t>
            </w:r>
          </w:p>
        </w:tc>
        <w:tc>
          <w:tcPr>
            <w:tcW w:w="1254" w:type="pct"/>
          </w:tcPr>
          <w:p w14:paraId="78D43F2A" w14:textId="3A3F85A8" w:rsidR="000C19D9" w:rsidRPr="00E767D4" w:rsidRDefault="000C19D9" w:rsidP="00AA7E9A">
            <w:pPr>
              <w:pStyle w:val="NoSpacing"/>
              <w:jc w:val="center"/>
            </w:pPr>
            <w:r w:rsidRPr="00E767D4">
              <w:t>SYNDROME/S</w:t>
            </w:r>
          </w:p>
        </w:tc>
        <w:tc>
          <w:tcPr>
            <w:tcW w:w="1972" w:type="pct"/>
          </w:tcPr>
          <w:p w14:paraId="0188368E" w14:textId="77777777" w:rsidR="000C19D9" w:rsidRPr="00E767D4" w:rsidRDefault="000C19D9" w:rsidP="00AA7E9A">
            <w:pPr>
              <w:pStyle w:val="NoSpacing"/>
              <w:jc w:val="center"/>
            </w:pPr>
            <w:r w:rsidRPr="00E767D4">
              <w:t>MEDICINE MANAGEMENT</w:t>
            </w:r>
          </w:p>
        </w:tc>
      </w:tr>
      <w:tr w:rsidR="000C19D9" w:rsidRPr="00E767D4" w14:paraId="1448286A" w14:textId="77777777" w:rsidTr="0090482A">
        <w:tc>
          <w:tcPr>
            <w:tcW w:w="1774" w:type="pct"/>
          </w:tcPr>
          <w:p w14:paraId="11CFB197" w14:textId="77777777" w:rsidR="000C19D9" w:rsidRPr="00362637" w:rsidRDefault="000C19D9" w:rsidP="00AA7E9A">
            <w:pPr>
              <w:pStyle w:val="NoSpacing"/>
              <w:jc w:val="center"/>
              <w:rPr>
                <w:rStyle w:val="Emphasis"/>
              </w:rPr>
            </w:pPr>
            <w:r w:rsidRPr="00362637">
              <w:rPr>
                <w:rStyle w:val="Emphasis"/>
              </w:rPr>
              <w:t>Neisseria gonorrhoeae</w:t>
            </w:r>
          </w:p>
        </w:tc>
        <w:tc>
          <w:tcPr>
            <w:tcW w:w="1254" w:type="pct"/>
          </w:tcPr>
          <w:p w14:paraId="67DC9F28" w14:textId="77777777" w:rsidR="000C19D9" w:rsidRPr="00E767D4" w:rsidRDefault="000C19D9" w:rsidP="00AA7E9A">
            <w:pPr>
              <w:pStyle w:val="NoSpacing"/>
              <w:jc w:val="center"/>
            </w:pPr>
            <w:r w:rsidRPr="00E767D4">
              <w:t>VDS, MUS, LAP</w:t>
            </w:r>
          </w:p>
        </w:tc>
        <w:tc>
          <w:tcPr>
            <w:tcW w:w="1972" w:type="pct"/>
          </w:tcPr>
          <w:p w14:paraId="15D2AF4E" w14:textId="77777777" w:rsidR="000C19D9" w:rsidRPr="00E767D4" w:rsidRDefault="000C19D9" w:rsidP="0090482A">
            <w:pPr>
              <w:pStyle w:val="NoSpacing"/>
              <w:jc w:val="center"/>
            </w:pPr>
            <w:r w:rsidRPr="00E767D4">
              <w:t>ceftriaxone + azithromycin</w:t>
            </w:r>
          </w:p>
          <w:tbl>
            <w:tblPr>
              <w:tblpPr w:leftFromText="180" w:rightFromText="180" w:vertAnchor="text" w:tblpXSpec="right" w:tblpY="1"/>
              <w:tblOverlap w:val="neve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07"/>
            </w:tblGrid>
            <w:tr w:rsidR="000C19D9" w:rsidRPr="00E767D4" w14:paraId="50F0B461" w14:textId="77777777" w:rsidTr="0090482A">
              <w:tc>
                <w:tcPr>
                  <w:tcW w:w="907" w:type="dxa"/>
                  <w:shd w:val="clear" w:color="auto" w:fill="auto"/>
                </w:tcPr>
                <w:p w14:paraId="4E9BFAC8" w14:textId="77777777" w:rsidR="000C19D9" w:rsidRPr="00E767D4" w:rsidRDefault="000C19D9" w:rsidP="0090482A">
                  <w:pPr>
                    <w:pStyle w:val="LoEText"/>
                    <w:framePr w:hSpace="0" w:wrap="auto" w:vAnchor="margin" w:hAnchor="text" w:xAlign="left" w:yAlign="inline"/>
                    <w:suppressOverlap w:val="0"/>
                  </w:pPr>
                  <w:r w:rsidRPr="00E767D4">
                    <w:t>LoE:III</w:t>
                  </w:r>
                  <w:r w:rsidRPr="0090482A">
                    <w:rPr>
                      <w:rStyle w:val="EndnoteReference8"/>
                    </w:rPr>
                    <w:endnoteReference w:id="2"/>
                  </w:r>
                </w:p>
              </w:tc>
            </w:tr>
          </w:tbl>
          <w:p w14:paraId="3D44D264" w14:textId="77777777" w:rsidR="000C19D9" w:rsidRPr="00E767D4" w:rsidRDefault="000C19D9" w:rsidP="008A18FE">
            <w:pPr>
              <w:pStyle w:val="NoSpacing"/>
            </w:pPr>
          </w:p>
        </w:tc>
      </w:tr>
      <w:tr w:rsidR="000C19D9" w:rsidRPr="00E767D4" w14:paraId="30246965" w14:textId="77777777" w:rsidTr="0090482A">
        <w:tc>
          <w:tcPr>
            <w:tcW w:w="1774" w:type="pct"/>
          </w:tcPr>
          <w:p w14:paraId="2F431512" w14:textId="77777777" w:rsidR="000C19D9" w:rsidRPr="00362637" w:rsidRDefault="000C19D9" w:rsidP="00AA7E9A">
            <w:pPr>
              <w:pStyle w:val="NoSpacing"/>
              <w:jc w:val="center"/>
              <w:rPr>
                <w:rStyle w:val="Emphasis"/>
              </w:rPr>
            </w:pPr>
            <w:r w:rsidRPr="00362637">
              <w:rPr>
                <w:rStyle w:val="Emphasis"/>
              </w:rPr>
              <w:t>Chlamydia trachomatis</w:t>
            </w:r>
          </w:p>
        </w:tc>
        <w:tc>
          <w:tcPr>
            <w:tcW w:w="1254" w:type="pct"/>
          </w:tcPr>
          <w:p w14:paraId="3B8C0D9C" w14:textId="77777777" w:rsidR="000C19D9" w:rsidRPr="00E767D4" w:rsidRDefault="000C19D9" w:rsidP="00AA7E9A">
            <w:pPr>
              <w:pStyle w:val="NoSpacing"/>
              <w:jc w:val="center"/>
            </w:pPr>
            <w:r w:rsidRPr="00E767D4">
              <w:t>VDS, MUS, LAP, GUS, Bubo</w:t>
            </w:r>
          </w:p>
        </w:tc>
        <w:tc>
          <w:tcPr>
            <w:tcW w:w="1972" w:type="pct"/>
          </w:tcPr>
          <w:p w14:paraId="06F2EAC0" w14:textId="77777777" w:rsidR="000C19D9" w:rsidRPr="00E767D4" w:rsidRDefault="000C19D9" w:rsidP="00AA7E9A">
            <w:pPr>
              <w:pStyle w:val="NoSpacing"/>
              <w:jc w:val="center"/>
            </w:pPr>
            <w:r w:rsidRPr="00E767D4">
              <w:t>azithromycin</w:t>
            </w:r>
          </w:p>
        </w:tc>
      </w:tr>
      <w:tr w:rsidR="000C19D9" w:rsidRPr="00E767D4" w14:paraId="666BE519" w14:textId="77777777" w:rsidTr="0090482A">
        <w:tc>
          <w:tcPr>
            <w:tcW w:w="1774" w:type="pct"/>
          </w:tcPr>
          <w:p w14:paraId="7FEC1085" w14:textId="77777777" w:rsidR="000C19D9" w:rsidRPr="00362637" w:rsidRDefault="000C19D9" w:rsidP="00AA7E9A">
            <w:pPr>
              <w:pStyle w:val="NoSpacing"/>
              <w:jc w:val="center"/>
              <w:rPr>
                <w:rStyle w:val="Emphasis"/>
              </w:rPr>
            </w:pPr>
            <w:r w:rsidRPr="00362637">
              <w:rPr>
                <w:rStyle w:val="Emphasis"/>
              </w:rPr>
              <w:t>Trichomonas vaginalis</w:t>
            </w:r>
          </w:p>
        </w:tc>
        <w:tc>
          <w:tcPr>
            <w:tcW w:w="1254" w:type="pct"/>
          </w:tcPr>
          <w:p w14:paraId="1E42AD70" w14:textId="77777777" w:rsidR="000C19D9" w:rsidRPr="00E767D4" w:rsidRDefault="000C19D9" w:rsidP="00AA7E9A">
            <w:pPr>
              <w:pStyle w:val="NoSpacing"/>
              <w:jc w:val="center"/>
            </w:pPr>
            <w:r w:rsidRPr="00E767D4">
              <w:t>VDS, LAP</w:t>
            </w:r>
          </w:p>
        </w:tc>
        <w:tc>
          <w:tcPr>
            <w:tcW w:w="1972" w:type="pct"/>
          </w:tcPr>
          <w:p w14:paraId="7F04638C" w14:textId="77777777" w:rsidR="000C19D9" w:rsidRPr="00E767D4" w:rsidRDefault="000C19D9" w:rsidP="00AA7E9A">
            <w:pPr>
              <w:pStyle w:val="NoSpacing"/>
              <w:jc w:val="center"/>
            </w:pPr>
            <w:r w:rsidRPr="00E767D4">
              <w:t>metronidazole</w:t>
            </w:r>
          </w:p>
        </w:tc>
      </w:tr>
      <w:tr w:rsidR="000C19D9" w:rsidRPr="00E767D4" w14:paraId="02C07355" w14:textId="77777777" w:rsidTr="0090482A">
        <w:tc>
          <w:tcPr>
            <w:tcW w:w="1774" w:type="pct"/>
          </w:tcPr>
          <w:p w14:paraId="5440D802" w14:textId="77777777" w:rsidR="000C19D9" w:rsidRPr="00E767D4" w:rsidRDefault="000C19D9" w:rsidP="00AA7E9A">
            <w:pPr>
              <w:pStyle w:val="NoSpacing"/>
              <w:jc w:val="center"/>
            </w:pPr>
            <w:r w:rsidRPr="00BB3DE1">
              <w:rPr>
                <w:rStyle w:val="Emphasis"/>
              </w:rPr>
              <w:t>Bacterial vaginosis</w:t>
            </w:r>
            <w:r w:rsidRPr="00E767D4">
              <w:t xml:space="preserve"> (overgrowth of </w:t>
            </w:r>
            <w:r w:rsidRPr="00BB3DE1">
              <w:rPr>
                <w:rStyle w:val="Emphasis"/>
              </w:rPr>
              <w:t>Gardnerella vaginalis</w:t>
            </w:r>
            <w:r w:rsidRPr="00E767D4">
              <w:t>, lactobacillus, anaerobes etc.)</w:t>
            </w:r>
          </w:p>
        </w:tc>
        <w:tc>
          <w:tcPr>
            <w:tcW w:w="1254" w:type="pct"/>
          </w:tcPr>
          <w:p w14:paraId="56AB9C18" w14:textId="77777777" w:rsidR="000C19D9" w:rsidRPr="00E767D4" w:rsidRDefault="000C19D9" w:rsidP="00AA7E9A">
            <w:pPr>
              <w:pStyle w:val="NoSpacing"/>
              <w:jc w:val="center"/>
            </w:pPr>
            <w:r w:rsidRPr="00E767D4">
              <w:t>VDS</w:t>
            </w:r>
          </w:p>
        </w:tc>
        <w:tc>
          <w:tcPr>
            <w:tcW w:w="1972" w:type="pct"/>
          </w:tcPr>
          <w:p w14:paraId="1090169E" w14:textId="77777777" w:rsidR="000C19D9" w:rsidRPr="00E767D4" w:rsidRDefault="000C19D9" w:rsidP="00AA7E9A">
            <w:pPr>
              <w:pStyle w:val="NoSpacing"/>
              <w:jc w:val="center"/>
            </w:pPr>
            <w:r w:rsidRPr="00E767D4">
              <w:t>metronidazole</w:t>
            </w:r>
          </w:p>
        </w:tc>
      </w:tr>
      <w:tr w:rsidR="000C19D9" w:rsidRPr="00E767D4" w14:paraId="2686079C" w14:textId="77777777" w:rsidTr="0090482A">
        <w:tc>
          <w:tcPr>
            <w:tcW w:w="1774" w:type="pct"/>
          </w:tcPr>
          <w:p w14:paraId="2C1545BE" w14:textId="77777777" w:rsidR="000C19D9" w:rsidRPr="00362637" w:rsidRDefault="000C19D9" w:rsidP="00AA7E9A">
            <w:pPr>
              <w:pStyle w:val="NoSpacing"/>
              <w:jc w:val="center"/>
              <w:rPr>
                <w:rStyle w:val="Emphasis"/>
              </w:rPr>
            </w:pPr>
            <w:r w:rsidRPr="00362637">
              <w:rPr>
                <w:rStyle w:val="Emphasis"/>
              </w:rPr>
              <w:t>Candida albicans</w:t>
            </w:r>
          </w:p>
        </w:tc>
        <w:tc>
          <w:tcPr>
            <w:tcW w:w="1254" w:type="pct"/>
          </w:tcPr>
          <w:p w14:paraId="472156E7" w14:textId="77777777" w:rsidR="000C19D9" w:rsidRPr="00E767D4" w:rsidRDefault="000C19D9" w:rsidP="00AA7E9A">
            <w:pPr>
              <w:pStyle w:val="NoSpacing"/>
              <w:jc w:val="center"/>
            </w:pPr>
            <w:r w:rsidRPr="00E767D4">
              <w:t>VDS</w:t>
            </w:r>
          </w:p>
        </w:tc>
        <w:tc>
          <w:tcPr>
            <w:tcW w:w="1972" w:type="pct"/>
          </w:tcPr>
          <w:p w14:paraId="650FB455" w14:textId="77777777" w:rsidR="000C19D9" w:rsidRPr="00E767D4" w:rsidRDefault="000C19D9" w:rsidP="00AA7E9A">
            <w:pPr>
              <w:pStyle w:val="NoSpacing"/>
              <w:jc w:val="center"/>
            </w:pPr>
            <w:r w:rsidRPr="00E767D4">
              <w:t>clotrimazole</w:t>
            </w:r>
          </w:p>
        </w:tc>
      </w:tr>
      <w:tr w:rsidR="000C19D9" w:rsidRPr="00E767D4" w14:paraId="62A99A41" w14:textId="77777777" w:rsidTr="0090482A">
        <w:tc>
          <w:tcPr>
            <w:tcW w:w="1774" w:type="pct"/>
          </w:tcPr>
          <w:p w14:paraId="7EDEA045" w14:textId="77777777" w:rsidR="000C19D9" w:rsidRPr="00362637" w:rsidRDefault="000C19D9" w:rsidP="00AA7E9A">
            <w:pPr>
              <w:pStyle w:val="NoSpacing"/>
              <w:jc w:val="center"/>
              <w:rPr>
                <w:rStyle w:val="Emphasis"/>
              </w:rPr>
            </w:pPr>
            <w:r w:rsidRPr="00362637">
              <w:rPr>
                <w:rStyle w:val="Emphasis"/>
              </w:rPr>
              <w:t>Treponema pallidum</w:t>
            </w:r>
          </w:p>
        </w:tc>
        <w:tc>
          <w:tcPr>
            <w:tcW w:w="1254" w:type="pct"/>
          </w:tcPr>
          <w:p w14:paraId="3DB7648A" w14:textId="77777777" w:rsidR="000C19D9" w:rsidRPr="00E767D4" w:rsidRDefault="000C19D9" w:rsidP="00AA7E9A">
            <w:pPr>
              <w:pStyle w:val="NoSpacing"/>
              <w:jc w:val="center"/>
            </w:pPr>
            <w:r w:rsidRPr="00E767D4">
              <w:t>GUS</w:t>
            </w:r>
          </w:p>
        </w:tc>
        <w:tc>
          <w:tcPr>
            <w:tcW w:w="1972" w:type="pct"/>
          </w:tcPr>
          <w:p w14:paraId="3F98C425" w14:textId="77777777" w:rsidR="000C19D9" w:rsidRPr="00E767D4" w:rsidRDefault="000C19D9" w:rsidP="00AA7E9A">
            <w:pPr>
              <w:pStyle w:val="NoSpacing"/>
              <w:jc w:val="center"/>
            </w:pPr>
            <w:r w:rsidRPr="00E767D4">
              <w:t>doxycycline/ benzathine benzylpenicillin</w:t>
            </w:r>
          </w:p>
        </w:tc>
      </w:tr>
      <w:tr w:rsidR="000C19D9" w:rsidRPr="00E767D4" w14:paraId="4CA15A47" w14:textId="77777777" w:rsidTr="0090482A">
        <w:tc>
          <w:tcPr>
            <w:tcW w:w="1774" w:type="pct"/>
          </w:tcPr>
          <w:p w14:paraId="1F8F8F26" w14:textId="77777777" w:rsidR="000C19D9" w:rsidRPr="00362637" w:rsidRDefault="000C19D9" w:rsidP="00AA7E9A">
            <w:pPr>
              <w:pStyle w:val="NoSpacing"/>
              <w:jc w:val="center"/>
              <w:rPr>
                <w:rStyle w:val="Emphasis"/>
              </w:rPr>
            </w:pPr>
            <w:r w:rsidRPr="00362637">
              <w:rPr>
                <w:rStyle w:val="Emphasis"/>
              </w:rPr>
              <w:t>Herpes simplex</w:t>
            </w:r>
          </w:p>
        </w:tc>
        <w:tc>
          <w:tcPr>
            <w:tcW w:w="1254" w:type="pct"/>
          </w:tcPr>
          <w:p w14:paraId="61736EFB" w14:textId="77777777" w:rsidR="000C19D9" w:rsidRPr="00E767D4" w:rsidRDefault="000C19D9" w:rsidP="00AA7E9A">
            <w:pPr>
              <w:pStyle w:val="NoSpacing"/>
              <w:jc w:val="center"/>
            </w:pPr>
            <w:r w:rsidRPr="00E767D4">
              <w:t>GUS</w:t>
            </w:r>
          </w:p>
        </w:tc>
        <w:tc>
          <w:tcPr>
            <w:tcW w:w="1972" w:type="pct"/>
          </w:tcPr>
          <w:p w14:paraId="24758CA5" w14:textId="77777777" w:rsidR="000C19D9" w:rsidRPr="00E767D4" w:rsidRDefault="000C19D9" w:rsidP="00AA7E9A">
            <w:pPr>
              <w:pStyle w:val="NoSpacing"/>
              <w:jc w:val="center"/>
            </w:pPr>
            <w:r w:rsidRPr="00E767D4">
              <w:t>aciclovir</w:t>
            </w:r>
          </w:p>
        </w:tc>
      </w:tr>
      <w:tr w:rsidR="000C19D9" w:rsidRPr="00E767D4" w14:paraId="52C89614" w14:textId="77777777" w:rsidTr="0090482A">
        <w:tc>
          <w:tcPr>
            <w:tcW w:w="1774" w:type="pct"/>
          </w:tcPr>
          <w:p w14:paraId="65112271" w14:textId="77777777" w:rsidR="000C19D9" w:rsidRPr="00362637" w:rsidRDefault="000C19D9" w:rsidP="00AA7E9A">
            <w:pPr>
              <w:pStyle w:val="NoSpacing"/>
              <w:jc w:val="center"/>
              <w:rPr>
                <w:rStyle w:val="Emphasis"/>
              </w:rPr>
            </w:pPr>
            <w:r w:rsidRPr="00362637">
              <w:rPr>
                <w:rStyle w:val="Emphasis"/>
              </w:rPr>
              <w:t>Haemophilus ducreyi</w:t>
            </w:r>
          </w:p>
        </w:tc>
        <w:tc>
          <w:tcPr>
            <w:tcW w:w="1254" w:type="pct"/>
          </w:tcPr>
          <w:p w14:paraId="5D634249" w14:textId="77777777" w:rsidR="000C19D9" w:rsidRPr="00E767D4" w:rsidRDefault="000C19D9" w:rsidP="00AA7E9A">
            <w:pPr>
              <w:pStyle w:val="NoSpacing"/>
              <w:jc w:val="center"/>
            </w:pPr>
            <w:r w:rsidRPr="00E767D4">
              <w:t>GUS, Bubo</w:t>
            </w:r>
          </w:p>
        </w:tc>
        <w:tc>
          <w:tcPr>
            <w:tcW w:w="1972" w:type="pct"/>
          </w:tcPr>
          <w:p w14:paraId="43F2C050" w14:textId="77777777" w:rsidR="000C19D9" w:rsidRPr="00E767D4" w:rsidRDefault="000C19D9" w:rsidP="00AA7E9A">
            <w:pPr>
              <w:pStyle w:val="NoSpacing"/>
              <w:jc w:val="center"/>
            </w:pPr>
            <w:r w:rsidRPr="00E767D4">
              <w:t>azithromycin</w:t>
            </w:r>
          </w:p>
        </w:tc>
      </w:tr>
    </w:tbl>
    <w:p w14:paraId="490E0673" w14:textId="77777777" w:rsidR="000C19D9" w:rsidRPr="00E767D4" w:rsidRDefault="000C19D9" w:rsidP="000C19D9">
      <w:pPr>
        <w:pStyle w:val="NoSpacing"/>
      </w:pPr>
      <w:r w:rsidRPr="00E767D4">
        <w:t>It is important to take a good sexual history and undertake a thorough ano-genital examination in order to perform a proper clinical assessment. The history should include questions concerning symptoms, recent sexual history, sexual orientation, type of sexual activity (oral, vaginal, anal sex), the possibility of pregnancy (females), use of contraceptives including condoms, recent antibiotic history, antibiotic allergy, recent overseas travel and domestic violence. Refer to a social worker, as required.</w:t>
      </w:r>
    </w:p>
    <w:p w14:paraId="1A4AF0F9" w14:textId="77777777" w:rsidR="000C19D9" w:rsidRPr="00881838" w:rsidRDefault="000C19D9" w:rsidP="000C19D9">
      <w:pPr>
        <w:pStyle w:val="NoSpacing"/>
        <w:rPr>
          <w:rStyle w:val="Strong"/>
        </w:rPr>
      </w:pPr>
      <w:r w:rsidRPr="00881838">
        <w:rPr>
          <w:rStyle w:val="Strong"/>
        </w:rPr>
        <w:t>Note: Standard referral letter for treatment failure must include the following:</w:t>
      </w:r>
    </w:p>
    <w:p w14:paraId="480B40AC" w14:textId="5ABC7C11" w:rsidR="000C19D9" w:rsidRPr="00E767D4" w:rsidRDefault="000C19D9" w:rsidP="00881838">
      <w:pPr>
        <w:pStyle w:val="ListParagraph"/>
      </w:pPr>
      <w:r w:rsidRPr="00E767D4">
        <w:t>reason for referral: presumptive diagnosis (e.g. persistent cervicitis with suspected resistant gonorrhoea)</w:t>
      </w:r>
    </w:p>
    <w:p w14:paraId="72BCD382" w14:textId="77777777" w:rsidR="000C19D9" w:rsidRPr="00E767D4" w:rsidRDefault="000C19D9" w:rsidP="00881838">
      <w:pPr>
        <w:pStyle w:val="ListParagraph"/>
      </w:pPr>
      <w:r w:rsidRPr="00E767D4">
        <w:t>clinical findings including speculum examination for vaginal discharge</w:t>
      </w:r>
    </w:p>
    <w:p w14:paraId="510B17F0" w14:textId="77777777" w:rsidR="000C19D9" w:rsidRPr="00E767D4" w:rsidRDefault="000C19D9" w:rsidP="00881838">
      <w:pPr>
        <w:pStyle w:val="ListParagraph"/>
      </w:pPr>
      <w:r w:rsidRPr="00E767D4">
        <w:t>treatment history (including all medicines with dose and duration)</w:t>
      </w:r>
    </w:p>
    <w:p w14:paraId="31A239D1" w14:textId="77777777" w:rsidR="000C19D9" w:rsidRPr="00E767D4" w:rsidRDefault="000C19D9" w:rsidP="00881838">
      <w:pPr>
        <w:pStyle w:val="ListParagraph"/>
      </w:pPr>
      <w:r w:rsidRPr="00E767D4">
        <w:t>details of notification and treatment history of partner(s)</w:t>
      </w:r>
    </w:p>
    <w:p w14:paraId="23BFFDD8" w14:textId="77777777" w:rsidR="0041358B" w:rsidRDefault="0041358B" w:rsidP="0041358B">
      <w:pPr>
        <w:pStyle w:val="Centeredbox"/>
      </w:pPr>
      <w:r>
        <w:t>Suspected STI in children should be referred to hospital for further investigation and management.</w:t>
      </w:r>
    </w:p>
    <w:p w14:paraId="7BDEA6B8" w14:textId="77777777" w:rsidR="000C19D9" w:rsidRPr="00E767D4" w:rsidRDefault="000C19D9" w:rsidP="00310BEF">
      <w:pPr>
        <w:pStyle w:val="Heading5"/>
      </w:pPr>
      <w:r w:rsidRPr="00E767D4">
        <w:t>GENERAL MEASURES</w:t>
      </w:r>
    </w:p>
    <w:p w14:paraId="27AED7D5" w14:textId="77777777" w:rsidR="000C19D9" w:rsidRPr="00E767D4" w:rsidRDefault="000C19D9" w:rsidP="00310BEF">
      <w:pPr>
        <w:pStyle w:val="ListParagraph"/>
      </w:pPr>
      <w:r w:rsidRPr="00310BEF">
        <w:rPr>
          <w:rStyle w:val="Strong"/>
        </w:rPr>
        <w:t>C</w:t>
      </w:r>
      <w:r w:rsidRPr="00E767D4">
        <w:t>ounselling and education, including HIV testing.</w:t>
      </w:r>
    </w:p>
    <w:p w14:paraId="799ACAEF" w14:textId="77777777" w:rsidR="000C19D9" w:rsidRPr="00E767D4" w:rsidRDefault="000C19D9" w:rsidP="00310BEF">
      <w:pPr>
        <w:pStyle w:val="ListParagraph"/>
      </w:pPr>
      <w:r w:rsidRPr="00310BEF">
        <w:rPr>
          <w:rStyle w:val="Strong"/>
        </w:rPr>
        <w:t>C</w:t>
      </w:r>
      <w:r w:rsidRPr="00E767D4">
        <w:t>ondom promotion, provision and demonstration to reduce the risk of STIs.</w:t>
      </w:r>
    </w:p>
    <w:p w14:paraId="42683ABF" w14:textId="77777777" w:rsidR="000C19D9" w:rsidRPr="00E767D4" w:rsidRDefault="000C19D9" w:rsidP="00310BEF">
      <w:pPr>
        <w:pStyle w:val="ListParagraph"/>
      </w:pPr>
      <w:r w:rsidRPr="00310BEF">
        <w:rPr>
          <w:rStyle w:val="Strong"/>
        </w:rPr>
        <w:t>C</w:t>
      </w:r>
      <w:r w:rsidRPr="00E767D4">
        <w:t>ompliance/ adherence with treatment.</w:t>
      </w:r>
    </w:p>
    <w:p w14:paraId="33A2780C" w14:textId="77777777" w:rsidR="000C19D9" w:rsidRPr="00E767D4" w:rsidRDefault="000C19D9" w:rsidP="00310BEF">
      <w:pPr>
        <w:pStyle w:val="ListParagraph"/>
      </w:pPr>
      <w:r w:rsidRPr="00310BEF">
        <w:rPr>
          <w:rStyle w:val="Strong"/>
        </w:rPr>
        <w:t>C</w:t>
      </w:r>
      <w:r w:rsidRPr="00E767D4">
        <w:t>ontact treatment/ partner management.</w:t>
      </w:r>
    </w:p>
    <w:p w14:paraId="7AE422D9" w14:textId="77777777" w:rsidR="000C19D9" w:rsidRPr="00E767D4" w:rsidRDefault="000C19D9" w:rsidP="00310BEF">
      <w:pPr>
        <w:pStyle w:val="ListParagraph"/>
      </w:pPr>
      <w:r w:rsidRPr="00310BEF">
        <w:rPr>
          <w:rStyle w:val="Strong"/>
        </w:rPr>
        <w:t>C</w:t>
      </w:r>
      <w:r w:rsidRPr="00E767D4">
        <w:t>ircumcision promotion (counselling to continue condom use).</w:t>
      </w:r>
    </w:p>
    <w:p w14:paraId="1D19CB68" w14:textId="77777777" w:rsidR="000C19D9" w:rsidRPr="00E767D4" w:rsidRDefault="000C19D9" w:rsidP="00310BEF">
      <w:pPr>
        <w:pStyle w:val="ListParagraph"/>
      </w:pPr>
      <w:r w:rsidRPr="00310BEF">
        <w:rPr>
          <w:rStyle w:val="Strong"/>
        </w:rPr>
        <w:t>C</w:t>
      </w:r>
      <w:r w:rsidRPr="00E767D4">
        <w:t>ervical cancer screening.</w:t>
      </w:r>
    </w:p>
    <w:p w14:paraId="437FF512" w14:textId="55802D41" w:rsidR="000C19D9" w:rsidRPr="00E767D4" w:rsidRDefault="00582031" w:rsidP="00582031">
      <w:pPr>
        <w:pStyle w:val="Centeredbox"/>
      </w:pPr>
      <w:r>
        <w:t>Promote HIV counselling and testing.</w:t>
      </w:r>
      <w:r>
        <w:br/>
        <w:t>For negative test results repeat test after 6 weeks, because of the window period.</w:t>
      </w:r>
    </w:p>
    <w:p w14:paraId="1EE98F7A" w14:textId="7DD847C5" w:rsidR="000C19D9" w:rsidRPr="00E767D4" w:rsidRDefault="000C19D9" w:rsidP="00582031">
      <w:pPr>
        <w:pStyle w:val="Heading6"/>
      </w:pPr>
      <w:r w:rsidRPr="00E767D4">
        <w:lastRenderedPageBreak/>
        <w:t>Benzathine benzylpenicillin</w:t>
      </w:r>
      <w:r w:rsidR="00DC01D0">
        <w:fldChar w:fldCharType="begin"/>
      </w:r>
      <w:r w:rsidR="00DC01D0">
        <w:instrText xml:space="preserve"> XE "Benzathine benzylpenicillin" \f "m" </w:instrText>
      </w:r>
      <w:r w:rsidR="00DC01D0">
        <w:fldChar w:fldCharType="end"/>
      </w:r>
    </w:p>
    <w:p w14:paraId="0132104B" w14:textId="2F8BBDB1" w:rsidR="000C19D9" w:rsidRPr="00E767D4" w:rsidRDefault="000C19D9" w:rsidP="000C19D9">
      <w:pPr>
        <w:pStyle w:val="NoSpacing"/>
      </w:pPr>
      <w:r w:rsidRPr="00E767D4">
        <w:t>Benzathine benzylpenicillin</w:t>
      </w:r>
      <w:r w:rsidR="00DC01D0">
        <w:fldChar w:fldCharType="begin"/>
      </w:r>
      <w:r w:rsidR="00DC01D0">
        <w:instrText xml:space="preserve"> XE "Benzathine benzylpenicillin" \f "m" </w:instrText>
      </w:r>
      <w:r w:rsidR="00DC01D0">
        <w:fldChar w:fldCharType="end"/>
      </w:r>
      <w:r w:rsidRPr="00E767D4">
        <w:t xml:space="preserve"> remains the recommended treatment for syphilis. Azithromycin is not recommended for the treatment of syphilis in pregnancy as azithromycin does not effectively treat syphilis in the fetus, and resistance develops rapidly to macrolides. Therefore, benzathine benzylpenicillin </w:t>
      </w:r>
      <w:r w:rsidR="002C6347">
        <w:t>should</w:t>
      </w:r>
      <w:r w:rsidRPr="00E767D4">
        <w:t xml:space="preserve"> be reserved for use in pregnant women and children</w:t>
      </w:r>
      <w:r w:rsidR="002C6347">
        <w:t xml:space="preserve"> during times of a confirmed stock shortage</w:t>
      </w:r>
      <w:r w:rsidRPr="00E767D4">
        <w:t>.</w:t>
      </w:r>
    </w:p>
    <w:p w14:paraId="79586D0B" w14:textId="269931F9" w:rsidR="00734A6D" w:rsidRDefault="00734A6D">
      <w:pPr>
        <w:spacing w:before="0" w:after="0"/>
        <w:jc w:val="left"/>
        <w:rPr>
          <w:lang w:val="en-ZA"/>
        </w:rPr>
      </w:pPr>
      <w:r>
        <w:br w:type="page"/>
      </w:r>
    </w:p>
    <w:p w14:paraId="505C43EB" w14:textId="665C9D74" w:rsidR="000C19D9" w:rsidRPr="00734A6D" w:rsidRDefault="00734A6D" w:rsidP="00734A6D">
      <w:pPr>
        <w:pStyle w:val="Heading2"/>
      </w:pPr>
      <w:bookmarkStart w:id="2" w:name="_Toc57788612"/>
      <w:bookmarkStart w:id="3" w:name="_Toc57792309"/>
      <w:r w:rsidRPr="00734A6D">
        <w:lastRenderedPageBreak/>
        <w:t>Vaginal discharge syndrome (VDS)</w:t>
      </w:r>
      <w:bookmarkEnd w:id="2"/>
      <w:bookmarkEnd w:id="3"/>
      <w:r w:rsidR="003D3FDA">
        <w:fldChar w:fldCharType="begin"/>
      </w:r>
      <w:r w:rsidR="003D3FDA">
        <w:instrText xml:space="preserve"> XE "</w:instrText>
      </w:r>
      <w:r w:rsidR="003D3FDA" w:rsidRPr="0037039D">
        <w:instrText>Vaginal discharge syndrome (VDS)</w:instrText>
      </w:r>
      <w:r w:rsidR="003D3FDA">
        <w:instrText>" \f "c"</w:instrText>
      </w:r>
      <w:r w:rsidR="003D3FDA">
        <w:fldChar w:fldCharType="end"/>
      </w:r>
    </w:p>
    <w:p w14:paraId="7EA67133" w14:textId="77777777" w:rsidR="000C19D9" w:rsidRPr="00E767D4" w:rsidRDefault="000C19D9" w:rsidP="00734A6D">
      <w:pPr>
        <w:pStyle w:val="ICD10"/>
      </w:pPr>
      <w:r w:rsidRPr="00E767D4">
        <w:t>B37.3/N76.0/N89.8</w:t>
      </w:r>
    </w:p>
    <w:p w14:paraId="20B7E04E" w14:textId="35327CBA" w:rsidR="000C19D9" w:rsidRDefault="003105CA" w:rsidP="003105CA">
      <w:pPr>
        <w:pStyle w:val="Heading3"/>
      </w:pPr>
      <w:bookmarkStart w:id="4" w:name="_Toc57792310"/>
      <w:r w:rsidRPr="003105CA">
        <w:t>Sexually non-active women</w:t>
      </w:r>
      <w:bookmarkEnd w:id="4"/>
      <w:r w:rsidR="003D3FDA">
        <w:fldChar w:fldCharType="begin"/>
      </w:r>
      <w:r w:rsidR="003D3FDA">
        <w:instrText xml:space="preserve"> XE "</w:instrText>
      </w:r>
      <w:r w:rsidR="003D3FDA" w:rsidRPr="003D3FDA">
        <w:instrText xml:space="preserve"> Vaginal discharge syndrome (VDS)</w:instrText>
      </w:r>
      <w:r w:rsidR="003D3FDA">
        <w:instrText xml:space="preserve">- </w:instrText>
      </w:r>
      <w:r w:rsidR="003D3FDA" w:rsidRPr="0037039D">
        <w:instrText>Sexually non-active women</w:instrText>
      </w:r>
      <w:r w:rsidR="003D3FDA">
        <w:instrText xml:space="preserve">" </w:instrText>
      </w:r>
      <w:r w:rsidR="003D3FDA" w:rsidRPr="003D3FDA">
        <w:instrText>\f “c”</w:instrText>
      </w:r>
      <w:r w:rsidR="003D3FDA">
        <w:fldChar w:fldCharType="end"/>
      </w:r>
    </w:p>
    <w:p w14:paraId="4924CCBA" w14:textId="77777777" w:rsidR="000C19D9" w:rsidRPr="00E767D4" w:rsidRDefault="000C19D9" w:rsidP="003100E9">
      <w:r w:rsidRPr="00E767D4">
        <w:rPr>
          <w:noProof/>
          <w:lang w:val="en-ZA" w:eastAsia="en-ZA"/>
        </w:rPr>
        <w:drawing>
          <wp:inline distT="0" distB="0" distL="0" distR="0" wp14:anchorId="6FD5CC88" wp14:editId="781475F6">
            <wp:extent cx="3928130" cy="54737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2.1.1 Vaginal discharge syndrome_Sex-ve_2017_v3.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935495" cy="5483963"/>
                    </a:xfrm>
                    <a:prstGeom prst="rect">
                      <a:avLst/>
                    </a:prstGeom>
                  </pic:spPr>
                </pic:pic>
              </a:graphicData>
            </a:graphic>
          </wp:inline>
        </w:drawing>
      </w:r>
    </w:p>
    <w:tbl>
      <w:tblPr>
        <w:tblpPr w:leftFromText="180" w:rightFromText="180" w:vertAnchor="text" w:tblpXSpec="right" w:tblpY="1"/>
        <w:tblOverlap w:val="neve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07"/>
      </w:tblGrid>
      <w:tr w:rsidR="000C19D9" w:rsidRPr="00E767D4" w14:paraId="532E142D" w14:textId="77777777" w:rsidTr="00686C37">
        <w:tc>
          <w:tcPr>
            <w:tcW w:w="907" w:type="dxa"/>
            <w:shd w:val="clear" w:color="auto" w:fill="auto"/>
          </w:tcPr>
          <w:p w14:paraId="23CEE4D9" w14:textId="77777777" w:rsidR="000C19D9" w:rsidRPr="00E767D4" w:rsidRDefault="000C19D9" w:rsidP="00686C37">
            <w:pPr>
              <w:pStyle w:val="LoEText"/>
              <w:framePr w:hSpace="0" w:wrap="auto" w:vAnchor="margin" w:hAnchor="text" w:xAlign="left" w:yAlign="inline"/>
              <w:suppressOverlap w:val="0"/>
            </w:pPr>
            <w:r w:rsidRPr="00E767D4">
              <w:t>LoE:III</w:t>
            </w:r>
            <w:r w:rsidRPr="00686C37">
              <w:rPr>
                <w:rStyle w:val="EndnoteReference8"/>
              </w:rPr>
              <w:endnoteReference w:id="3"/>
            </w:r>
          </w:p>
        </w:tc>
      </w:tr>
    </w:tbl>
    <w:p w14:paraId="29C8D6CB" w14:textId="77777777" w:rsidR="000C19D9" w:rsidRPr="00E767D4" w:rsidRDefault="000C19D9" w:rsidP="000C19D9">
      <w:pPr>
        <w:pStyle w:val="NoSpacing"/>
      </w:pPr>
    </w:p>
    <w:p w14:paraId="18E4F86C" w14:textId="0F3D24F9" w:rsidR="000C19D9" w:rsidRPr="00686C37" w:rsidRDefault="00686C37" w:rsidP="00686C37">
      <w:pPr>
        <w:pStyle w:val="Heading3"/>
      </w:pPr>
      <w:bookmarkStart w:id="5" w:name="_Toc57792311"/>
      <w:r w:rsidRPr="00686C37">
        <w:lastRenderedPageBreak/>
        <w:t>Sexually active women</w:t>
      </w:r>
      <w:bookmarkEnd w:id="5"/>
      <w:r w:rsidR="003D3FDA">
        <w:fldChar w:fldCharType="begin"/>
      </w:r>
      <w:r w:rsidR="003D3FDA">
        <w:instrText xml:space="preserve"> XE "</w:instrText>
      </w:r>
      <w:r w:rsidR="003D3FDA" w:rsidRPr="003D3FDA">
        <w:instrText xml:space="preserve"> Vaginal discharge syndrome (VDS)</w:instrText>
      </w:r>
      <w:r w:rsidR="003D3FDA">
        <w:instrText xml:space="preserve">- </w:instrText>
      </w:r>
      <w:r w:rsidR="003D3FDA" w:rsidRPr="0037039D">
        <w:instrText>Sexually active women</w:instrText>
      </w:r>
      <w:r w:rsidR="003D3FDA">
        <w:instrText xml:space="preserve">" </w:instrText>
      </w:r>
      <w:r w:rsidR="003D3FDA" w:rsidRPr="003D3FDA">
        <w:instrText>\f “c”</w:instrText>
      </w:r>
      <w:r w:rsidR="003D3FDA">
        <w:fldChar w:fldCharType="end"/>
      </w:r>
    </w:p>
    <w:p w14:paraId="613879F0" w14:textId="77777777" w:rsidR="000C19D9" w:rsidRPr="00E767D4" w:rsidRDefault="000C19D9" w:rsidP="00C55AD2">
      <w:r w:rsidRPr="00E767D4">
        <w:rPr>
          <w:noProof/>
          <w:lang w:val="en-ZA" w:eastAsia="en-ZA"/>
        </w:rPr>
        <w:drawing>
          <wp:inline distT="0" distB="0" distL="0" distR="0" wp14:anchorId="43FE689C" wp14:editId="12000776">
            <wp:extent cx="4230710" cy="5567019"/>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12.1.1 Vaginal discharge syndrome_Sex+_2017_v4.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232948" cy="5569964"/>
                    </a:xfrm>
                    <a:prstGeom prst="rect">
                      <a:avLst/>
                    </a:prstGeom>
                  </pic:spPr>
                </pic:pic>
              </a:graphicData>
            </a:graphic>
          </wp:inline>
        </w:drawing>
      </w:r>
    </w:p>
    <w:tbl>
      <w:tblPr>
        <w:tblpPr w:leftFromText="180" w:rightFromText="180" w:vertAnchor="text" w:tblpXSpec="right" w:tblpY="1"/>
        <w:tblOverlap w:val="neve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07"/>
      </w:tblGrid>
      <w:tr w:rsidR="000C19D9" w:rsidRPr="00E767D4" w14:paraId="09E03C2F" w14:textId="77777777" w:rsidTr="00C55AD2">
        <w:tc>
          <w:tcPr>
            <w:tcW w:w="907" w:type="dxa"/>
            <w:shd w:val="clear" w:color="auto" w:fill="auto"/>
          </w:tcPr>
          <w:p w14:paraId="4EAACF51" w14:textId="77777777" w:rsidR="000C19D9" w:rsidRPr="00E767D4" w:rsidRDefault="000C19D9" w:rsidP="00C55AD2">
            <w:pPr>
              <w:pStyle w:val="LoEText"/>
              <w:framePr w:hSpace="0" w:wrap="auto" w:vAnchor="margin" w:hAnchor="text" w:xAlign="left" w:yAlign="inline"/>
              <w:suppressOverlap w:val="0"/>
            </w:pPr>
            <w:r w:rsidRPr="00E767D4">
              <w:t>LoE:III</w:t>
            </w:r>
            <w:r w:rsidRPr="00C55AD2">
              <w:rPr>
                <w:rStyle w:val="EndnoteReference8"/>
              </w:rPr>
              <w:endnoteReference w:id="4"/>
            </w:r>
          </w:p>
        </w:tc>
      </w:tr>
    </w:tbl>
    <w:p w14:paraId="7A717DCF" w14:textId="77777777" w:rsidR="000C19D9" w:rsidRPr="00E767D4" w:rsidRDefault="000C19D9" w:rsidP="000C19D9">
      <w:pPr>
        <w:pStyle w:val="NoSpacing"/>
      </w:pPr>
    </w:p>
    <w:p w14:paraId="6EF46AE1" w14:textId="4E75EB30" w:rsidR="000C19D9" w:rsidRPr="00C55AD2" w:rsidRDefault="00C55AD2" w:rsidP="00C55AD2">
      <w:pPr>
        <w:pStyle w:val="Heading2"/>
      </w:pPr>
      <w:bookmarkStart w:id="6" w:name="_Toc57788613"/>
      <w:bookmarkStart w:id="7" w:name="_Toc57792312"/>
      <w:r w:rsidRPr="00C55AD2">
        <w:lastRenderedPageBreak/>
        <w:t>Lower abdominal pain (LAP)</w:t>
      </w:r>
      <w:bookmarkEnd w:id="6"/>
      <w:bookmarkEnd w:id="7"/>
      <w:r w:rsidR="003D3FDA">
        <w:fldChar w:fldCharType="begin"/>
      </w:r>
      <w:r w:rsidR="003D3FDA">
        <w:instrText xml:space="preserve"> XE "</w:instrText>
      </w:r>
      <w:r w:rsidR="003D3FDA" w:rsidRPr="0037039D">
        <w:instrText>Lower abdominal pain (LAP)</w:instrText>
      </w:r>
      <w:r w:rsidR="003D3FDA">
        <w:instrText>"</w:instrText>
      </w:r>
      <w:r w:rsidR="003D3FDA" w:rsidRPr="003D3FDA">
        <w:instrText xml:space="preserve"> \f “c”</w:instrText>
      </w:r>
      <w:r w:rsidR="003D3FDA">
        <w:instrText xml:space="preserve"> </w:instrText>
      </w:r>
      <w:r w:rsidR="003D3FDA">
        <w:fldChar w:fldCharType="end"/>
      </w:r>
    </w:p>
    <w:p w14:paraId="31B51D2B" w14:textId="77777777" w:rsidR="000C19D9" w:rsidRPr="00E767D4" w:rsidRDefault="000C19D9" w:rsidP="00C55AD2">
      <w:pPr>
        <w:pStyle w:val="ICD10"/>
      </w:pPr>
      <w:r w:rsidRPr="00E767D4">
        <w:t>N73.9</w:t>
      </w:r>
    </w:p>
    <w:p w14:paraId="0C2CD5F6" w14:textId="0F568519" w:rsidR="000C19D9" w:rsidRPr="00E767D4" w:rsidRDefault="00046FD1" w:rsidP="00C55AD2">
      <w:r>
        <w:rPr>
          <w:noProof/>
          <w:lang w:val="en-ZA" w:eastAsia="en-ZA"/>
        </w:rPr>
        <w:drawing>
          <wp:inline distT="0" distB="0" distL="0" distR="0" wp14:anchorId="053CD70B" wp14:editId="71B53FDA">
            <wp:extent cx="4247515" cy="5632450"/>
            <wp:effectExtent l="0" t="0" r="635"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2.2 Lower abdominal pain (LAP)_v7.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247515" cy="5632450"/>
                    </a:xfrm>
                    <a:prstGeom prst="rect">
                      <a:avLst/>
                    </a:prstGeom>
                  </pic:spPr>
                </pic:pic>
              </a:graphicData>
            </a:graphic>
          </wp:inline>
        </w:drawing>
      </w:r>
    </w:p>
    <w:p w14:paraId="2F1901F4" w14:textId="3FC2BFE5" w:rsidR="000C19D9" w:rsidRPr="00C163F0" w:rsidRDefault="00C55AD2" w:rsidP="00C163F0">
      <w:pPr>
        <w:pStyle w:val="Heading2"/>
      </w:pPr>
      <w:bookmarkStart w:id="8" w:name="_Toc57788614"/>
      <w:bookmarkStart w:id="9" w:name="_Toc57792313"/>
      <w:r w:rsidRPr="00C163F0">
        <w:lastRenderedPageBreak/>
        <w:t>Male urethritis syndrome (MUS)</w:t>
      </w:r>
      <w:bookmarkEnd w:id="8"/>
      <w:bookmarkEnd w:id="9"/>
      <w:r w:rsidR="003D3FDA">
        <w:fldChar w:fldCharType="begin"/>
      </w:r>
      <w:r w:rsidR="003D3FDA">
        <w:instrText xml:space="preserve"> XE "</w:instrText>
      </w:r>
      <w:r w:rsidR="003D3FDA" w:rsidRPr="0037039D">
        <w:instrText>Male urethritis syndrome (MUS)</w:instrText>
      </w:r>
      <w:r w:rsidR="003D3FDA">
        <w:instrText xml:space="preserve">" </w:instrText>
      </w:r>
      <w:r w:rsidR="003D3FDA" w:rsidRPr="003D3FDA">
        <w:instrText>\f “c”</w:instrText>
      </w:r>
      <w:r w:rsidR="003D3FDA">
        <w:fldChar w:fldCharType="end"/>
      </w:r>
    </w:p>
    <w:p w14:paraId="6D6CC155" w14:textId="77777777" w:rsidR="000C19D9" w:rsidRPr="00E767D4" w:rsidRDefault="000C19D9" w:rsidP="00C163F0">
      <w:pPr>
        <w:pStyle w:val="ICD10"/>
      </w:pPr>
      <w:r w:rsidRPr="00E767D4">
        <w:t>A64 + N34.1</w:t>
      </w:r>
    </w:p>
    <w:p w14:paraId="78BA1069" w14:textId="77777777" w:rsidR="000C19D9" w:rsidRPr="00E767D4" w:rsidRDefault="000C19D9" w:rsidP="00906359">
      <w:r w:rsidRPr="00E767D4">
        <w:rPr>
          <w:noProof/>
          <w:lang w:val="en-ZA" w:eastAsia="en-ZA"/>
        </w:rPr>
        <w:drawing>
          <wp:inline distT="0" distB="0" distL="0" distR="0" wp14:anchorId="41C94D8B" wp14:editId="62B09700">
            <wp:extent cx="4312285" cy="5345430"/>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2.3 Male urethritis syndrome (MUS)_2017_v9.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312285" cy="5345430"/>
                    </a:xfrm>
                    <a:prstGeom prst="rect">
                      <a:avLst/>
                    </a:prstGeom>
                  </pic:spPr>
                </pic:pic>
              </a:graphicData>
            </a:graphic>
          </wp:inline>
        </w:drawing>
      </w:r>
    </w:p>
    <w:p w14:paraId="2F8F6EB8" w14:textId="0FFF9EE8" w:rsidR="00906359" w:rsidRDefault="00906359">
      <w:pPr>
        <w:spacing w:before="0" w:after="0"/>
        <w:jc w:val="left"/>
        <w:rPr>
          <w:lang w:val="en-ZA"/>
        </w:rPr>
      </w:pPr>
      <w:r>
        <w:br w:type="page"/>
      </w:r>
    </w:p>
    <w:p w14:paraId="2C97519A" w14:textId="31907708" w:rsidR="000C19D9" w:rsidRPr="00195A98" w:rsidRDefault="00195A98" w:rsidP="00195A98">
      <w:pPr>
        <w:pStyle w:val="Heading2"/>
      </w:pPr>
      <w:bookmarkStart w:id="10" w:name="_Toc57788615"/>
      <w:bookmarkStart w:id="11" w:name="_Toc57792314"/>
      <w:r w:rsidRPr="00195A98">
        <w:lastRenderedPageBreak/>
        <w:t>Scrotal swelling (SSW)</w:t>
      </w:r>
      <w:bookmarkEnd w:id="10"/>
      <w:bookmarkEnd w:id="11"/>
      <w:r w:rsidR="003D3FDA">
        <w:fldChar w:fldCharType="begin"/>
      </w:r>
      <w:r w:rsidR="003D3FDA">
        <w:instrText xml:space="preserve"> XE "</w:instrText>
      </w:r>
      <w:r w:rsidR="003D3FDA" w:rsidRPr="0037039D">
        <w:instrText>Scrotal swelling (SSW)</w:instrText>
      </w:r>
      <w:r w:rsidR="003D3FDA">
        <w:instrText xml:space="preserve">" </w:instrText>
      </w:r>
      <w:r w:rsidR="003D3FDA" w:rsidRPr="003D3FDA">
        <w:instrText>\f “c”</w:instrText>
      </w:r>
      <w:r w:rsidR="003D3FDA">
        <w:fldChar w:fldCharType="end"/>
      </w:r>
    </w:p>
    <w:p w14:paraId="442242BC" w14:textId="77777777" w:rsidR="000C19D9" w:rsidRPr="00E767D4" w:rsidRDefault="000C19D9" w:rsidP="00195A98">
      <w:pPr>
        <w:pStyle w:val="ICD10"/>
      </w:pPr>
      <w:r w:rsidRPr="00E767D4">
        <w:t>N45.1</w:t>
      </w:r>
    </w:p>
    <w:p w14:paraId="7166EC34" w14:textId="77777777" w:rsidR="000C19D9" w:rsidRPr="00E767D4" w:rsidRDefault="000C19D9" w:rsidP="00935600">
      <w:r w:rsidRPr="00E767D4">
        <w:rPr>
          <w:noProof/>
          <w:lang w:val="en-ZA" w:eastAsia="en-ZA"/>
        </w:rPr>
        <w:drawing>
          <wp:inline distT="0" distB="0" distL="0" distR="0" wp14:anchorId="2B9DBC1C" wp14:editId="5D46413B">
            <wp:extent cx="4312285" cy="5746115"/>
            <wp:effectExtent l="0" t="0" r="0" b="698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12.4 Scrotal swelling (SSW)_v6.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312285" cy="5746115"/>
                    </a:xfrm>
                    <a:prstGeom prst="rect">
                      <a:avLst/>
                    </a:prstGeom>
                  </pic:spPr>
                </pic:pic>
              </a:graphicData>
            </a:graphic>
          </wp:inline>
        </w:drawing>
      </w:r>
    </w:p>
    <w:p w14:paraId="148072CA" w14:textId="30943D56" w:rsidR="000C19D9" w:rsidRPr="00935600" w:rsidRDefault="00935600" w:rsidP="00935600">
      <w:pPr>
        <w:pStyle w:val="Heading2"/>
      </w:pPr>
      <w:bookmarkStart w:id="12" w:name="_Toc57788616"/>
      <w:bookmarkStart w:id="13" w:name="_Toc57792315"/>
      <w:r w:rsidRPr="00935600">
        <w:lastRenderedPageBreak/>
        <w:t>Genital ulcer syndrome (GUS)</w:t>
      </w:r>
      <w:bookmarkEnd w:id="12"/>
      <w:bookmarkEnd w:id="13"/>
      <w:r w:rsidR="003D3FDA">
        <w:fldChar w:fldCharType="begin"/>
      </w:r>
      <w:r w:rsidR="003D3FDA">
        <w:instrText xml:space="preserve"> XE "</w:instrText>
      </w:r>
      <w:r w:rsidR="003D3FDA" w:rsidRPr="0037039D">
        <w:instrText>Genital ulcer syndrome (GUS)</w:instrText>
      </w:r>
      <w:r w:rsidR="003D3FDA">
        <w:instrText xml:space="preserve">" </w:instrText>
      </w:r>
      <w:r w:rsidR="003D3FDA" w:rsidRPr="003D3FDA">
        <w:instrText>\f “c”</w:instrText>
      </w:r>
      <w:r w:rsidR="003D3FDA">
        <w:fldChar w:fldCharType="end"/>
      </w:r>
    </w:p>
    <w:tbl>
      <w:tblPr>
        <w:tblpPr w:leftFromText="180" w:rightFromText="180" w:vertAnchor="text" w:tblpXSpec="right" w:tblpY="1"/>
        <w:tblOverlap w:val="neve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07"/>
      </w:tblGrid>
      <w:tr w:rsidR="000C19D9" w:rsidRPr="00E767D4" w14:paraId="58D93E59" w14:textId="77777777" w:rsidTr="00003947">
        <w:tc>
          <w:tcPr>
            <w:tcW w:w="907" w:type="dxa"/>
            <w:shd w:val="clear" w:color="auto" w:fill="auto"/>
          </w:tcPr>
          <w:p w14:paraId="1EC07871" w14:textId="77777777" w:rsidR="000C19D9" w:rsidRPr="00E767D4" w:rsidRDefault="000C19D9" w:rsidP="00003947">
            <w:pPr>
              <w:pStyle w:val="LoEText"/>
              <w:framePr w:hSpace="0" w:wrap="auto" w:vAnchor="margin" w:hAnchor="text" w:xAlign="left" w:yAlign="inline"/>
              <w:suppressOverlap w:val="0"/>
            </w:pPr>
            <w:r w:rsidRPr="00E767D4">
              <w:t>LoE:III</w:t>
            </w:r>
            <w:r w:rsidRPr="00003947">
              <w:rPr>
                <w:rStyle w:val="EndnoteReference8"/>
              </w:rPr>
              <w:endnoteReference w:id="5"/>
            </w:r>
          </w:p>
        </w:tc>
      </w:tr>
    </w:tbl>
    <w:p w14:paraId="2139B81F" w14:textId="77777777" w:rsidR="000C19D9" w:rsidRPr="00E767D4" w:rsidRDefault="000C19D9" w:rsidP="00003947">
      <w:pPr>
        <w:pStyle w:val="ICD10"/>
      </w:pPr>
      <w:r w:rsidRPr="00E767D4">
        <w:t>A60.9/A51.0</w:t>
      </w:r>
    </w:p>
    <w:p w14:paraId="019DD295" w14:textId="77777777" w:rsidR="000C19D9" w:rsidRPr="00E767D4" w:rsidRDefault="000C19D9" w:rsidP="00003947">
      <w:r w:rsidRPr="00E767D4">
        <w:rPr>
          <w:noProof/>
          <w:lang w:val="en-ZA" w:eastAsia="en-ZA"/>
        </w:rPr>
        <mc:AlternateContent>
          <mc:Choice Requires="wps">
            <w:drawing>
              <wp:anchor distT="0" distB="0" distL="114300" distR="114300" simplePos="0" relativeHeight="251632640" behindDoc="0" locked="0" layoutInCell="1" allowOverlap="1" wp14:anchorId="6B416413" wp14:editId="46A91F78">
                <wp:simplePos x="0" y="0"/>
                <wp:positionH relativeFrom="column">
                  <wp:posOffset>3469640</wp:posOffset>
                </wp:positionH>
                <wp:positionV relativeFrom="paragraph">
                  <wp:posOffset>2106295</wp:posOffset>
                </wp:positionV>
                <wp:extent cx="355600" cy="108585"/>
                <wp:effectExtent l="0" t="0" r="0" b="0"/>
                <wp:wrapNone/>
                <wp:docPr id="18"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5600" cy="108585"/>
                        </a:xfrm>
                        <a:prstGeom prst="rect">
                          <a:avLst/>
                        </a:prstGeom>
                        <a:noFill/>
                        <a:ln>
                          <a:noFill/>
                        </a:ln>
                        <a:extLst>
                          <a:ext uri="{909E8E84-426E-40DD-AFC4-6F175D3DCCD1}">
                            <a14:hiddenFill xmlns:a14="http://schemas.microsoft.com/office/drawing/2010/main">
                              <a:solidFill>
                                <a:srgbClr val="C0C0C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5DECD4" w14:textId="77777777" w:rsidR="008A18FE" w:rsidRPr="00350210" w:rsidRDefault="008A18FE" w:rsidP="000C19D9">
                            <w:pPr>
                              <w:shd w:val="clear" w:color="auto" w:fill="FFFFFF" w:themeFill="background1"/>
                              <w:rPr>
                                <w:i/>
                                <w:sz w:val="12"/>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416413" id="Rectangle 29" o:spid="_x0000_s1026" style="position:absolute;left:0;text-align:left;margin-left:273.2pt;margin-top:165.85pt;width:28pt;height:8.5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" filled="f" fillcolor="silver" stroked="f">
                <v:textbox inset="0,0,0,0">
                  <w:txbxContent>
                    <w:p w14:paraId="1A5DECD4" w14:textId="77777777" w:rsidR="008A18FE" w:rsidRPr="00350210" w:rsidRDefault="008A18FE" w:rsidP="000C19D9">
                      <w:pPr>
                        <w:shd w:val="clear" w:color="auto" w:fill="FFFFFF" w:themeFill="background1"/>
                        <w:rPr>
                          <w:i/>
                          <w:sz w:val="12"/>
                          <w:szCs w:val="16"/>
                        </w:rPr>
                      </w:pPr>
                    </w:p>
                  </w:txbxContent>
                </v:textbox>
              </v:rect>
            </w:pict>
          </mc:Fallback>
        </mc:AlternateContent>
      </w:r>
      <w:r w:rsidRPr="00E767D4">
        <w:rPr>
          <w:noProof/>
          <w:lang w:val="en-ZA" w:eastAsia="en-ZA"/>
        </w:rPr>
        <w:drawing>
          <wp:inline distT="0" distB="0" distL="0" distR="0" wp14:anchorId="61290E17" wp14:editId="7F0E7DD7">
            <wp:extent cx="4238794" cy="56769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2.5 Genital ulcer syndrome (GUS)_2017_10.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239721" cy="5678142"/>
                    </a:xfrm>
                    <a:prstGeom prst="rect">
                      <a:avLst/>
                    </a:prstGeom>
                  </pic:spPr>
                </pic:pic>
              </a:graphicData>
            </a:graphic>
          </wp:inline>
        </w:drawing>
      </w:r>
    </w:p>
    <w:tbl>
      <w:tblPr>
        <w:tblpPr w:leftFromText="180" w:rightFromText="180" w:vertAnchor="text" w:tblpXSpec="right" w:tblpY="1"/>
        <w:tblOverlap w:val="never"/>
        <w:tblW w:w="0" w:type="auto"/>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907"/>
      </w:tblGrid>
      <w:tr w:rsidR="000C19D9" w:rsidRPr="00E767D4" w14:paraId="20939C38" w14:textId="77777777" w:rsidTr="009234ED">
        <w:tc>
          <w:tcPr>
            <w:tcW w:w="907" w:type="dxa"/>
            <w:shd w:val="clear" w:color="auto" w:fill="auto"/>
          </w:tcPr>
          <w:p w14:paraId="1EA44FBC" w14:textId="77777777" w:rsidR="000C19D9" w:rsidRPr="00E767D4" w:rsidRDefault="000C19D9" w:rsidP="00003947">
            <w:pPr>
              <w:pStyle w:val="LoEText"/>
              <w:framePr w:hSpace="0" w:wrap="auto" w:vAnchor="margin" w:hAnchor="text" w:xAlign="left" w:yAlign="inline"/>
              <w:suppressOverlap w:val="0"/>
            </w:pPr>
            <w:r w:rsidRPr="00E767D4">
              <w:t>LoE:II</w:t>
            </w:r>
            <w:r w:rsidRPr="009234ED">
              <w:rPr>
                <w:rStyle w:val="EndnoteReference8"/>
              </w:rPr>
              <w:endnoteReference w:id="6"/>
            </w:r>
          </w:p>
        </w:tc>
      </w:tr>
    </w:tbl>
    <w:p w14:paraId="59DCC2CF" w14:textId="77777777" w:rsidR="000C19D9" w:rsidRPr="00E767D4" w:rsidRDefault="000C19D9" w:rsidP="000C19D9">
      <w:pPr>
        <w:pStyle w:val="NoSpacing"/>
      </w:pPr>
      <w:r w:rsidRPr="00E767D4">
        <w:rPr>
          <w:noProof/>
          <w:lang w:eastAsia="en-ZA"/>
        </w:rPr>
        <mc:AlternateContent>
          <mc:Choice Requires="wps">
            <w:drawing>
              <wp:anchor distT="0" distB="0" distL="114300" distR="114300" simplePos="0" relativeHeight="251669504" behindDoc="0" locked="0" layoutInCell="1" allowOverlap="1" wp14:anchorId="69FE9A1D" wp14:editId="676B31DC">
                <wp:simplePos x="0" y="0"/>
                <wp:positionH relativeFrom="column">
                  <wp:posOffset>1934210</wp:posOffset>
                </wp:positionH>
                <wp:positionV relativeFrom="paragraph">
                  <wp:posOffset>5484495</wp:posOffset>
                </wp:positionV>
                <wp:extent cx="322580" cy="78740"/>
                <wp:effectExtent l="0" t="0" r="0" b="0"/>
                <wp:wrapNone/>
                <wp:docPr id="17"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2580" cy="78740"/>
                        </a:xfrm>
                        <a:prstGeom prst="rect">
                          <a:avLst/>
                        </a:prstGeom>
                        <a:noFill/>
                        <a:ln>
                          <a:noFill/>
                        </a:ln>
                        <a:extLst>
                          <a:ext uri="{909E8E84-426E-40DD-AFC4-6F175D3DCCD1}">
                            <a14:hiddenFill xmlns:a14="http://schemas.microsoft.com/office/drawing/2010/main">
                              <a:solidFill>
                                <a:srgbClr val="C0C0C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B59B96" w14:textId="77777777" w:rsidR="008A18FE" w:rsidRPr="00350210" w:rsidRDefault="008A18FE" w:rsidP="000C19D9">
                            <w:pPr>
                              <w:rPr>
                                <w:i/>
                                <w:sz w:val="12"/>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FE9A1D" id="Rectangle 39" o:spid="_x0000_s1027" style="position:absolute;left:0;text-align:left;margin-left:152.3pt;margin-top:431.85pt;width:25.4pt;height:6.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" filled="f" fillcolor="silver" stroked="f">
                <v:textbox inset="0,0,0,0">
                  <w:txbxContent>
                    <w:p w14:paraId="32B59B96" w14:textId="77777777" w:rsidR="008A18FE" w:rsidRPr="00350210" w:rsidRDefault="008A18FE" w:rsidP="000C19D9">
                      <w:pPr>
                        <w:rPr>
                          <w:i/>
                          <w:sz w:val="12"/>
                          <w:szCs w:val="16"/>
                        </w:rPr>
                      </w:pPr>
                    </w:p>
                  </w:txbxContent>
                </v:textbox>
              </v:rect>
            </w:pict>
          </mc:Fallback>
        </mc:AlternateContent>
      </w:r>
      <w:r w:rsidRPr="00E767D4">
        <w:rPr>
          <w:noProof/>
          <w:lang w:eastAsia="en-ZA"/>
        </w:rPr>
        <mc:AlternateContent>
          <mc:Choice Requires="wps">
            <w:drawing>
              <wp:anchor distT="0" distB="0" distL="114300" distR="114300" simplePos="0" relativeHeight="251663360" behindDoc="0" locked="0" layoutInCell="1" allowOverlap="1" wp14:anchorId="1664B145" wp14:editId="2FF17092">
                <wp:simplePos x="0" y="0"/>
                <wp:positionH relativeFrom="column">
                  <wp:posOffset>2467610</wp:posOffset>
                </wp:positionH>
                <wp:positionV relativeFrom="paragraph">
                  <wp:posOffset>5198745</wp:posOffset>
                </wp:positionV>
                <wp:extent cx="322580" cy="78740"/>
                <wp:effectExtent l="0" t="0" r="0" b="0"/>
                <wp:wrapNone/>
                <wp:docPr id="16"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2580" cy="78740"/>
                        </a:xfrm>
                        <a:prstGeom prst="rect">
                          <a:avLst/>
                        </a:prstGeom>
                        <a:noFill/>
                        <a:ln>
                          <a:noFill/>
                        </a:ln>
                        <a:extLst>
                          <a:ext uri="{909E8E84-426E-40DD-AFC4-6F175D3DCCD1}">
                            <a14:hiddenFill xmlns:a14="http://schemas.microsoft.com/office/drawing/2010/main">
                              <a:solidFill>
                                <a:srgbClr val="C0C0C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1FAB93" w14:textId="77777777" w:rsidR="008A18FE" w:rsidRPr="00350210" w:rsidRDefault="008A18FE" w:rsidP="000C19D9">
                            <w:pPr>
                              <w:rPr>
                                <w:i/>
                                <w:sz w:val="12"/>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64B145" id="Rectangle 38" o:spid="_x0000_s1028" style="position:absolute;left:0;text-align:left;margin-left:194.3pt;margin-top:409.35pt;width:25.4pt;height:6.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" filled="f" fillcolor="silver" stroked="f">
                <v:textbox inset="0,0,0,0">
                  <w:txbxContent>
                    <w:p w14:paraId="3B1FAB93" w14:textId="77777777" w:rsidR="008A18FE" w:rsidRPr="00350210" w:rsidRDefault="008A18FE" w:rsidP="000C19D9">
                      <w:pPr>
                        <w:rPr>
                          <w:i/>
                          <w:sz w:val="12"/>
                          <w:szCs w:val="16"/>
                        </w:rPr>
                      </w:pPr>
                    </w:p>
                  </w:txbxContent>
                </v:textbox>
              </v:rect>
            </w:pict>
          </mc:Fallback>
        </mc:AlternateContent>
      </w:r>
      <w:r w:rsidRPr="00E767D4">
        <w:rPr>
          <w:noProof/>
          <w:lang w:eastAsia="en-ZA"/>
        </w:rPr>
        <mc:AlternateContent>
          <mc:Choice Requires="wps">
            <w:drawing>
              <wp:anchor distT="0" distB="0" distL="114300" distR="114300" simplePos="0" relativeHeight="251657216" behindDoc="0" locked="0" layoutInCell="1" allowOverlap="1" wp14:anchorId="5C7855F9" wp14:editId="0F870F7F">
                <wp:simplePos x="0" y="0"/>
                <wp:positionH relativeFrom="column">
                  <wp:posOffset>2192655</wp:posOffset>
                </wp:positionH>
                <wp:positionV relativeFrom="paragraph">
                  <wp:posOffset>4929505</wp:posOffset>
                </wp:positionV>
                <wp:extent cx="322580" cy="78740"/>
                <wp:effectExtent l="0" t="0" r="0" b="0"/>
                <wp:wrapNone/>
                <wp:docPr id="15"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2580" cy="78740"/>
                        </a:xfrm>
                        <a:prstGeom prst="rect">
                          <a:avLst/>
                        </a:prstGeom>
                        <a:noFill/>
                        <a:ln>
                          <a:noFill/>
                        </a:ln>
                        <a:extLst>
                          <a:ext uri="{909E8E84-426E-40DD-AFC4-6F175D3DCCD1}">
                            <a14:hiddenFill xmlns:a14="http://schemas.microsoft.com/office/drawing/2010/main">
                              <a:solidFill>
                                <a:srgbClr val="C0C0C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CBB8A7" w14:textId="77777777" w:rsidR="008A18FE" w:rsidRPr="00350210" w:rsidRDefault="008A18FE" w:rsidP="000C19D9">
                            <w:pPr>
                              <w:rPr>
                                <w:i/>
                                <w:sz w:val="12"/>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7855F9" id="Rectangle 37" o:spid="_x0000_s1029" style="position:absolute;left:0;text-align:left;margin-left:172.65pt;margin-top:388.15pt;width:25.4pt;height:6.2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" filled="f" fillcolor="silver" stroked="f">
                <v:textbox inset="0,0,0,0">
                  <w:txbxContent>
                    <w:p w14:paraId="03CBB8A7" w14:textId="77777777" w:rsidR="008A18FE" w:rsidRPr="00350210" w:rsidRDefault="008A18FE" w:rsidP="000C19D9">
                      <w:pPr>
                        <w:rPr>
                          <w:i/>
                          <w:sz w:val="12"/>
                          <w:szCs w:val="16"/>
                        </w:rPr>
                      </w:pPr>
                    </w:p>
                  </w:txbxContent>
                </v:textbox>
              </v:rect>
            </w:pict>
          </mc:Fallback>
        </mc:AlternateContent>
      </w:r>
      <w:r w:rsidRPr="00E767D4">
        <w:rPr>
          <w:noProof/>
          <w:lang w:eastAsia="en-ZA"/>
        </w:rPr>
        <mc:AlternateContent>
          <mc:Choice Requires="wps">
            <w:drawing>
              <wp:anchor distT="0" distB="0" distL="114300" distR="114300" simplePos="0" relativeHeight="251651072" behindDoc="0" locked="0" layoutInCell="1" allowOverlap="1" wp14:anchorId="4B6A2D0A" wp14:editId="434EB16C">
                <wp:simplePos x="0" y="0"/>
                <wp:positionH relativeFrom="column">
                  <wp:posOffset>2562860</wp:posOffset>
                </wp:positionH>
                <wp:positionV relativeFrom="paragraph">
                  <wp:posOffset>3601720</wp:posOffset>
                </wp:positionV>
                <wp:extent cx="322580" cy="78740"/>
                <wp:effectExtent l="0" t="0" r="0" b="0"/>
                <wp:wrapNone/>
                <wp:docPr id="14"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2580" cy="78740"/>
                        </a:xfrm>
                        <a:prstGeom prst="rect">
                          <a:avLst/>
                        </a:prstGeom>
                        <a:noFill/>
                        <a:ln>
                          <a:noFill/>
                        </a:ln>
                        <a:extLst>
                          <a:ext uri="{909E8E84-426E-40DD-AFC4-6F175D3DCCD1}">
                            <a14:hiddenFill xmlns:a14="http://schemas.microsoft.com/office/drawing/2010/main">
                              <a:solidFill>
                                <a:srgbClr val="C0C0C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00C034" w14:textId="77777777" w:rsidR="008A18FE" w:rsidRPr="00350210" w:rsidRDefault="008A18FE" w:rsidP="000C19D9">
                            <w:pPr>
                              <w:rPr>
                                <w:i/>
                                <w:sz w:val="12"/>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6A2D0A" id="Rectangle 36" o:spid="_x0000_s1030" style="position:absolute;left:0;text-align:left;margin-left:201.8pt;margin-top:283.6pt;width:25.4pt;height:6.2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" filled="f" fillcolor="silver" stroked="f">
                <v:textbox inset="0,0,0,0">
                  <w:txbxContent>
                    <w:p w14:paraId="3900C034" w14:textId="77777777" w:rsidR="008A18FE" w:rsidRPr="00350210" w:rsidRDefault="008A18FE" w:rsidP="000C19D9">
                      <w:pPr>
                        <w:rPr>
                          <w:i/>
                          <w:sz w:val="12"/>
                          <w:szCs w:val="16"/>
                        </w:rPr>
                      </w:pPr>
                    </w:p>
                  </w:txbxContent>
                </v:textbox>
              </v:rect>
            </w:pict>
          </mc:Fallback>
        </mc:AlternateContent>
      </w:r>
      <w:r w:rsidRPr="00E767D4">
        <w:rPr>
          <w:noProof/>
          <w:lang w:eastAsia="en-ZA"/>
        </w:rPr>
        <mc:AlternateContent>
          <mc:Choice Requires="wps">
            <w:drawing>
              <wp:anchor distT="0" distB="0" distL="114300" distR="114300" simplePos="0" relativeHeight="251644928" behindDoc="0" locked="0" layoutInCell="1" allowOverlap="1" wp14:anchorId="3CF95F71" wp14:editId="45CF3869">
                <wp:simplePos x="0" y="0"/>
                <wp:positionH relativeFrom="column">
                  <wp:posOffset>3086100</wp:posOffset>
                </wp:positionH>
                <wp:positionV relativeFrom="paragraph">
                  <wp:posOffset>1318895</wp:posOffset>
                </wp:positionV>
                <wp:extent cx="355600" cy="78740"/>
                <wp:effectExtent l="0" t="0" r="0" b="0"/>
                <wp:wrapNone/>
                <wp:docPr id="13"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5600" cy="78740"/>
                        </a:xfrm>
                        <a:prstGeom prst="rect">
                          <a:avLst/>
                        </a:prstGeom>
                        <a:noFill/>
                        <a:ln>
                          <a:noFill/>
                        </a:ln>
                        <a:extLst>
                          <a:ext uri="{909E8E84-426E-40DD-AFC4-6F175D3DCCD1}">
                            <a14:hiddenFill xmlns:a14="http://schemas.microsoft.com/office/drawing/2010/main">
                              <a:solidFill>
                                <a:srgbClr val="C0C0C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5A36FD" w14:textId="77777777" w:rsidR="008A18FE" w:rsidRPr="00350210" w:rsidRDefault="008A18FE" w:rsidP="000C19D9">
                            <w:pPr>
                              <w:rPr>
                                <w:i/>
                                <w:sz w:val="12"/>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F95F71" id="Rectangle 35" o:spid="_x0000_s1031" style="position:absolute;left:0;text-align:left;margin-left:243pt;margin-top:103.85pt;width:28pt;height:6.2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" filled="f" fillcolor="silver" stroked="f">
                <v:textbox inset="0,0,0,0">
                  <w:txbxContent>
                    <w:p w14:paraId="105A36FD" w14:textId="77777777" w:rsidR="008A18FE" w:rsidRPr="00350210" w:rsidRDefault="008A18FE" w:rsidP="000C19D9">
                      <w:pPr>
                        <w:rPr>
                          <w:i/>
                          <w:sz w:val="12"/>
                          <w:szCs w:val="16"/>
                        </w:rPr>
                      </w:pPr>
                    </w:p>
                  </w:txbxContent>
                </v:textbox>
              </v:rect>
            </w:pict>
          </mc:Fallback>
        </mc:AlternateContent>
      </w:r>
      <w:r w:rsidRPr="00E767D4">
        <w:rPr>
          <w:noProof/>
          <w:lang w:eastAsia="en-ZA"/>
        </w:rPr>
        <mc:AlternateContent>
          <mc:Choice Requires="wps">
            <w:drawing>
              <wp:anchor distT="0" distB="0" distL="114300" distR="114300" simplePos="0" relativeHeight="251638784" behindDoc="0" locked="0" layoutInCell="1" allowOverlap="1" wp14:anchorId="39B3DD20" wp14:editId="4436EB51">
                <wp:simplePos x="0" y="0"/>
                <wp:positionH relativeFrom="column">
                  <wp:posOffset>2039620</wp:posOffset>
                </wp:positionH>
                <wp:positionV relativeFrom="paragraph">
                  <wp:posOffset>2704465</wp:posOffset>
                </wp:positionV>
                <wp:extent cx="255270" cy="78740"/>
                <wp:effectExtent l="0" t="0" r="0" b="0"/>
                <wp:wrapNone/>
                <wp:docPr id="12"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270" cy="78740"/>
                        </a:xfrm>
                        <a:prstGeom prst="rect">
                          <a:avLst/>
                        </a:prstGeom>
                        <a:noFill/>
                        <a:ln>
                          <a:noFill/>
                        </a:ln>
                        <a:extLst>
                          <a:ext uri="{909E8E84-426E-40DD-AFC4-6F175D3DCCD1}">
                            <a14:hiddenFill xmlns:a14="http://schemas.microsoft.com/office/drawing/2010/main">
                              <a:solidFill>
                                <a:srgbClr val="C0C0C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0E7927" w14:textId="77777777" w:rsidR="008A18FE" w:rsidRPr="00350210" w:rsidRDefault="008A18FE" w:rsidP="000C19D9">
                            <w:pPr>
                              <w:rPr>
                                <w:i/>
                                <w:sz w:val="12"/>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B3DD20" id="Rectangle 34" o:spid="_x0000_s1032" style="position:absolute;left:0;text-align:left;margin-left:160.6pt;margin-top:212.95pt;width:20.1pt;height:6.2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" filled="f" fillcolor="silver" stroked="f">
                <v:textbox inset="0,0,0,0">
                  <w:txbxContent>
                    <w:p w14:paraId="3D0E7927" w14:textId="77777777" w:rsidR="008A18FE" w:rsidRPr="00350210" w:rsidRDefault="008A18FE" w:rsidP="000C19D9">
                      <w:pPr>
                        <w:rPr>
                          <w:i/>
                          <w:sz w:val="12"/>
                          <w:szCs w:val="16"/>
                        </w:rPr>
                      </w:pPr>
                    </w:p>
                  </w:txbxContent>
                </v:textbox>
              </v:rect>
            </w:pict>
          </mc:Fallback>
        </mc:AlternateContent>
      </w:r>
    </w:p>
    <w:p w14:paraId="052A52B6" w14:textId="21F8A62A" w:rsidR="000C19D9" w:rsidRPr="000D1F12" w:rsidRDefault="000D1F12" w:rsidP="000D1F12">
      <w:pPr>
        <w:pStyle w:val="Heading2"/>
      </w:pPr>
      <w:bookmarkStart w:id="14" w:name="_Toc57788617"/>
      <w:bookmarkStart w:id="15" w:name="_Toc57792316"/>
      <w:r w:rsidRPr="000D1F12">
        <w:lastRenderedPageBreak/>
        <w:t>Bubo</w:t>
      </w:r>
      <w:bookmarkEnd w:id="14"/>
      <w:bookmarkEnd w:id="15"/>
      <w:r w:rsidR="003D3FDA">
        <w:fldChar w:fldCharType="begin"/>
      </w:r>
      <w:r w:rsidR="003D3FDA">
        <w:instrText xml:space="preserve"> XE "</w:instrText>
      </w:r>
      <w:r w:rsidR="003D3FDA" w:rsidRPr="0037039D">
        <w:instrText>Bubo</w:instrText>
      </w:r>
      <w:r w:rsidR="003D3FDA">
        <w:instrText xml:space="preserve">" </w:instrText>
      </w:r>
      <w:r w:rsidR="003D3FDA" w:rsidRPr="003D3FDA">
        <w:instrText>\f “c”</w:instrText>
      </w:r>
      <w:r w:rsidR="003D3FDA">
        <w:fldChar w:fldCharType="end"/>
      </w:r>
    </w:p>
    <w:p w14:paraId="43B3C145" w14:textId="77777777" w:rsidR="000C19D9" w:rsidRPr="00E767D4" w:rsidRDefault="000C19D9" w:rsidP="000D1F12">
      <w:pPr>
        <w:pStyle w:val="ICD10"/>
      </w:pPr>
      <w:r w:rsidRPr="00E767D4">
        <w:t>A58</w:t>
      </w:r>
    </w:p>
    <w:p w14:paraId="4141849B" w14:textId="77777777" w:rsidR="000C19D9" w:rsidRPr="00E767D4" w:rsidRDefault="000C19D9" w:rsidP="000D1F12">
      <w:r w:rsidRPr="00E767D4">
        <w:rPr>
          <w:noProof/>
          <w:lang w:val="en-ZA" w:eastAsia="en-ZA"/>
        </w:rPr>
        <mc:AlternateContent>
          <mc:Choice Requires="wps">
            <w:drawing>
              <wp:anchor distT="0" distB="0" distL="114300" distR="114300" simplePos="0" relativeHeight="251675648" behindDoc="0" locked="0" layoutInCell="1" allowOverlap="1" wp14:anchorId="09EE6256" wp14:editId="193F43E7">
                <wp:simplePos x="0" y="0"/>
                <wp:positionH relativeFrom="column">
                  <wp:posOffset>3202305</wp:posOffset>
                </wp:positionH>
                <wp:positionV relativeFrom="paragraph">
                  <wp:posOffset>3713480</wp:posOffset>
                </wp:positionV>
                <wp:extent cx="322580" cy="78740"/>
                <wp:effectExtent l="0" t="0" r="0" b="0"/>
                <wp:wrapNone/>
                <wp:docPr id="11"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2580" cy="78740"/>
                        </a:xfrm>
                        <a:prstGeom prst="rect">
                          <a:avLst/>
                        </a:prstGeom>
                        <a:noFill/>
                        <a:ln>
                          <a:noFill/>
                        </a:ln>
                        <a:extLst>
                          <a:ext uri="{909E8E84-426E-40DD-AFC4-6F175D3DCCD1}">
                            <a14:hiddenFill xmlns:a14="http://schemas.microsoft.com/office/drawing/2010/main">
                              <a:solidFill>
                                <a:srgbClr val="C0C0C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15EA82" w14:textId="77777777" w:rsidR="008A18FE" w:rsidRPr="00350210" w:rsidRDefault="008A18FE" w:rsidP="000C19D9">
                            <w:pPr>
                              <w:rPr>
                                <w:i/>
                                <w:sz w:val="12"/>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EE6256" id="Rectangle 40" o:spid="_x0000_s1033" style="position:absolute;left:0;text-align:left;margin-left:252.15pt;margin-top:292.4pt;width:25.4pt;height:6.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" filled="f" fillcolor="silver" stroked="f">
                <v:textbox inset="0,0,0,0">
                  <w:txbxContent>
                    <w:p w14:paraId="1B15EA82" w14:textId="77777777" w:rsidR="008A18FE" w:rsidRPr="00350210" w:rsidRDefault="008A18FE" w:rsidP="000C19D9">
                      <w:pPr>
                        <w:rPr>
                          <w:i/>
                          <w:sz w:val="12"/>
                          <w:szCs w:val="16"/>
                        </w:rPr>
                      </w:pPr>
                    </w:p>
                  </w:txbxContent>
                </v:textbox>
              </v:rect>
            </w:pict>
          </mc:Fallback>
        </mc:AlternateContent>
      </w:r>
      <w:r w:rsidRPr="00E767D4">
        <w:rPr>
          <w:noProof/>
          <w:lang w:val="en-ZA" w:eastAsia="en-ZA"/>
        </w:rPr>
        <w:drawing>
          <wp:inline distT="0" distB="0" distL="0" distR="0" wp14:anchorId="2B1CB369" wp14:editId="071B895B">
            <wp:extent cx="4312285" cy="4741545"/>
            <wp:effectExtent l="0" t="0" r="0" b="1905"/>
            <wp:docPr id="8" name="Picture 7" descr="12.6 Bubo_30March2017_v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6 Bubo_30March2017_v5.jpg"/>
                    <pic:cNvPicPr/>
                  </pic:nvPicPr>
                  <pic:blipFill>
                    <a:blip r:embed="rId14" cstate="print"/>
                    <a:stretch>
                      <a:fillRect/>
                    </a:stretch>
                  </pic:blipFill>
                  <pic:spPr>
                    <a:xfrm>
                      <a:off x="0" y="0"/>
                      <a:ext cx="4312285" cy="4741545"/>
                    </a:xfrm>
                    <a:prstGeom prst="rect">
                      <a:avLst/>
                    </a:prstGeom>
                  </pic:spPr>
                </pic:pic>
              </a:graphicData>
            </a:graphic>
          </wp:inline>
        </w:drawing>
      </w:r>
    </w:p>
    <w:p w14:paraId="6B4F115A" w14:textId="77777777" w:rsidR="000C19D9" w:rsidRPr="00E767D4" w:rsidRDefault="000C19D9" w:rsidP="000C19D9">
      <w:pPr>
        <w:pStyle w:val="NoSpacing"/>
      </w:pPr>
    </w:p>
    <w:tbl>
      <w:tblPr>
        <w:tblpPr w:leftFromText="180" w:rightFromText="180" w:vertAnchor="text" w:tblpXSpec="right" w:tblpY="1"/>
        <w:tblOverlap w:val="never"/>
        <w:tblW w:w="0" w:type="auto"/>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907"/>
      </w:tblGrid>
      <w:tr w:rsidR="000C19D9" w:rsidRPr="00E767D4" w14:paraId="2DC15D61" w14:textId="77777777" w:rsidTr="000D1F12">
        <w:tc>
          <w:tcPr>
            <w:tcW w:w="907" w:type="dxa"/>
            <w:shd w:val="clear" w:color="auto" w:fill="auto"/>
          </w:tcPr>
          <w:p w14:paraId="53598E9F" w14:textId="77777777" w:rsidR="000C19D9" w:rsidRPr="00E767D4" w:rsidRDefault="000C19D9" w:rsidP="000D1F12">
            <w:pPr>
              <w:pStyle w:val="LoEText"/>
              <w:framePr w:hSpace="0" w:wrap="auto" w:vAnchor="margin" w:hAnchor="text" w:xAlign="left" w:yAlign="inline"/>
              <w:suppressOverlap w:val="0"/>
            </w:pPr>
            <w:r w:rsidRPr="00E767D4">
              <w:t>LoE:III</w:t>
            </w:r>
            <w:r w:rsidRPr="000D1F12">
              <w:rPr>
                <w:rStyle w:val="EndnoteReference8"/>
              </w:rPr>
              <w:endnoteReference w:id="7"/>
            </w:r>
          </w:p>
        </w:tc>
      </w:tr>
    </w:tbl>
    <w:p w14:paraId="68D0479E" w14:textId="282E4EF8" w:rsidR="000D1F12" w:rsidRDefault="000D1F12" w:rsidP="000C19D9">
      <w:pPr>
        <w:pStyle w:val="NoSpacing"/>
      </w:pPr>
    </w:p>
    <w:p w14:paraId="13984614" w14:textId="77777777" w:rsidR="000D1F12" w:rsidRDefault="000D1F12">
      <w:pPr>
        <w:spacing w:before="0" w:after="0"/>
        <w:jc w:val="left"/>
        <w:rPr>
          <w:lang w:val="en-ZA"/>
        </w:rPr>
      </w:pPr>
      <w:r>
        <w:br w:type="page"/>
      </w:r>
    </w:p>
    <w:p w14:paraId="1958741C" w14:textId="4F6AF2AA" w:rsidR="000C19D9" w:rsidRPr="00293484" w:rsidRDefault="00293484" w:rsidP="00293484">
      <w:pPr>
        <w:pStyle w:val="Heading2"/>
      </w:pPr>
      <w:bookmarkStart w:id="16" w:name="_Toc57788618"/>
      <w:bookmarkStart w:id="17" w:name="_Toc57792317"/>
      <w:r w:rsidRPr="00293484">
        <w:lastRenderedPageBreak/>
        <w:t>Balanitis/balanoposthitis (BAL)</w:t>
      </w:r>
      <w:bookmarkEnd w:id="16"/>
      <w:bookmarkEnd w:id="17"/>
      <w:r w:rsidR="003D3FDA">
        <w:fldChar w:fldCharType="begin"/>
      </w:r>
      <w:r w:rsidR="003D3FDA">
        <w:instrText xml:space="preserve"> XE "</w:instrText>
      </w:r>
      <w:r w:rsidR="003D3FDA" w:rsidRPr="0037039D">
        <w:instrText>Balanitis/balanoposthitis (BAL)</w:instrText>
      </w:r>
      <w:r w:rsidR="003D3FDA">
        <w:instrText xml:space="preserve">" </w:instrText>
      </w:r>
      <w:r w:rsidR="003D3FDA" w:rsidRPr="003D3FDA">
        <w:instrText>\f “c”</w:instrText>
      </w:r>
      <w:r w:rsidR="003D3FDA">
        <w:fldChar w:fldCharType="end"/>
      </w:r>
    </w:p>
    <w:p w14:paraId="716B0560" w14:textId="77777777" w:rsidR="000C19D9" w:rsidRPr="00E767D4" w:rsidRDefault="000C19D9" w:rsidP="00293484">
      <w:pPr>
        <w:pStyle w:val="ICD10"/>
      </w:pPr>
      <w:r w:rsidRPr="00E767D4">
        <w:t>N48.1</w:t>
      </w:r>
    </w:p>
    <w:p w14:paraId="31BA1E59" w14:textId="77777777" w:rsidR="000C19D9" w:rsidRPr="00E767D4" w:rsidRDefault="000C19D9" w:rsidP="00293484">
      <w:r w:rsidRPr="00E767D4">
        <w:rPr>
          <w:noProof/>
          <w:lang w:val="en-ZA" w:eastAsia="en-ZA"/>
        </w:rPr>
        <w:drawing>
          <wp:inline distT="0" distB="0" distL="0" distR="0" wp14:anchorId="4671231A" wp14:editId="7D5C7B60">
            <wp:extent cx="4312285" cy="56769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2.7 Balanitis_Balanoposthitis (BAL)_2017_v6.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312285" cy="5676900"/>
                    </a:xfrm>
                    <a:prstGeom prst="rect">
                      <a:avLst/>
                    </a:prstGeom>
                  </pic:spPr>
                </pic:pic>
              </a:graphicData>
            </a:graphic>
          </wp:inline>
        </w:drawing>
      </w:r>
    </w:p>
    <w:p w14:paraId="4C2B1A84" w14:textId="77777777" w:rsidR="000C19D9" w:rsidRPr="00E767D4" w:rsidRDefault="000C19D9" w:rsidP="000C19D9">
      <w:pPr>
        <w:pStyle w:val="NoSpacing"/>
      </w:pPr>
    </w:p>
    <w:bookmarkStart w:id="18" w:name="_Toc57788619"/>
    <w:bookmarkStart w:id="19" w:name="_Toc57792318"/>
    <w:p w14:paraId="2CA52028" w14:textId="1B3CB5AE" w:rsidR="000C19D9" w:rsidRPr="00045FB5" w:rsidRDefault="000C19D9" w:rsidP="00045FB5">
      <w:pPr>
        <w:pStyle w:val="Heading2"/>
      </w:pPr>
      <w:r w:rsidRPr="00045FB5">
        <w:rPr>
          <w:noProof/>
          <w:lang w:val="en-ZA" w:eastAsia="en-ZA"/>
        </w:rPr>
        <w:lastRenderedPageBreak/>
        <mc:AlternateContent>
          <mc:Choice Requires="wps">
            <w:drawing>
              <wp:anchor distT="0" distB="0" distL="114300" distR="114300" simplePos="0" relativeHeight="251681792" behindDoc="0" locked="0" layoutInCell="1" allowOverlap="1" wp14:anchorId="5FF61765" wp14:editId="7EEC71E7">
                <wp:simplePos x="0" y="0"/>
                <wp:positionH relativeFrom="column">
                  <wp:posOffset>2573655</wp:posOffset>
                </wp:positionH>
                <wp:positionV relativeFrom="paragraph">
                  <wp:posOffset>3563620</wp:posOffset>
                </wp:positionV>
                <wp:extent cx="318135" cy="95250"/>
                <wp:effectExtent l="0" t="0" r="0" b="0"/>
                <wp:wrapNone/>
                <wp:docPr id="9"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8135" cy="95250"/>
                        </a:xfrm>
                        <a:prstGeom prst="rect">
                          <a:avLst/>
                        </a:prstGeom>
                        <a:noFill/>
                        <a:ln>
                          <a:noFill/>
                        </a:ln>
                        <a:extLst>
                          <a:ext uri="{909E8E84-426E-40DD-AFC4-6F175D3DCCD1}">
                            <a14:hiddenFill xmlns:a14="http://schemas.microsoft.com/office/drawing/2010/main">
                              <a:solidFill>
                                <a:srgbClr val="C0C0C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779A79" w14:textId="77777777" w:rsidR="008A18FE" w:rsidRPr="00350210" w:rsidRDefault="008A18FE" w:rsidP="000C19D9">
                            <w:pPr>
                              <w:shd w:val="clear" w:color="auto" w:fill="FFFFFF" w:themeFill="background1"/>
                              <w:rPr>
                                <w:i/>
                                <w:sz w:val="12"/>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F61765" id="Rectangle 41" o:spid="_x0000_s1034" style="position:absolute;left:0;text-align:left;margin-left:202.65pt;margin-top:280.6pt;width:25.05pt;height: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" filled="f" fillcolor="silver" stroked="f">
                <v:textbox inset="0,0,0,0">
                  <w:txbxContent>
                    <w:p w14:paraId="47779A79" w14:textId="77777777" w:rsidR="008A18FE" w:rsidRPr="00350210" w:rsidRDefault="008A18FE" w:rsidP="000C19D9">
                      <w:pPr>
                        <w:shd w:val="clear" w:color="auto" w:fill="FFFFFF" w:themeFill="background1"/>
                        <w:rPr>
                          <w:i/>
                          <w:sz w:val="12"/>
                          <w:szCs w:val="16"/>
                        </w:rPr>
                      </w:pPr>
                    </w:p>
                  </w:txbxContent>
                </v:textbox>
              </v:rect>
            </w:pict>
          </mc:Fallback>
        </mc:AlternateContent>
      </w:r>
      <w:r w:rsidRPr="00045FB5">
        <w:rPr>
          <w:noProof/>
          <w:lang w:val="en-ZA" w:eastAsia="en-ZA"/>
        </w:rPr>
        <mc:AlternateContent>
          <mc:Choice Requires="wps">
            <w:drawing>
              <wp:anchor distT="0" distB="0" distL="114300" distR="114300" simplePos="0" relativeHeight="251687936" behindDoc="0" locked="0" layoutInCell="1" allowOverlap="1" wp14:anchorId="4FDAA08E" wp14:editId="114E4852">
                <wp:simplePos x="0" y="0"/>
                <wp:positionH relativeFrom="column">
                  <wp:posOffset>1981200</wp:posOffset>
                </wp:positionH>
                <wp:positionV relativeFrom="paragraph">
                  <wp:posOffset>5628640</wp:posOffset>
                </wp:positionV>
                <wp:extent cx="322580" cy="78740"/>
                <wp:effectExtent l="0" t="0" r="0" b="0"/>
                <wp:wrapNone/>
                <wp:docPr id="1"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2580" cy="78740"/>
                        </a:xfrm>
                        <a:prstGeom prst="rect">
                          <a:avLst/>
                        </a:prstGeom>
                        <a:noFill/>
                        <a:ln>
                          <a:noFill/>
                        </a:ln>
                        <a:extLst>
                          <a:ext uri="{909E8E84-426E-40DD-AFC4-6F175D3DCCD1}">
                            <a14:hiddenFill xmlns:a14="http://schemas.microsoft.com/office/drawing/2010/main">
                              <a:solidFill>
                                <a:srgbClr val="C0C0C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CFC236" w14:textId="77777777" w:rsidR="008A18FE" w:rsidRPr="00350210" w:rsidRDefault="008A18FE" w:rsidP="000C19D9">
                            <w:pPr>
                              <w:rPr>
                                <w:i/>
                                <w:sz w:val="12"/>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DAA08E" id="Rectangle 42" o:spid="_x0000_s1035" style="position:absolute;left:0;text-align:left;margin-left:156pt;margin-top:443.2pt;width:25.4pt;height:6.2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" filled="f" fillcolor="silver" stroked="f">
                <v:textbox inset="0,0,0,0">
                  <w:txbxContent>
                    <w:p w14:paraId="5DCFC236" w14:textId="77777777" w:rsidR="008A18FE" w:rsidRPr="00350210" w:rsidRDefault="008A18FE" w:rsidP="000C19D9">
                      <w:pPr>
                        <w:rPr>
                          <w:i/>
                          <w:sz w:val="12"/>
                          <w:szCs w:val="16"/>
                        </w:rPr>
                      </w:pPr>
                    </w:p>
                  </w:txbxContent>
                </v:textbox>
              </v:rect>
            </w:pict>
          </mc:Fallback>
        </mc:AlternateContent>
      </w:r>
      <w:r w:rsidR="00045FB5" w:rsidRPr="00045FB5">
        <w:t>Syphilis serology and treatment</w:t>
      </w:r>
      <w:bookmarkEnd w:id="18"/>
      <w:bookmarkEnd w:id="19"/>
      <w:r w:rsidR="003D3FDA">
        <w:fldChar w:fldCharType="begin"/>
      </w:r>
      <w:r w:rsidR="003D3FDA">
        <w:instrText xml:space="preserve"> XE "</w:instrText>
      </w:r>
      <w:r w:rsidR="003D3FDA" w:rsidRPr="0037039D">
        <w:instrText>Syphilis serology and treatment</w:instrText>
      </w:r>
      <w:r w:rsidR="003D3FDA">
        <w:instrText xml:space="preserve">" </w:instrText>
      </w:r>
      <w:r w:rsidR="003D3FDA" w:rsidRPr="003D3FDA">
        <w:instrText>\f “c”</w:instrText>
      </w:r>
      <w:r w:rsidR="003D3FDA">
        <w:fldChar w:fldCharType="end"/>
      </w:r>
    </w:p>
    <w:p w14:paraId="55CF6F14" w14:textId="77777777" w:rsidR="000C19D9" w:rsidRPr="00E767D4" w:rsidRDefault="000C19D9" w:rsidP="00045FB5">
      <w:pPr>
        <w:pStyle w:val="ICD10"/>
      </w:pPr>
      <w:r w:rsidRPr="00E767D4">
        <w:t>A53.9</w:t>
      </w:r>
    </w:p>
    <w:p w14:paraId="215DE806" w14:textId="77777777" w:rsidR="000C19D9" w:rsidRPr="00E767D4" w:rsidRDefault="000C19D9" w:rsidP="004B5BD0">
      <w:pPr>
        <w:pStyle w:val="Heading6"/>
      </w:pPr>
      <w:r w:rsidRPr="00E767D4">
        <w:t>Syphilis serology</w:t>
      </w:r>
    </w:p>
    <w:p w14:paraId="2A9AF450" w14:textId="77777777" w:rsidR="000C19D9" w:rsidRPr="00E767D4" w:rsidRDefault="000C19D9" w:rsidP="000C19D9">
      <w:pPr>
        <w:pStyle w:val="NoSpacing"/>
      </w:pPr>
      <w:r w:rsidRPr="00E767D4">
        <w:t>The Rapid Plasmin Reagin (RPR) measures disease activity, but is not specific for syphilis. False RPR-positive reactions may occur, notably in patients with connective tissue disorders (false positive reactions are usually low titre &lt;1:8). For this reason, positive RPR results should be confirmed due to syphilis by further testing of the serum with a specific treponemal test, e.g.:</w:t>
      </w:r>
    </w:p>
    <w:p w14:paraId="159B7B81" w14:textId="77777777" w:rsidR="000C19D9" w:rsidRPr="00E767D4" w:rsidRDefault="000C19D9" w:rsidP="004B5BD0">
      <w:pPr>
        <w:pStyle w:val="ListParagraph"/>
      </w:pPr>
      <w:r w:rsidRPr="004B5BD0">
        <w:rPr>
          <w:rStyle w:val="Emphasis"/>
        </w:rPr>
        <w:t>Treponema pallidum</w:t>
      </w:r>
      <w:r w:rsidRPr="00E767D4">
        <w:t xml:space="preserve"> haemagglutination (TPHA) assay.</w:t>
      </w:r>
    </w:p>
    <w:p w14:paraId="08DDC08F" w14:textId="77777777" w:rsidR="000C19D9" w:rsidRPr="00E767D4" w:rsidRDefault="000C19D9" w:rsidP="004B5BD0">
      <w:pPr>
        <w:pStyle w:val="ListParagraph"/>
      </w:pPr>
      <w:r w:rsidRPr="004B5BD0">
        <w:rPr>
          <w:rStyle w:val="Emphasis"/>
        </w:rPr>
        <w:t>Treponema pallidum</w:t>
      </w:r>
      <w:r w:rsidRPr="00E767D4">
        <w:t xml:space="preserve"> particle agglutination (TPPA) assay.</w:t>
      </w:r>
    </w:p>
    <w:p w14:paraId="3E30E65F" w14:textId="77777777" w:rsidR="000C19D9" w:rsidRPr="00E767D4" w:rsidRDefault="000C19D9" w:rsidP="004B5BD0">
      <w:pPr>
        <w:pStyle w:val="ListParagraph"/>
      </w:pPr>
      <w:r w:rsidRPr="00E767D4">
        <w:t>Fluorescent Treponemal Antibody (FTA) assay.</w:t>
      </w:r>
    </w:p>
    <w:p w14:paraId="75029BBB" w14:textId="77777777" w:rsidR="000C19D9" w:rsidRPr="00E767D4" w:rsidRDefault="000C19D9" w:rsidP="004B5BD0">
      <w:pPr>
        <w:pStyle w:val="ListParagraph"/>
      </w:pPr>
      <w:r w:rsidRPr="004B5BD0">
        <w:rPr>
          <w:rStyle w:val="Emphasis"/>
        </w:rPr>
        <w:t>Treponema pallidum</w:t>
      </w:r>
      <w:r w:rsidRPr="00E767D4">
        <w:t xml:space="preserve"> ELISA.</w:t>
      </w:r>
    </w:p>
    <w:p w14:paraId="001D513E" w14:textId="77777777" w:rsidR="000C19D9" w:rsidRPr="00E767D4" w:rsidRDefault="000C19D9" w:rsidP="004B5BD0">
      <w:pPr>
        <w:pStyle w:val="ListParagraph"/>
      </w:pPr>
      <w:r w:rsidRPr="00E767D4">
        <w:t>Rapid treponemal antibody test (TPAb)</w:t>
      </w:r>
    </w:p>
    <w:p w14:paraId="628999E9" w14:textId="77777777" w:rsidR="000C19D9" w:rsidRPr="00E767D4" w:rsidRDefault="000C19D9" w:rsidP="004B5BD0">
      <w:r w:rsidRPr="00E767D4">
        <w:t>Screening can also be done the other way around starting with a specific treponemal test followed by a RPR in patients who have a positive specific treponemal test. This is sometimes referred to as the “reverse algorithm”.</w:t>
      </w:r>
    </w:p>
    <w:p w14:paraId="30305D75" w14:textId="77777777" w:rsidR="000C19D9" w:rsidRPr="00E767D4" w:rsidRDefault="000C19D9" w:rsidP="00052CBD">
      <w:pPr>
        <w:pStyle w:val="BulletNutrition"/>
      </w:pPr>
      <w:r w:rsidRPr="00E767D4">
        <w:t>Once positive, specific treponemal tests generally remain positive for life and therefore the presence of specific treponemal antibodies cannot differentiate between current and past infections</w:t>
      </w:r>
    </w:p>
    <w:p w14:paraId="4A7E25A6" w14:textId="77777777" w:rsidR="000C19D9" w:rsidRPr="00E767D4" w:rsidRDefault="000C19D9" w:rsidP="00052CBD">
      <w:pPr>
        <w:pStyle w:val="BulletNutrition"/>
      </w:pPr>
      <w:r w:rsidRPr="00E767D4">
        <w:t>A person with previously successfully treated syphilis will retain lifelong positive specific treponemal test results.</w:t>
      </w:r>
    </w:p>
    <w:p w14:paraId="4AA51D47" w14:textId="77777777" w:rsidR="000C19D9" w:rsidRPr="00E767D4" w:rsidRDefault="000C19D9" w:rsidP="00052CBD">
      <w:pPr>
        <w:pStyle w:val="NoSpacing"/>
      </w:pPr>
      <w:r w:rsidRPr="00E767D4">
        <w:t xml:space="preserve">The RPR can be used: </w:t>
      </w:r>
    </w:p>
    <w:p w14:paraId="3B6104E9" w14:textId="77777777" w:rsidR="000C19D9" w:rsidRPr="00E767D4" w:rsidRDefault="000C19D9" w:rsidP="00052CBD">
      <w:pPr>
        <w:pStyle w:val="ListParagraph"/>
      </w:pPr>
      <w:r w:rsidRPr="00E767D4">
        <w:t xml:space="preserve">To determine if the patient’s syphilis disease is active or not, </w:t>
      </w:r>
    </w:p>
    <w:p w14:paraId="14062980" w14:textId="77777777" w:rsidR="000C19D9" w:rsidRPr="00E767D4" w:rsidRDefault="000C19D9" w:rsidP="00052CBD">
      <w:pPr>
        <w:pStyle w:val="ListParagraph"/>
      </w:pPr>
      <w:r w:rsidRPr="00E767D4">
        <w:t xml:space="preserve">To measure a successful response to therapy (at least a fourfold reduction in </w:t>
      </w:r>
      <w:r w:rsidRPr="00E767D4">
        <w:tab/>
        <w:t xml:space="preserve">titre, e.g. 1:256 improving to 1:64), or </w:t>
      </w:r>
    </w:p>
    <w:p w14:paraId="4B72D895" w14:textId="77777777" w:rsidR="000C19D9" w:rsidRPr="00E767D4" w:rsidRDefault="000C19D9" w:rsidP="00052CBD">
      <w:pPr>
        <w:pStyle w:val="ListParagraph"/>
      </w:pPr>
      <w:r w:rsidRPr="00E767D4">
        <w:t xml:space="preserve">To determine a new re-infection. </w:t>
      </w:r>
    </w:p>
    <w:p w14:paraId="0FEBB81B" w14:textId="77777777" w:rsidR="000C19D9" w:rsidRPr="00E767D4" w:rsidRDefault="000C19D9" w:rsidP="000C19D9">
      <w:pPr>
        <w:pStyle w:val="NoSpacing"/>
      </w:pPr>
      <w:r w:rsidRPr="00E767D4">
        <w:t xml:space="preserve">Some patients, even with successful treatment for syphilis, may retain life-long positive RPR results at low titres (≤1:8), which do not change by more than one dilution difference (up or down) over time (so-called serofast patients). </w:t>
      </w:r>
    </w:p>
    <w:p w14:paraId="39FA0E22" w14:textId="77777777" w:rsidR="000C19D9" w:rsidRPr="00052CBD" w:rsidRDefault="000C19D9" w:rsidP="000C19D9">
      <w:pPr>
        <w:pStyle w:val="NoSpacing"/>
        <w:rPr>
          <w:rStyle w:val="Strong"/>
        </w:rPr>
      </w:pPr>
      <w:r w:rsidRPr="00052CBD">
        <w:rPr>
          <w:rStyle w:val="Strong"/>
        </w:rPr>
        <w:t>Note:</w:t>
      </w:r>
    </w:p>
    <w:p w14:paraId="48FD0A83" w14:textId="77777777" w:rsidR="000C19D9" w:rsidRPr="00E767D4" w:rsidRDefault="000C19D9" w:rsidP="00052CBD">
      <w:pPr>
        <w:pStyle w:val="ListParagraph"/>
      </w:pPr>
      <w:r w:rsidRPr="00E767D4">
        <w:t xml:space="preserve">Up to 30% of early primary syphilis cases, i.e. those with genital ulcers may have </w:t>
      </w:r>
      <w:r w:rsidRPr="00E767D4">
        <w:tab/>
        <w:t>a negative RPR.</w:t>
      </w:r>
    </w:p>
    <w:tbl>
      <w:tblPr>
        <w:tblpPr w:leftFromText="180" w:rightFromText="180" w:vertAnchor="text" w:tblpXSpec="right" w:tblpY="233"/>
        <w:tblOverlap w:val="never"/>
        <w:tblW w:w="0" w:type="auto"/>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907"/>
      </w:tblGrid>
      <w:tr w:rsidR="00052CBD" w:rsidRPr="00E767D4" w14:paraId="084C8C3E" w14:textId="77777777" w:rsidTr="00052CBD">
        <w:tc>
          <w:tcPr>
            <w:tcW w:w="907" w:type="dxa"/>
            <w:shd w:val="clear" w:color="auto" w:fill="auto"/>
          </w:tcPr>
          <w:p w14:paraId="4AC87C12" w14:textId="77777777" w:rsidR="00052CBD" w:rsidRPr="00E767D4" w:rsidRDefault="00052CBD" w:rsidP="00052CBD">
            <w:pPr>
              <w:pStyle w:val="LoEText"/>
              <w:framePr w:hSpace="0" w:wrap="auto" w:vAnchor="margin" w:hAnchor="text" w:xAlign="left" w:yAlign="inline"/>
              <w:suppressOverlap w:val="0"/>
            </w:pPr>
            <w:r w:rsidRPr="00E767D4">
              <w:t>LoE:II</w:t>
            </w:r>
            <w:r w:rsidRPr="00045FB5">
              <w:rPr>
                <w:rStyle w:val="EndnoteReference8"/>
              </w:rPr>
              <w:endnoteReference w:id="8"/>
            </w:r>
          </w:p>
        </w:tc>
      </w:tr>
    </w:tbl>
    <w:p w14:paraId="2E892D77" w14:textId="77777777" w:rsidR="000C19D9" w:rsidRPr="00E767D4" w:rsidRDefault="000C19D9" w:rsidP="00052CBD">
      <w:pPr>
        <w:pStyle w:val="ListParagraph"/>
      </w:pPr>
      <w:r w:rsidRPr="00E767D4">
        <w:t xml:space="preserve">The RPR is always positive in the secondary syphilis stage and remains high </w:t>
      </w:r>
      <w:r w:rsidRPr="00E767D4">
        <w:tab/>
        <w:t>during the first two (infectious) years of syphilis.</w:t>
      </w:r>
    </w:p>
    <w:p w14:paraId="094DCA25" w14:textId="77777777" w:rsidR="000C19D9" w:rsidRPr="00E767D4" w:rsidRDefault="000C19D9" w:rsidP="000C19D9">
      <w:pPr>
        <w:pStyle w:val="NoSpacing"/>
      </w:pPr>
    </w:p>
    <w:p w14:paraId="0850A079" w14:textId="77777777" w:rsidR="000C19D9" w:rsidRPr="00E767D4" w:rsidRDefault="000C19D9" w:rsidP="000C19D9">
      <w:pPr>
        <w:pStyle w:val="NoSpacing"/>
      </w:pPr>
      <w:r w:rsidRPr="00E767D4">
        <w:t>For syphilis treatment in pregnancy, see Section 6.4.4: Syphilis in pregnancy.</w:t>
      </w:r>
    </w:p>
    <w:p w14:paraId="1E87B0DE" w14:textId="77777777" w:rsidR="000C19D9" w:rsidRPr="00E767D4" w:rsidRDefault="000C19D9" w:rsidP="000C19D9">
      <w:pPr>
        <w:pStyle w:val="NoSpacing"/>
      </w:pPr>
    </w:p>
    <w:p w14:paraId="5699020C" w14:textId="77777777" w:rsidR="000C19D9" w:rsidRPr="00E767D4" w:rsidRDefault="000C19D9" w:rsidP="000C19D9">
      <w:pPr>
        <w:pStyle w:val="NoSpacing"/>
      </w:pPr>
      <w:r w:rsidRPr="00E767D4">
        <w:rPr>
          <w:noProof/>
          <w:lang w:eastAsia="en-ZA"/>
        </w:rPr>
        <w:lastRenderedPageBreak/>
        <w:drawing>
          <wp:inline distT="0" distB="0" distL="0" distR="0" wp14:anchorId="03393860" wp14:editId="45347266">
            <wp:extent cx="4312285" cy="5995035"/>
            <wp:effectExtent l="0" t="0" r="0" b="571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12.8 Syphillis_15May2017_v.1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312285" cy="5995035"/>
                    </a:xfrm>
                    <a:prstGeom prst="rect">
                      <a:avLst/>
                    </a:prstGeom>
                  </pic:spPr>
                </pic:pic>
              </a:graphicData>
            </a:graphic>
          </wp:inline>
        </w:drawing>
      </w:r>
    </w:p>
    <w:p w14:paraId="46F0788D" w14:textId="77777777" w:rsidR="000C19D9" w:rsidRPr="00E767D4" w:rsidRDefault="000C19D9" w:rsidP="00052CBD">
      <w:pPr>
        <w:pStyle w:val="Heading5"/>
      </w:pPr>
      <w:r w:rsidRPr="00E767D4">
        <w:lastRenderedPageBreak/>
        <w:t>MEDICINE TREATMENT</w:t>
      </w:r>
    </w:p>
    <w:p w14:paraId="124D8C2C" w14:textId="77777777" w:rsidR="000C19D9" w:rsidRPr="00E767D4" w:rsidRDefault="000C19D9" w:rsidP="00945BCC">
      <w:pPr>
        <w:pStyle w:val="Heading6"/>
      </w:pPr>
      <w:r w:rsidRPr="00E767D4">
        <w:t>Early syphilis treatment</w:t>
      </w:r>
    </w:p>
    <w:p w14:paraId="44072A62" w14:textId="77777777" w:rsidR="000C19D9" w:rsidRPr="00E767D4" w:rsidRDefault="000C19D9" w:rsidP="000C19D9">
      <w:pPr>
        <w:pStyle w:val="NoSpacing"/>
      </w:pPr>
      <w:r w:rsidRPr="00E767D4">
        <w:t>Check if treated at initial visit.</w:t>
      </w:r>
    </w:p>
    <w:p w14:paraId="61F1C67E" w14:textId="0E78BD6C" w:rsidR="000C19D9" w:rsidRPr="00E767D4" w:rsidRDefault="000C19D9" w:rsidP="00945BCC">
      <w:pPr>
        <w:pStyle w:val="BulletMedicine"/>
      </w:pPr>
      <w:r w:rsidRPr="00E767D4">
        <w:t>Benzathine benzylpenicillin</w:t>
      </w:r>
      <w:r w:rsidR="00DC01D0">
        <w:fldChar w:fldCharType="begin"/>
      </w:r>
      <w:r w:rsidR="00DC01D0">
        <w:instrText xml:space="preserve"> XE "Benzathine benzylpenicillin" \f "m" </w:instrText>
      </w:r>
      <w:r w:rsidR="00DC01D0">
        <w:fldChar w:fldCharType="end"/>
      </w:r>
      <w:r w:rsidRPr="00E767D4">
        <w:t>, IM, 2.4 MU immediately as a single dose</w:t>
      </w:r>
      <w:r w:rsidR="009B6A3E">
        <w:rPr>
          <w:noProof/>
        </w:rPr>
        <w:drawing>
          <wp:inline distT="0" distB="0" distL="0" distR="0" wp14:anchorId="2A8E7A57" wp14:editId="5859F780">
            <wp:extent cx="146050" cy="140335"/>
            <wp:effectExtent l="0" t="0" r="6350" b="0"/>
            <wp:docPr id="5972113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6050" cy="140335"/>
                    </a:xfrm>
                    <a:prstGeom prst="rect">
                      <a:avLst/>
                    </a:prstGeom>
                    <a:noFill/>
                  </pic:spPr>
                </pic:pic>
              </a:graphicData>
            </a:graphic>
          </wp:inline>
        </w:drawing>
      </w:r>
      <w:r w:rsidR="004314C5">
        <w:t xml:space="preserve"> </w:t>
      </w:r>
      <w:r w:rsidRPr="00E767D4">
        <w:t>.</w:t>
      </w:r>
    </w:p>
    <w:p w14:paraId="1358C843" w14:textId="77777777" w:rsidR="000C19D9" w:rsidRPr="00E767D4" w:rsidRDefault="000C19D9" w:rsidP="00945BCC">
      <w:pPr>
        <w:pStyle w:val="BulletDirectionsInstructions"/>
      </w:pPr>
      <w:r w:rsidRPr="00E767D4">
        <w:t>Dissolve benzathine benzylpenicillin, IM, 2.4 MU in 6 mL lidocaine 1% without adrenaline (epinephrine).</w:t>
      </w:r>
    </w:p>
    <w:p w14:paraId="38F5B313" w14:textId="77777777" w:rsidR="00945BCC" w:rsidRDefault="000C19D9" w:rsidP="00945BCC">
      <w:pPr>
        <w:pStyle w:val="Heading7"/>
      </w:pPr>
      <w:r w:rsidRPr="00E767D4">
        <w:t xml:space="preserve">In penicillin-allergic patients or if benzathine benzylpenicillin is unavailable: </w:t>
      </w:r>
    </w:p>
    <w:p w14:paraId="474CCF6D" w14:textId="7064D3AA" w:rsidR="000C19D9" w:rsidRPr="00E767D4" w:rsidRDefault="000C19D9" w:rsidP="00945BCC">
      <w:pPr>
        <w:pStyle w:val="ICD10"/>
      </w:pPr>
      <w:r w:rsidRPr="00E767D4">
        <w:t>Z88.0</w:t>
      </w:r>
    </w:p>
    <w:tbl>
      <w:tblPr>
        <w:tblpPr w:leftFromText="180" w:rightFromText="180" w:vertAnchor="text" w:horzAnchor="margin" w:tblpXSpec="right" w:tblpY="42"/>
        <w:tblOverlap w:val="neve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07"/>
      </w:tblGrid>
      <w:tr w:rsidR="008D6F40" w:rsidRPr="00E767D4" w14:paraId="773C932E" w14:textId="77777777" w:rsidTr="008D6F40">
        <w:tc>
          <w:tcPr>
            <w:tcW w:w="907" w:type="dxa"/>
            <w:shd w:val="clear" w:color="auto" w:fill="auto"/>
          </w:tcPr>
          <w:p w14:paraId="24554B75" w14:textId="77777777" w:rsidR="008D6F40" w:rsidRPr="00E767D4" w:rsidRDefault="008D6F40" w:rsidP="008D6F40">
            <w:pPr>
              <w:pStyle w:val="LoEText"/>
              <w:framePr w:hSpace="0" w:wrap="auto" w:vAnchor="margin" w:hAnchor="text" w:xAlign="left" w:yAlign="inline"/>
              <w:suppressOverlap w:val="0"/>
            </w:pPr>
            <w:r w:rsidRPr="00E767D4">
              <w:t>LoE:III</w:t>
            </w:r>
            <w:r w:rsidRPr="008D6F40">
              <w:rPr>
                <w:rStyle w:val="EndnoteReference8"/>
              </w:rPr>
              <w:endnoteReference w:id="9"/>
            </w:r>
          </w:p>
        </w:tc>
      </w:tr>
    </w:tbl>
    <w:p w14:paraId="68BE5699" w14:textId="5F0B238C" w:rsidR="000C19D9" w:rsidRPr="00E767D4" w:rsidRDefault="000C19D9" w:rsidP="00945BCC">
      <w:pPr>
        <w:pStyle w:val="BulletMedicine"/>
      </w:pPr>
      <w:r w:rsidRPr="00E767D4">
        <w:t>Doxycycline, oral</w:t>
      </w:r>
      <w:r w:rsidR="008A18FE">
        <w:fldChar w:fldCharType="begin"/>
      </w:r>
      <w:r w:rsidR="008A18FE">
        <w:instrText xml:space="preserve"> XE "Doxycycline, oral" \f "m" </w:instrText>
      </w:r>
      <w:r w:rsidR="008A18FE">
        <w:fldChar w:fldCharType="end"/>
      </w:r>
      <w:r w:rsidRPr="00E767D4">
        <w:t>, 100 mg 12 hourly for 14 days</w:t>
      </w:r>
      <w:r w:rsidR="0034591B">
        <w:rPr>
          <w:noProof/>
        </w:rPr>
        <w:drawing>
          <wp:inline distT="0" distB="0" distL="0" distR="0" wp14:anchorId="1A28E19F" wp14:editId="5D59F4A4">
            <wp:extent cx="146050" cy="140335"/>
            <wp:effectExtent l="0" t="0" r="6350" b="0"/>
            <wp:docPr id="198210280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6050" cy="140335"/>
                    </a:xfrm>
                    <a:prstGeom prst="rect">
                      <a:avLst/>
                    </a:prstGeom>
                    <a:noFill/>
                  </pic:spPr>
                </pic:pic>
              </a:graphicData>
            </a:graphic>
          </wp:inline>
        </w:drawing>
      </w:r>
      <w:r w:rsidRPr="00E767D4">
        <w:t>.</w:t>
      </w:r>
    </w:p>
    <w:p w14:paraId="2C18CFD6" w14:textId="77777777" w:rsidR="000C19D9" w:rsidRPr="00E767D4" w:rsidRDefault="000C19D9" w:rsidP="00945BCC">
      <w:pPr>
        <w:pStyle w:val="Heading7"/>
      </w:pPr>
      <w:r w:rsidRPr="00E767D4">
        <w:t>If pregnant and benzathine benzylpenicillin is unavailable:</w:t>
      </w:r>
    </w:p>
    <w:p w14:paraId="4EEA0B8D" w14:textId="6546E5A6" w:rsidR="000C19D9" w:rsidRPr="00E767D4" w:rsidRDefault="000C19D9" w:rsidP="00945BCC">
      <w:pPr>
        <w:pStyle w:val="BulletMedicine"/>
      </w:pPr>
      <w:r w:rsidRPr="00E767D4">
        <w:t>Amoxicillin, oral</w:t>
      </w:r>
      <w:r w:rsidR="008A18FE">
        <w:fldChar w:fldCharType="begin"/>
      </w:r>
      <w:r w:rsidR="008A18FE">
        <w:instrText xml:space="preserve"> XE "Amoxicillin, oral" \f "m" </w:instrText>
      </w:r>
      <w:r w:rsidR="008A18FE">
        <w:fldChar w:fldCharType="end"/>
      </w:r>
      <w:r w:rsidRPr="00E767D4">
        <w:t xml:space="preserve"> 1 g 8 hourly for 14 days (Doctor initiated)</w:t>
      </w:r>
      <w:r w:rsidR="00B95119">
        <w:rPr>
          <w:noProof/>
        </w:rPr>
        <w:drawing>
          <wp:inline distT="0" distB="0" distL="0" distR="0" wp14:anchorId="617C058A" wp14:editId="10F6C096">
            <wp:extent cx="146050" cy="140335"/>
            <wp:effectExtent l="0" t="0" r="6350" b="0"/>
            <wp:docPr id="138928694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6050" cy="140335"/>
                    </a:xfrm>
                    <a:prstGeom prst="rect">
                      <a:avLst/>
                    </a:prstGeom>
                    <a:noFill/>
                  </pic:spPr>
                </pic:pic>
              </a:graphicData>
            </a:graphic>
          </wp:inline>
        </w:drawing>
      </w:r>
      <w:r w:rsidRPr="00E767D4">
        <w:t>.</w:t>
      </w:r>
    </w:p>
    <w:p w14:paraId="03C9ECA7" w14:textId="77777777" w:rsidR="000C19D9" w:rsidRPr="00945BCC" w:rsidRDefault="000C19D9" w:rsidP="000C19D9">
      <w:pPr>
        <w:pStyle w:val="NoSpacing"/>
        <w:rPr>
          <w:rStyle w:val="Strong"/>
        </w:rPr>
      </w:pPr>
      <w:r w:rsidRPr="00945BCC">
        <w:rPr>
          <w:rStyle w:val="Strong"/>
        </w:rPr>
        <w:t>AND</w:t>
      </w:r>
    </w:p>
    <w:tbl>
      <w:tblPr>
        <w:tblpPr w:leftFromText="180" w:rightFromText="180" w:vertAnchor="text" w:horzAnchor="margin" w:tblpXSpec="right" w:tblpY="28"/>
        <w:tblOverlap w:val="neve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07"/>
      </w:tblGrid>
      <w:tr w:rsidR="00A23B3E" w:rsidRPr="00E767D4" w14:paraId="42BE629C" w14:textId="77777777" w:rsidTr="00A23B3E">
        <w:tc>
          <w:tcPr>
            <w:tcW w:w="907" w:type="dxa"/>
            <w:shd w:val="clear" w:color="auto" w:fill="auto"/>
          </w:tcPr>
          <w:p w14:paraId="4CFA8B4A" w14:textId="77777777" w:rsidR="00A23B3E" w:rsidRPr="00E767D4" w:rsidRDefault="00A23B3E" w:rsidP="00A23B3E">
            <w:pPr>
              <w:pStyle w:val="LoEText"/>
              <w:framePr w:hSpace="0" w:wrap="auto" w:vAnchor="margin" w:hAnchor="text" w:xAlign="left" w:yAlign="inline"/>
              <w:suppressOverlap w:val="0"/>
            </w:pPr>
            <w:r w:rsidRPr="00E767D4">
              <w:t>LoE:III</w:t>
            </w:r>
            <w:r w:rsidRPr="00A23B3E">
              <w:rPr>
                <w:rStyle w:val="EndnoteReference8"/>
              </w:rPr>
              <w:endnoteReference w:id="10"/>
            </w:r>
          </w:p>
        </w:tc>
      </w:tr>
    </w:tbl>
    <w:p w14:paraId="748880A1" w14:textId="1186317F" w:rsidR="000C19D9" w:rsidRPr="00E767D4" w:rsidRDefault="000C19D9" w:rsidP="00945BCC">
      <w:pPr>
        <w:pStyle w:val="BulletMedicine"/>
      </w:pPr>
      <w:r w:rsidRPr="00E767D4">
        <w:t>Probenecid, oral</w:t>
      </w:r>
      <w:r w:rsidR="008A18FE">
        <w:fldChar w:fldCharType="begin"/>
      </w:r>
      <w:r w:rsidR="008A18FE">
        <w:instrText xml:space="preserve"> XE "Probenecid, oral" \f "m" </w:instrText>
      </w:r>
      <w:r w:rsidR="008A18FE">
        <w:fldChar w:fldCharType="end"/>
      </w:r>
      <w:r w:rsidRPr="00E767D4">
        <w:t xml:space="preserve"> 250 mg, 8 hourly for 14 days (Doctor initiated).</w:t>
      </w:r>
    </w:p>
    <w:p w14:paraId="76E84158" w14:textId="77777777" w:rsidR="000C19D9" w:rsidRPr="00E767D4" w:rsidRDefault="000C19D9" w:rsidP="000C19D9">
      <w:pPr>
        <w:pStyle w:val="NoSpacing"/>
      </w:pPr>
      <w:r w:rsidRPr="00E767D4">
        <w:t>If penicillin-allergic and pregnant: Refer for penicillin desensitisation.</w:t>
      </w:r>
    </w:p>
    <w:p w14:paraId="26F86639" w14:textId="77777777" w:rsidR="000C19D9" w:rsidRPr="00E767D4" w:rsidRDefault="000C19D9" w:rsidP="00945BCC">
      <w:pPr>
        <w:pStyle w:val="Heading6"/>
      </w:pPr>
      <w:r w:rsidRPr="00E767D4">
        <w:t>Late/ late latent syphilis treatment</w:t>
      </w:r>
    </w:p>
    <w:p w14:paraId="2276607E" w14:textId="77777777" w:rsidR="000C19D9" w:rsidRPr="00E767D4" w:rsidRDefault="000C19D9" w:rsidP="000C19D9">
      <w:pPr>
        <w:pStyle w:val="NoSpacing"/>
      </w:pPr>
      <w:r w:rsidRPr="00E767D4">
        <w:t>Check if treatment was commenced at initial visit.</w:t>
      </w:r>
    </w:p>
    <w:p w14:paraId="326075B3" w14:textId="786B9CF3" w:rsidR="000C19D9" w:rsidRPr="00E767D4" w:rsidRDefault="000C19D9" w:rsidP="00945BCC">
      <w:pPr>
        <w:pStyle w:val="BulletMedicine"/>
      </w:pPr>
      <w:r w:rsidRPr="00E767D4">
        <w:t>Benzathine benzylpenicillin</w:t>
      </w:r>
      <w:r w:rsidR="00DC01D0">
        <w:fldChar w:fldCharType="begin"/>
      </w:r>
      <w:r w:rsidR="00DC01D0">
        <w:instrText xml:space="preserve"> XE "Benzathine benzylpenicillin" \f "m" </w:instrText>
      </w:r>
      <w:r w:rsidR="00DC01D0">
        <w:fldChar w:fldCharType="end"/>
      </w:r>
      <w:r w:rsidRPr="00E767D4">
        <w:t>, IM, 2.4 MU once weekly for 3 weeks</w:t>
      </w:r>
      <w:r w:rsidR="00B95119">
        <w:rPr>
          <w:noProof/>
        </w:rPr>
        <w:drawing>
          <wp:inline distT="0" distB="0" distL="0" distR="0" wp14:anchorId="0FCADB17" wp14:editId="3507699E">
            <wp:extent cx="146050" cy="140335"/>
            <wp:effectExtent l="0" t="0" r="6350" b="0"/>
            <wp:docPr id="70659735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6050" cy="140335"/>
                    </a:xfrm>
                    <a:prstGeom prst="rect">
                      <a:avLst/>
                    </a:prstGeom>
                    <a:noFill/>
                  </pic:spPr>
                </pic:pic>
              </a:graphicData>
            </a:graphic>
          </wp:inline>
        </w:drawing>
      </w:r>
      <w:r w:rsidRPr="00E767D4">
        <w:t>.</w:t>
      </w:r>
    </w:p>
    <w:p w14:paraId="39902926" w14:textId="77777777" w:rsidR="000C19D9" w:rsidRPr="00E767D4" w:rsidRDefault="000C19D9" w:rsidP="00945BCC">
      <w:pPr>
        <w:pStyle w:val="BulletDirectionsInstructions"/>
      </w:pPr>
      <w:r w:rsidRPr="00E767D4">
        <w:t>Dissolve benzathine benzylpenicillin, IM, 2.4 MU in 6 mL lidocaine 1% without adrenaline (epinephrine).</w:t>
      </w:r>
    </w:p>
    <w:p w14:paraId="698E8587" w14:textId="77777777" w:rsidR="00225F64" w:rsidRDefault="000C19D9" w:rsidP="00225F64">
      <w:pPr>
        <w:pStyle w:val="Heading7"/>
      </w:pPr>
      <w:r w:rsidRPr="00E767D4">
        <w:t xml:space="preserve">In penicillin-allergic patients or if benzathine benzylpenicillin is unavailable: </w:t>
      </w:r>
    </w:p>
    <w:p w14:paraId="65336711" w14:textId="36F6F619" w:rsidR="000C19D9" w:rsidRPr="00E767D4" w:rsidRDefault="000C19D9" w:rsidP="00225F64">
      <w:pPr>
        <w:pStyle w:val="ICD10"/>
      </w:pPr>
      <w:r w:rsidRPr="00E767D4">
        <w:t>Z88.0</w:t>
      </w:r>
    </w:p>
    <w:tbl>
      <w:tblPr>
        <w:tblpPr w:leftFromText="180" w:rightFromText="180" w:vertAnchor="text" w:horzAnchor="margin" w:tblpXSpec="right" w:tblpY="23"/>
        <w:tblOverlap w:val="never"/>
        <w:tblW w:w="0" w:type="auto"/>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907"/>
      </w:tblGrid>
      <w:tr w:rsidR="00A75599" w:rsidRPr="00E767D4" w14:paraId="0A56CD88" w14:textId="77777777" w:rsidTr="00A75599">
        <w:tc>
          <w:tcPr>
            <w:tcW w:w="907" w:type="dxa"/>
            <w:shd w:val="clear" w:color="auto" w:fill="auto"/>
          </w:tcPr>
          <w:p w14:paraId="4BFB7F7D" w14:textId="77777777" w:rsidR="00A75599" w:rsidRPr="00E767D4" w:rsidRDefault="00A75599" w:rsidP="00A75599">
            <w:pPr>
              <w:pStyle w:val="LoEText"/>
              <w:framePr w:hSpace="0" w:wrap="auto" w:vAnchor="margin" w:hAnchor="text" w:xAlign="left" w:yAlign="inline"/>
              <w:suppressOverlap w:val="0"/>
            </w:pPr>
            <w:r w:rsidRPr="00E767D4">
              <w:t>LoE:III</w:t>
            </w:r>
            <w:r w:rsidRPr="00A75599">
              <w:rPr>
                <w:rStyle w:val="EndnoteReference8"/>
              </w:rPr>
              <w:endnoteReference w:id="11"/>
            </w:r>
          </w:p>
        </w:tc>
      </w:tr>
    </w:tbl>
    <w:p w14:paraId="0005D42B" w14:textId="3E3C7687" w:rsidR="000C19D9" w:rsidRPr="00E767D4" w:rsidRDefault="000C19D9" w:rsidP="00225F64">
      <w:pPr>
        <w:pStyle w:val="BulletMedicine"/>
      </w:pPr>
      <w:r w:rsidRPr="00E767D4">
        <w:t>Doxycycline, oral</w:t>
      </w:r>
      <w:r w:rsidR="008A18FE">
        <w:fldChar w:fldCharType="begin"/>
      </w:r>
      <w:r w:rsidR="008A18FE">
        <w:instrText xml:space="preserve"> XE "Doxycycline, oral" \f "m" </w:instrText>
      </w:r>
      <w:r w:rsidR="008A18FE">
        <w:fldChar w:fldCharType="end"/>
      </w:r>
      <w:r w:rsidRPr="00E767D4">
        <w:t>, 100 mg 12 hourly for 30 days</w:t>
      </w:r>
      <w:r w:rsidR="00B95119">
        <w:rPr>
          <w:noProof/>
        </w:rPr>
        <w:drawing>
          <wp:inline distT="0" distB="0" distL="0" distR="0" wp14:anchorId="34A7AC43" wp14:editId="0C29E4D5">
            <wp:extent cx="146050" cy="140335"/>
            <wp:effectExtent l="0" t="0" r="6350" b="0"/>
            <wp:docPr id="64079520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6050" cy="140335"/>
                    </a:xfrm>
                    <a:prstGeom prst="rect">
                      <a:avLst/>
                    </a:prstGeom>
                    <a:noFill/>
                  </pic:spPr>
                </pic:pic>
              </a:graphicData>
            </a:graphic>
          </wp:inline>
        </w:drawing>
      </w:r>
      <w:r w:rsidRPr="00E767D4">
        <w:t>.</w:t>
      </w:r>
    </w:p>
    <w:p w14:paraId="4E9EE58D" w14:textId="77777777" w:rsidR="000C19D9" w:rsidRPr="00E767D4" w:rsidRDefault="000C19D9" w:rsidP="00225F64">
      <w:pPr>
        <w:pStyle w:val="Heading7"/>
      </w:pPr>
      <w:r w:rsidRPr="00E767D4">
        <w:t>If pregnant and benzathine benzylpenicillin is unavailable:</w:t>
      </w:r>
    </w:p>
    <w:p w14:paraId="40D92DA3" w14:textId="196EAB0B" w:rsidR="000C19D9" w:rsidRPr="00E767D4" w:rsidRDefault="000C19D9" w:rsidP="00225F64">
      <w:pPr>
        <w:pStyle w:val="BulletMedicine"/>
      </w:pPr>
      <w:r w:rsidRPr="00E767D4">
        <w:t>Amoxicillin, oral</w:t>
      </w:r>
      <w:r w:rsidR="008A18FE">
        <w:fldChar w:fldCharType="begin"/>
      </w:r>
      <w:r w:rsidR="008A18FE">
        <w:instrText xml:space="preserve"> XE "Amoxicillin, oral" \f "m" </w:instrText>
      </w:r>
      <w:r w:rsidR="008A18FE">
        <w:fldChar w:fldCharType="end"/>
      </w:r>
      <w:r w:rsidRPr="00E767D4">
        <w:t xml:space="preserve"> 1 g 8 hourly for 28 days (Doctor initiated)</w:t>
      </w:r>
      <w:r w:rsidR="00FF7758">
        <w:rPr>
          <w:noProof/>
        </w:rPr>
        <w:drawing>
          <wp:inline distT="0" distB="0" distL="0" distR="0" wp14:anchorId="4095E5A7" wp14:editId="1A50663B">
            <wp:extent cx="146050" cy="140335"/>
            <wp:effectExtent l="0" t="0" r="6350" b="0"/>
            <wp:docPr id="131839047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6050" cy="140335"/>
                    </a:xfrm>
                    <a:prstGeom prst="rect">
                      <a:avLst/>
                    </a:prstGeom>
                    <a:noFill/>
                  </pic:spPr>
                </pic:pic>
              </a:graphicData>
            </a:graphic>
          </wp:inline>
        </w:drawing>
      </w:r>
      <w:r w:rsidRPr="00E767D4">
        <w:t>.</w:t>
      </w:r>
    </w:p>
    <w:p w14:paraId="66B890C4" w14:textId="77777777" w:rsidR="000C19D9" w:rsidRPr="00945BCC" w:rsidRDefault="000C19D9" w:rsidP="000C19D9">
      <w:pPr>
        <w:pStyle w:val="NoSpacing"/>
        <w:rPr>
          <w:rStyle w:val="Strong"/>
        </w:rPr>
      </w:pPr>
      <w:r w:rsidRPr="00945BCC">
        <w:rPr>
          <w:rStyle w:val="Strong"/>
        </w:rPr>
        <w:t>AND</w:t>
      </w:r>
    </w:p>
    <w:tbl>
      <w:tblPr>
        <w:tblpPr w:leftFromText="180" w:rightFromText="180" w:vertAnchor="text" w:horzAnchor="margin" w:tblpXSpec="right" w:tblpY="32"/>
        <w:tblOverlap w:val="neve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07"/>
      </w:tblGrid>
      <w:tr w:rsidR="00A75599" w:rsidRPr="00E767D4" w14:paraId="5783B1C7" w14:textId="77777777" w:rsidTr="00A75599">
        <w:tc>
          <w:tcPr>
            <w:tcW w:w="907" w:type="dxa"/>
            <w:shd w:val="clear" w:color="auto" w:fill="auto"/>
          </w:tcPr>
          <w:p w14:paraId="2BBEF32C" w14:textId="77777777" w:rsidR="00A75599" w:rsidRPr="00E767D4" w:rsidRDefault="00A75599" w:rsidP="00A75599">
            <w:pPr>
              <w:pStyle w:val="LoEText"/>
              <w:framePr w:hSpace="0" w:wrap="auto" w:vAnchor="margin" w:hAnchor="text" w:xAlign="left" w:yAlign="inline"/>
              <w:suppressOverlap w:val="0"/>
            </w:pPr>
            <w:r w:rsidRPr="00E767D4">
              <w:t>LoE:III</w:t>
            </w:r>
            <w:r w:rsidRPr="00A75599">
              <w:rPr>
                <w:rStyle w:val="EndnoteReference8"/>
              </w:rPr>
              <w:endnoteReference w:id="12"/>
            </w:r>
          </w:p>
        </w:tc>
      </w:tr>
    </w:tbl>
    <w:p w14:paraId="5196A524" w14:textId="49E022C3" w:rsidR="000C19D9" w:rsidRPr="00E767D4" w:rsidRDefault="000C19D9" w:rsidP="00225F64">
      <w:pPr>
        <w:pStyle w:val="BulletMedicine"/>
      </w:pPr>
      <w:r w:rsidRPr="00E767D4">
        <w:t>Probenecid, oral</w:t>
      </w:r>
      <w:r w:rsidR="008A18FE">
        <w:fldChar w:fldCharType="begin"/>
      </w:r>
      <w:r w:rsidR="008A18FE">
        <w:instrText xml:space="preserve"> XE "Probenecid, oral" \f "m" </w:instrText>
      </w:r>
      <w:r w:rsidR="008A18FE">
        <w:fldChar w:fldCharType="end"/>
      </w:r>
      <w:r w:rsidRPr="00E767D4">
        <w:t xml:space="preserve"> 250 mg, 8 hourly for 28 days (Doctor initiated).</w:t>
      </w:r>
    </w:p>
    <w:p w14:paraId="31D9190E" w14:textId="77777777" w:rsidR="000C19D9" w:rsidRPr="00E767D4" w:rsidRDefault="000C19D9" w:rsidP="000C19D9">
      <w:pPr>
        <w:pStyle w:val="NoSpacing"/>
      </w:pPr>
      <w:r w:rsidRPr="00E767D4">
        <w:t>If penicillin-allergic and pregnant: Refer for penicillin desensitisation.</w:t>
      </w:r>
    </w:p>
    <w:p w14:paraId="34FBD43E" w14:textId="77777777" w:rsidR="000C19D9" w:rsidRPr="00E767D4" w:rsidRDefault="000C19D9" w:rsidP="00945BCC">
      <w:pPr>
        <w:pStyle w:val="Heading5"/>
      </w:pPr>
      <w:r w:rsidRPr="00E767D4">
        <w:t>REFERRAL</w:t>
      </w:r>
    </w:p>
    <w:p w14:paraId="3C0A1E79" w14:textId="77777777" w:rsidR="000C19D9" w:rsidRPr="00E767D4" w:rsidRDefault="000C19D9" w:rsidP="008D6F40">
      <w:pPr>
        <w:pStyle w:val="ListParagraph"/>
      </w:pPr>
      <w:r w:rsidRPr="00E767D4">
        <w:t>Tertiary syphilis: neurosyphilis, cardiovascular syphilis; gummatous syphilis.</w:t>
      </w:r>
    </w:p>
    <w:p w14:paraId="6B3FDA87" w14:textId="77777777" w:rsidR="000C19D9" w:rsidRPr="00E767D4" w:rsidRDefault="000C19D9" w:rsidP="008D6F40">
      <w:pPr>
        <w:pStyle w:val="ListParagraph"/>
      </w:pPr>
      <w:r w:rsidRPr="00E767D4">
        <w:t>Clinical congenital syphilis.</w:t>
      </w:r>
    </w:p>
    <w:p w14:paraId="5F3652BA" w14:textId="77777777" w:rsidR="000C19D9" w:rsidRPr="00E767D4" w:rsidRDefault="000C19D9" w:rsidP="000C19D9">
      <w:pPr>
        <w:pStyle w:val="NoSpacing"/>
      </w:pPr>
    </w:p>
    <w:p w14:paraId="421080C9" w14:textId="75774319" w:rsidR="000C19D9" w:rsidRPr="00091B12" w:rsidRDefault="00091B12" w:rsidP="00091B12">
      <w:pPr>
        <w:pStyle w:val="Heading2"/>
      </w:pPr>
      <w:bookmarkStart w:id="20" w:name="_Toc57788620"/>
      <w:bookmarkStart w:id="21" w:name="_Toc57792319"/>
      <w:r w:rsidRPr="00091B12">
        <w:t>Treatment of more than one STI syndrome</w:t>
      </w:r>
      <w:bookmarkEnd w:id="20"/>
      <w:bookmarkEnd w:id="21"/>
      <w:r w:rsidR="003D3FDA">
        <w:fldChar w:fldCharType="begin"/>
      </w:r>
      <w:r w:rsidR="003D3FDA">
        <w:instrText xml:space="preserve"> XE "</w:instrText>
      </w:r>
      <w:r w:rsidR="003D3FDA" w:rsidRPr="0037039D">
        <w:instrText>Treatment of more than one STI syndrome</w:instrText>
      </w:r>
      <w:r w:rsidR="003D3FDA">
        <w:instrText xml:space="preserve">" </w:instrText>
      </w:r>
      <w:r w:rsidR="003D3FDA" w:rsidRPr="003D3FDA">
        <w:instrText>\f “c”</w:instrText>
      </w:r>
      <w:r w:rsidR="003D3FDA">
        <w:fldChar w:fldCharType="end"/>
      </w:r>
    </w:p>
    <w:p w14:paraId="0E298959" w14:textId="77777777" w:rsidR="000C19D9" w:rsidRPr="00E767D4" w:rsidRDefault="000C19D9" w:rsidP="000C19D9">
      <w:pPr>
        <w:pStyle w:val="NoSpacing"/>
      </w:pPr>
    </w:p>
    <w:tbl>
      <w:tblPr>
        <w:tblStyle w:val="SamplePHCTable"/>
        <w:tblW w:w="5000" w:type="pct"/>
        <w:tblLook w:val="01A0" w:firstRow="1" w:lastRow="0" w:firstColumn="1" w:lastColumn="1" w:noHBand="0" w:noVBand="0"/>
      </w:tblPr>
      <w:tblGrid>
        <w:gridCol w:w="1647"/>
        <w:gridCol w:w="5032"/>
      </w:tblGrid>
      <w:tr w:rsidR="000C19D9" w:rsidRPr="00E767D4" w14:paraId="46516481" w14:textId="77777777" w:rsidTr="003C793D">
        <w:trPr>
          <w:cnfStyle w:val="100000000000" w:firstRow="1" w:lastRow="0" w:firstColumn="0" w:lastColumn="0" w:oddVBand="0" w:evenVBand="0" w:oddHBand="0" w:evenHBand="0" w:firstRowFirstColumn="0" w:firstRowLastColumn="0" w:lastRowFirstColumn="0" w:lastRowLastColumn="0"/>
          <w:trHeight w:val="133"/>
        </w:trPr>
        <w:tc>
          <w:tcPr>
            <w:tcW w:w="1233" w:type="pct"/>
          </w:tcPr>
          <w:p w14:paraId="6A86C524" w14:textId="77777777" w:rsidR="000C19D9" w:rsidRPr="00E767D4" w:rsidRDefault="000C19D9" w:rsidP="008A18FE">
            <w:pPr>
              <w:pStyle w:val="NoSpacing"/>
            </w:pPr>
            <w:r w:rsidRPr="00E767D4">
              <w:t>STI SYNDROMES</w:t>
            </w:r>
          </w:p>
        </w:tc>
        <w:tc>
          <w:tcPr>
            <w:tcW w:w="3767" w:type="pct"/>
          </w:tcPr>
          <w:p w14:paraId="4F45DD8E" w14:textId="77777777" w:rsidR="000C19D9" w:rsidRPr="00E767D4" w:rsidRDefault="000C19D9" w:rsidP="008A18FE">
            <w:pPr>
              <w:pStyle w:val="NoSpacing"/>
            </w:pPr>
            <w:r w:rsidRPr="00E767D4">
              <w:t>TREATMENT (NEW EPISODE)</w:t>
            </w:r>
          </w:p>
        </w:tc>
      </w:tr>
      <w:tr w:rsidR="000C19D9" w:rsidRPr="00E767D4" w14:paraId="2033B7B6" w14:textId="77777777" w:rsidTr="003C793D">
        <w:trPr>
          <w:trHeight w:val="179"/>
        </w:trPr>
        <w:tc>
          <w:tcPr>
            <w:tcW w:w="1233" w:type="pct"/>
          </w:tcPr>
          <w:p w14:paraId="3B89937D" w14:textId="77777777" w:rsidR="000C19D9" w:rsidRPr="00E767D4" w:rsidRDefault="000C19D9" w:rsidP="008A18FE">
            <w:pPr>
              <w:pStyle w:val="NoSpacing"/>
            </w:pPr>
            <w:r w:rsidRPr="00E767D4">
              <w:t>MUS + SSW</w:t>
            </w:r>
          </w:p>
        </w:tc>
        <w:tc>
          <w:tcPr>
            <w:tcW w:w="3767" w:type="pct"/>
          </w:tcPr>
          <w:p w14:paraId="27EBE818" w14:textId="77777777" w:rsidR="000C19D9" w:rsidRPr="00E767D4" w:rsidRDefault="000C19D9" w:rsidP="008A18FE">
            <w:pPr>
              <w:pStyle w:val="NoSpacing"/>
            </w:pPr>
            <w:r w:rsidRPr="00E767D4">
              <w:t>Treat according to SSW flow chart.</w:t>
            </w:r>
          </w:p>
        </w:tc>
      </w:tr>
      <w:tr w:rsidR="000C19D9" w:rsidRPr="00E767D4" w14:paraId="758E0AB4" w14:textId="77777777" w:rsidTr="003C793D">
        <w:trPr>
          <w:trHeight w:val="454"/>
        </w:trPr>
        <w:tc>
          <w:tcPr>
            <w:tcW w:w="1233" w:type="pct"/>
          </w:tcPr>
          <w:p w14:paraId="7B1B9688" w14:textId="77777777" w:rsidR="000C19D9" w:rsidRPr="00E767D4" w:rsidRDefault="000C19D9" w:rsidP="008A18FE">
            <w:pPr>
              <w:pStyle w:val="NoSpacing"/>
            </w:pPr>
            <w:r w:rsidRPr="00E767D4">
              <w:t>MUS + BAL</w:t>
            </w:r>
          </w:p>
        </w:tc>
        <w:tc>
          <w:tcPr>
            <w:tcW w:w="3767" w:type="pct"/>
          </w:tcPr>
          <w:p w14:paraId="6C6AE24E" w14:textId="77777777" w:rsidR="000C19D9" w:rsidRPr="00E767D4" w:rsidRDefault="000C19D9" w:rsidP="008A18FE">
            <w:pPr>
              <w:pStyle w:val="NoSpacing"/>
            </w:pPr>
            <w:r w:rsidRPr="00E767D4">
              <w:t>Treat according to MUS flow chart.</w:t>
            </w:r>
          </w:p>
          <w:p w14:paraId="5B78B0C3" w14:textId="77777777" w:rsidR="000C19D9" w:rsidRPr="003C793D" w:rsidRDefault="000C19D9" w:rsidP="008A18FE">
            <w:pPr>
              <w:pStyle w:val="NoSpacing"/>
              <w:rPr>
                <w:rStyle w:val="Strong"/>
              </w:rPr>
            </w:pPr>
            <w:r w:rsidRPr="003C793D">
              <w:rPr>
                <w:rStyle w:val="Strong"/>
              </w:rPr>
              <w:t>AND</w:t>
            </w:r>
          </w:p>
          <w:p w14:paraId="40220E5E" w14:textId="4AA7FD5E" w:rsidR="000C19D9" w:rsidRPr="00E767D4" w:rsidRDefault="000C19D9" w:rsidP="003C793D">
            <w:pPr>
              <w:pStyle w:val="BulletMedicine"/>
            </w:pPr>
            <w:r w:rsidRPr="00E767D4">
              <w:t>Clotrimazole</w:t>
            </w:r>
            <w:r w:rsidR="008A18FE">
              <w:fldChar w:fldCharType="begin"/>
            </w:r>
            <w:r w:rsidR="008A18FE">
              <w:instrText xml:space="preserve"> XE "Clotrimazole, topical" \f "m" </w:instrText>
            </w:r>
            <w:r w:rsidR="008A18FE">
              <w:fldChar w:fldCharType="end"/>
            </w:r>
            <w:r w:rsidRPr="00E767D4">
              <w:t xml:space="preserve"> cream, 12 hourly for 7 days.</w:t>
            </w:r>
          </w:p>
        </w:tc>
      </w:tr>
      <w:tr w:rsidR="000C19D9" w:rsidRPr="00E767D4" w14:paraId="17318F39" w14:textId="77777777" w:rsidTr="003C793D">
        <w:trPr>
          <w:trHeight w:val="168"/>
        </w:trPr>
        <w:tc>
          <w:tcPr>
            <w:tcW w:w="1233" w:type="pct"/>
          </w:tcPr>
          <w:p w14:paraId="653DA46F" w14:textId="77777777" w:rsidR="000C19D9" w:rsidRPr="00E767D4" w:rsidRDefault="000C19D9" w:rsidP="008A18FE">
            <w:pPr>
              <w:pStyle w:val="NoSpacing"/>
            </w:pPr>
            <w:r w:rsidRPr="00E767D4">
              <w:t>MUS + GUS</w:t>
            </w:r>
          </w:p>
        </w:tc>
        <w:tc>
          <w:tcPr>
            <w:tcW w:w="3767" w:type="pct"/>
          </w:tcPr>
          <w:p w14:paraId="08DA18B5" w14:textId="6B01E544" w:rsidR="000C19D9" w:rsidRPr="00E767D4" w:rsidRDefault="000C19D9" w:rsidP="003C793D">
            <w:pPr>
              <w:pStyle w:val="BulletMedicine"/>
            </w:pPr>
            <w:r w:rsidRPr="00E767D4">
              <w:t>Ceftriaxone</w:t>
            </w:r>
            <w:r w:rsidR="008A18FE">
              <w:fldChar w:fldCharType="begin"/>
            </w:r>
            <w:r w:rsidR="008A18FE">
              <w:instrText xml:space="preserve"> XE "Ceftriaxone" \f "m" </w:instrText>
            </w:r>
            <w:r w:rsidR="008A18FE">
              <w:fldChar w:fldCharType="end"/>
            </w:r>
            <w:r w:rsidRPr="00E767D4">
              <w:t>, IM, 250 mg immediately as a single dose</w:t>
            </w:r>
            <w:r w:rsidR="00E35BC0">
              <w:rPr>
                <w:noProof/>
              </w:rPr>
              <w:drawing>
                <wp:inline distT="0" distB="0" distL="0" distR="0" wp14:anchorId="3774CA72" wp14:editId="1C365259">
                  <wp:extent cx="140335" cy="152400"/>
                  <wp:effectExtent l="0" t="0" r="0" b="0"/>
                  <wp:docPr id="185322862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0335" cy="152400"/>
                          </a:xfrm>
                          <a:prstGeom prst="rect">
                            <a:avLst/>
                          </a:prstGeom>
                          <a:noFill/>
                        </pic:spPr>
                      </pic:pic>
                    </a:graphicData>
                  </a:graphic>
                </wp:inline>
              </w:drawing>
            </w:r>
            <w:r w:rsidRPr="00E767D4">
              <w:t>.</w:t>
            </w:r>
          </w:p>
          <w:p w14:paraId="31F29E30" w14:textId="77777777" w:rsidR="000C19D9" w:rsidRPr="000D5197" w:rsidRDefault="000C19D9" w:rsidP="008A18FE">
            <w:pPr>
              <w:pStyle w:val="NoSpacing"/>
              <w:rPr>
                <w:rStyle w:val="Strong"/>
              </w:rPr>
            </w:pPr>
            <w:r w:rsidRPr="000D5197">
              <w:rPr>
                <w:rStyle w:val="Strong"/>
              </w:rPr>
              <w:t>AND</w:t>
            </w:r>
          </w:p>
          <w:p w14:paraId="43AB6763" w14:textId="7B7A1272" w:rsidR="000C19D9" w:rsidRPr="00E767D4" w:rsidRDefault="000C19D9" w:rsidP="003C793D">
            <w:pPr>
              <w:pStyle w:val="BulletMedicine"/>
            </w:pPr>
            <w:r w:rsidRPr="00E767D4">
              <w:t>Azithromycin, oral</w:t>
            </w:r>
            <w:r w:rsidR="008A18FE">
              <w:fldChar w:fldCharType="begin"/>
            </w:r>
            <w:r w:rsidR="008A18FE">
              <w:instrText xml:space="preserve"> XE "Azithromycin, oral" \f "m" </w:instrText>
            </w:r>
            <w:r w:rsidR="008A18FE">
              <w:fldChar w:fldCharType="end"/>
            </w:r>
            <w:r w:rsidRPr="00E767D4">
              <w:t>, 1 g as a single dose</w:t>
            </w:r>
            <w:r w:rsidR="00922BDD">
              <w:rPr>
                <w:noProof/>
              </w:rPr>
              <w:drawing>
                <wp:inline distT="0" distB="0" distL="0" distR="0" wp14:anchorId="7F388D58" wp14:editId="653348BB">
                  <wp:extent cx="140335" cy="152400"/>
                  <wp:effectExtent l="0" t="0" r="0" b="0"/>
                  <wp:docPr id="202260043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0335" cy="152400"/>
                          </a:xfrm>
                          <a:prstGeom prst="rect">
                            <a:avLst/>
                          </a:prstGeom>
                          <a:noFill/>
                        </pic:spPr>
                      </pic:pic>
                    </a:graphicData>
                  </a:graphic>
                </wp:inline>
              </w:drawing>
            </w:r>
            <w:r w:rsidRPr="00E767D4">
              <w:t>.</w:t>
            </w:r>
          </w:p>
          <w:p w14:paraId="21AA138A" w14:textId="77777777" w:rsidR="000C19D9" w:rsidRPr="000D5197" w:rsidRDefault="000C19D9" w:rsidP="008A18FE">
            <w:pPr>
              <w:pStyle w:val="NoSpacing"/>
              <w:rPr>
                <w:rStyle w:val="Strong"/>
              </w:rPr>
            </w:pPr>
            <w:r w:rsidRPr="000D5197">
              <w:rPr>
                <w:rStyle w:val="Strong"/>
              </w:rPr>
              <w:t>AND</w:t>
            </w:r>
          </w:p>
          <w:p w14:paraId="14BC4F0E" w14:textId="60115459" w:rsidR="000C19D9" w:rsidRPr="00E767D4" w:rsidRDefault="000C19D9" w:rsidP="000D5197">
            <w:pPr>
              <w:pStyle w:val="BulletMedicine"/>
            </w:pPr>
            <w:r w:rsidRPr="00E767D4">
              <w:lastRenderedPageBreak/>
              <w:t>Aciclovir, oral</w:t>
            </w:r>
            <w:r w:rsidR="008A18FE">
              <w:fldChar w:fldCharType="begin"/>
            </w:r>
            <w:r w:rsidR="008A18FE">
              <w:instrText xml:space="preserve"> XE "Aciclovir, oral" \f "m" </w:instrText>
            </w:r>
            <w:r w:rsidR="008A18FE">
              <w:fldChar w:fldCharType="end"/>
            </w:r>
            <w:r w:rsidRPr="00E767D4">
              <w:t>, 400 mg 8 hourly for 7 days*.</w:t>
            </w:r>
          </w:p>
        </w:tc>
      </w:tr>
      <w:tr w:rsidR="000C19D9" w:rsidRPr="00E767D4" w14:paraId="0F396CC4" w14:textId="77777777" w:rsidTr="003C793D">
        <w:trPr>
          <w:trHeight w:val="454"/>
        </w:trPr>
        <w:tc>
          <w:tcPr>
            <w:tcW w:w="1233" w:type="pct"/>
          </w:tcPr>
          <w:p w14:paraId="63504DF4" w14:textId="77777777" w:rsidR="000C19D9" w:rsidRPr="00E767D4" w:rsidRDefault="000C19D9" w:rsidP="008A18FE">
            <w:pPr>
              <w:pStyle w:val="NoSpacing"/>
            </w:pPr>
            <w:r w:rsidRPr="00E767D4">
              <w:lastRenderedPageBreak/>
              <w:t>VDS + LAP</w:t>
            </w:r>
          </w:p>
        </w:tc>
        <w:tc>
          <w:tcPr>
            <w:tcW w:w="3767" w:type="pct"/>
          </w:tcPr>
          <w:p w14:paraId="1ACB7816" w14:textId="77777777" w:rsidR="000C19D9" w:rsidRPr="00E767D4" w:rsidRDefault="000C19D9" w:rsidP="008A18FE">
            <w:pPr>
              <w:pStyle w:val="NoSpacing"/>
            </w:pPr>
            <w:r w:rsidRPr="00E767D4">
              <w:t>Treat according to LAP flow chart.</w:t>
            </w:r>
          </w:p>
          <w:p w14:paraId="0ACAB3CB" w14:textId="77777777" w:rsidR="000C19D9" w:rsidRPr="000D5197" w:rsidRDefault="000C19D9" w:rsidP="008A18FE">
            <w:pPr>
              <w:pStyle w:val="NoSpacing"/>
              <w:rPr>
                <w:rStyle w:val="Strong"/>
              </w:rPr>
            </w:pPr>
            <w:r w:rsidRPr="000D5197">
              <w:rPr>
                <w:rStyle w:val="Strong"/>
              </w:rPr>
              <w:t>AND</w:t>
            </w:r>
          </w:p>
          <w:p w14:paraId="1D603762" w14:textId="77777777" w:rsidR="000C19D9" w:rsidRPr="00E767D4" w:rsidRDefault="000C19D9" w:rsidP="008A18FE">
            <w:pPr>
              <w:pStyle w:val="NoSpacing"/>
            </w:pPr>
            <w:r w:rsidRPr="00E767D4">
              <w:t>Treat for candidiasis, if required (see VDS flow chart).</w:t>
            </w:r>
          </w:p>
        </w:tc>
      </w:tr>
      <w:tr w:rsidR="000C19D9" w:rsidRPr="00E767D4" w14:paraId="64F06217" w14:textId="77777777" w:rsidTr="003C793D">
        <w:trPr>
          <w:trHeight w:val="324"/>
        </w:trPr>
        <w:tc>
          <w:tcPr>
            <w:tcW w:w="1233" w:type="pct"/>
          </w:tcPr>
          <w:p w14:paraId="74B519BB" w14:textId="1A6B2D3B" w:rsidR="000C19D9" w:rsidRPr="00E767D4" w:rsidRDefault="000C19D9" w:rsidP="00942E36">
            <w:pPr>
              <w:pStyle w:val="NoSpacing"/>
            </w:pPr>
            <w:r w:rsidRPr="00E767D4">
              <w:t>VDS + GUS</w:t>
            </w:r>
          </w:p>
        </w:tc>
        <w:tc>
          <w:tcPr>
            <w:tcW w:w="3767" w:type="pct"/>
          </w:tcPr>
          <w:p w14:paraId="62A90D59" w14:textId="06E142CC" w:rsidR="000C19D9" w:rsidRPr="00E767D4" w:rsidRDefault="000C19D9" w:rsidP="00942E36">
            <w:pPr>
              <w:pStyle w:val="BulletMedicine"/>
            </w:pPr>
            <w:r w:rsidRPr="00E767D4">
              <w:t>Ceftriaxone</w:t>
            </w:r>
            <w:r w:rsidR="008A18FE">
              <w:fldChar w:fldCharType="begin"/>
            </w:r>
            <w:r w:rsidR="008A18FE">
              <w:instrText xml:space="preserve"> XE "Ceftriaxone" \f "m" </w:instrText>
            </w:r>
            <w:r w:rsidR="008A18FE">
              <w:fldChar w:fldCharType="end"/>
            </w:r>
            <w:r w:rsidRPr="00E767D4">
              <w:t>, IM, 250 mg immediately as a single dose</w:t>
            </w:r>
            <w:r w:rsidR="00922BDD">
              <w:rPr>
                <w:noProof/>
              </w:rPr>
              <w:drawing>
                <wp:inline distT="0" distB="0" distL="0" distR="0" wp14:anchorId="45C75DDE" wp14:editId="58B7310A">
                  <wp:extent cx="140335" cy="152400"/>
                  <wp:effectExtent l="0" t="0" r="0" b="0"/>
                  <wp:docPr id="112523821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0335" cy="152400"/>
                          </a:xfrm>
                          <a:prstGeom prst="rect">
                            <a:avLst/>
                          </a:prstGeom>
                          <a:noFill/>
                        </pic:spPr>
                      </pic:pic>
                    </a:graphicData>
                  </a:graphic>
                </wp:inline>
              </w:drawing>
            </w:r>
            <w:r w:rsidRPr="00E767D4">
              <w:t>.</w:t>
            </w:r>
          </w:p>
          <w:p w14:paraId="0A71F743" w14:textId="77777777" w:rsidR="000C19D9" w:rsidRPr="000D5197" w:rsidRDefault="000C19D9" w:rsidP="008A18FE">
            <w:pPr>
              <w:pStyle w:val="NoSpacing"/>
              <w:rPr>
                <w:rStyle w:val="Strong"/>
              </w:rPr>
            </w:pPr>
            <w:r w:rsidRPr="000D5197">
              <w:rPr>
                <w:rStyle w:val="Strong"/>
              </w:rPr>
              <w:t>AND</w:t>
            </w:r>
          </w:p>
          <w:p w14:paraId="51277658" w14:textId="29CA2AD9" w:rsidR="000C19D9" w:rsidRPr="00E767D4" w:rsidRDefault="000C19D9" w:rsidP="00942E36">
            <w:pPr>
              <w:pStyle w:val="BulletMedicine"/>
            </w:pPr>
            <w:r w:rsidRPr="00E767D4">
              <w:t>Metronidazole, oral</w:t>
            </w:r>
            <w:r w:rsidR="008A18FE">
              <w:fldChar w:fldCharType="begin"/>
            </w:r>
            <w:r w:rsidR="008A18FE">
              <w:instrText xml:space="preserve"> XE "Metronidazole, oral" \f "m" </w:instrText>
            </w:r>
            <w:r w:rsidR="008A18FE">
              <w:fldChar w:fldCharType="end"/>
            </w:r>
            <w:r w:rsidRPr="00E767D4">
              <w:t>, 2 g immediately as a single dose</w:t>
            </w:r>
            <w:r w:rsidR="00411BC9">
              <w:rPr>
                <w:noProof/>
              </w:rPr>
              <w:drawing>
                <wp:inline distT="0" distB="0" distL="0" distR="0" wp14:anchorId="7366E128" wp14:editId="757F2563">
                  <wp:extent cx="146050" cy="140335"/>
                  <wp:effectExtent l="0" t="0" r="6350" b="0"/>
                  <wp:docPr id="43266427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6050" cy="140335"/>
                          </a:xfrm>
                          <a:prstGeom prst="rect">
                            <a:avLst/>
                          </a:prstGeom>
                          <a:noFill/>
                        </pic:spPr>
                      </pic:pic>
                    </a:graphicData>
                  </a:graphic>
                </wp:inline>
              </w:drawing>
            </w:r>
            <w:r w:rsidRPr="00E767D4">
              <w:t>.</w:t>
            </w:r>
          </w:p>
          <w:p w14:paraId="71F3DFDD" w14:textId="77777777" w:rsidR="000C19D9" w:rsidRPr="000D5197" w:rsidRDefault="000C19D9" w:rsidP="008A18FE">
            <w:pPr>
              <w:pStyle w:val="NoSpacing"/>
              <w:rPr>
                <w:rStyle w:val="Strong"/>
              </w:rPr>
            </w:pPr>
            <w:r w:rsidRPr="000D5197">
              <w:rPr>
                <w:rStyle w:val="Strong"/>
              </w:rPr>
              <w:t>AND</w:t>
            </w:r>
          </w:p>
          <w:p w14:paraId="33E00F95" w14:textId="6E761402" w:rsidR="000C19D9" w:rsidRPr="00E767D4" w:rsidRDefault="000C19D9" w:rsidP="00942E36">
            <w:pPr>
              <w:pStyle w:val="BulletMedicine"/>
            </w:pPr>
            <w:r w:rsidRPr="00E767D4">
              <w:t>Azithromycin, oral</w:t>
            </w:r>
            <w:r w:rsidR="008A18FE">
              <w:fldChar w:fldCharType="begin"/>
            </w:r>
            <w:r w:rsidR="008A18FE">
              <w:instrText xml:space="preserve"> XE "Azithromycin, oral" \f "m" </w:instrText>
            </w:r>
            <w:r w:rsidR="008A18FE">
              <w:fldChar w:fldCharType="end"/>
            </w:r>
            <w:r w:rsidRPr="00E767D4">
              <w:t>, 1 g as a single dose</w:t>
            </w:r>
            <w:r w:rsidR="00411BC9">
              <w:rPr>
                <w:noProof/>
              </w:rPr>
              <w:drawing>
                <wp:inline distT="0" distB="0" distL="0" distR="0" wp14:anchorId="4251ADCF" wp14:editId="5FC6F371">
                  <wp:extent cx="140335" cy="152400"/>
                  <wp:effectExtent l="0" t="0" r="0" b="0"/>
                  <wp:docPr id="179178495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0335" cy="152400"/>
                          </a:xfrm>
                          <a:prstGeom prst="rect">
                            <a:avLst/>
                          </a:prstGeom>
                          <a:noFill/>
                        </pic:spPr>
                      </pic:pic>
                    </a:graphicData>
                  </a:graphic>
                </wp:inline>
              </w:drawing>
            </w:r>
            <w:r w:rsidRPr="00E767D4">
              <w:t>.</w:t>
            </w:r>
          </w:p>
          <w:p w14:paraId="35C288FE" w14:textId="77777777" w:rsidR="000C19D9" w:rsidRPr="000D5197" w:rsidRDefault="000C19D9" w:rsidP="008A18FE">
            <w:pPr>
              <w:pStyle w:val="NoSpacing"/>
              <w:rPr>
                <w:rStyle w:val="Strong"/>
              </w:rPr>
            </w:pPr>
            <w:r w:rsidRPr="000D5197">
              <w:rPr>
                <w:rStyle w:val="Strong"/>
              </w:rPr>
              <w:t>AND</w:t>
            </w:r>
          </w:p>
          <w:p w14:paraId="030E4527" w14:textId="3C1F049B" w:rsidR="000C19D9" w:rsidRPr="00E767D4" w:rsidRDefault="000C19D9" w:rsidP="00942E36">
            <w:pPr>
              <w:pStyle w:val="BulletMedicine"/>
            </w:pPr>
            <w:r w:rsidRPr="00E767D4">
              <w:t>Aciclovir, oral</w:t>
            </w:r>
            <w:r w:rsidR="008A18FE">
              <w:fldChar w:fldCharType="begin"/>
            </w:r>
            <w:r w:rsidR="008A18FE">
              <w:instrText xml:space="preserve"> XE "Aciclovir, oral" \f "m" </w:instrText>
            </w:r>
            <w:r w:rsidR="008A18FE">
              <w:fldChar w:fldCharType="end"/>
            </w:r>
            <w:r w:rsidRPr="00E767D4">
              <w:t>, 400 mg 8 hourly for 7 days*.</w:t>
            </w:r>
          </w:p>
          <w:p w14:paraId="557FAA94" w14:textId="77777777" w:rsidR="000C19D9" w:rsidRPr="000D5197" w:rsidRDefault="000C19D9" w:rsidP="008A18FE">
            <w:pPr>
              <w:pStyle w:val="NoSpacing"/>
              <w:rPr>
                <w:rStyle w:val="Strong"/>
              </w:rPr>
            </w:pPr>
            <w:r w:rsidRPr="000D5197">
              <w:rPr>
                <w:rStyle w:val="Strong"/>
              </w:rPr>
              <w:t>AND</w:t>
            </w:r>
          </w:p>
          <w:p w14:paraId="1DBFDF90" w14:textId="77777777" w:rsidR="000C19D9" w:rsidRPr="00E767D4" w:rsidRDefault="000C19D9" w:rsidP="00942E36">
            <w:pPr>
              <w:pStyle w:val="NoSpacing"/>
              <w:ind w:left="284"/>
            </w:pPr>
            <w:r w:rsidRPr="00E767D4">
              <w:t>Treat for candidiasis, if required (see VDS flow chart).</w:t>
            </w:r>
          </w:p>
        </w:tc>
      </w:tr>
      <w:tr w:rsidR="000C19D9" w:rsidRPr="00E767D4" w14:paraId="7F5A815C" w14:textId="77777777" w:rsidTr="003C793D">
        <w:trPr>
          <w:trHeight w:val="454"/>
        </w:trPr>
        <w:tc>
          <w:tcPr>
            <w:tcW w:w="1233" w:type="pct"/>
          </w:tcPr>
          <w:p w14:paraId="74EFF0D5" w14:textId="77777777" w:rsidR="000C19D9" w:rsidRPr="00E767D4" w:rsidRDefault="000C19D9" w:rsidP="008A18FE">
            <w:pPr>
              <w:pStyle w:val="NoSpacing"/>
            </w:pPr>
            <w:r w:rsidRPr="00E767D4">
              <w:t>LAP+ GUS</w:t>
            </w:r>
          </w:p>
        </w:tc>
        <w:tc>
          <w:tcPr>
            <w:tcW w:w="3767" w:type="pct"/>
          </w:tcPr>
          <w:p w14:paraId="33F70B79" w14:textId="17CE54CF" w:rsidR="000C19D9" w:rsidRPr="00E767D4" w:rsidRDefault="000C19D9" w:rsidP="00942E36">
            <w:pPr>
              <w:pStyle w:val="BulletMedicine"/>
            </w:pPr>
            <w:r w:rsidRPr="00E767D4">
              <w:t>Ceftriaxone</w:t>
            </w:r>
            <w:r w:rsidR="008A18FE">
              <w:fldChar w:fldCharType="begin"/>
            </w:r>
            <w:r w:rsidR="008A18FE">
              <w:instrText xml:space="preserve"> XE "Ceftriaxone" \f "m" </w:instrText>
            </w:r>
            <w:r w:rsidR="008A18FE">
              <w:fldChar w:fldCharType="end"/>
            </w:r>
            <w:r w:rsidRPr="00E767D4">
              <w:t>, IM, 250 mg immediately as a single dose</w:t>
            </w:r>
            <w:r w:rsidR="00C6543D">
              <w:rPr>
                <w:noProof/>
              </w:rPr>
              <w:drawing>
                <wp:inline distT="0" distB="0" distL="0" distR="0" wp14:anchorId="2B5B1AE9" wp14:editId="04C51549">
                  <wp:extent cx="140335" cy="152400"/>
                  <wp:effectExtent l="0" t="0" r="0" b="0"/>
                  <wp:docPr id="174363801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0335" cy="152400"/>
                          </a:xfrm>
                          <a:prstGeom prst="rect">
                            <a:avLst/>
                          </a:prstGeom>
                          <a:noFill/>
                        </pic:spPr>
                      </pic:pic>
                    </a:graphicData>
                  </a:graphic>
                </wp:inline>
              </w:drawing>
            </w:r>
            <w:r w:rsidRPr="00E767D4">
              <w:t>.</w:t>
            </w:r>
          </w:p>
          <w:p w14:paraId="277FF09C" w14:textId="77777777" w:rsidR="000C19D9" w:rsidRPr="000D5197" w:rsidRDefault="000C19D9" w:rsidP="008A18FE">
            <w:pPr>
              <w:pStyle w:val="NoSpacing"/>
              <w:rPr>
                <w:rStyle w:val="Strong"/>
              </w:rPr>
            </w:pPr>
            <w:r w:rsidRPr="000D5197">
              <w:rPr>
                <w:rStyle w:val="Strong"/>
              </w:rPr>
              <w:t>AND</w:t>
            </w:r>
          </w:p>
          <w:p w14:paraId="723E475E" w14:textId="52F8C581" w:rsidR="000C19D9" w:rsidRPr="00E767D4" w:rsidRDefault="000C19D9" w:rsidP="00942E36">
            <w:pPr>
              <w:pStyle w:val="BulletMedicine"/>
            </w:pPr>
            <w:r w:rsidRPr="00E767D4">
              <w:t>Metronidazole, oral</w:t>
            </w:r>
            <w:r w:rsidR="008A18FE">
              <w:fldChar w:fldCharType="begin"/>
            </w:r>
            <w:r w:rsidR="008A18FE">
              <w:instrText xml:space="preserve"> XE "Metronidazole, oral" \f "m" </w:instrText>
            </w:r>
            <w:r w:rsidR="008A18FE">
              <w:fldChar w:fldCharType="end"/>
            </w:r>
            <w:r w:rsidRPr="00E767D4">
              <w:t>, 400 mg 12 hourly for 7days</w:t>
            </w:r>
            <w:r w:rsidR="00C6543D">
              <w:rPr>
                <w:noProof/>
              </w:rPr>
              <w:drawing>
                <wp:inline distT="0" distB="0" distL="0" distR="0" wp14:anchorId="22C130EB" wp14:editId="5F441C26">
                  <wp:extent cx="146050" cy="140335"/>
                  <wp:effectExtent l="0" t="0" r="6350" b="0"/>
                  <wp:docPr id="151265877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6050" cy="140335"/>
                          </a:xfrm>
                          <a:prstGeom prst="rect">
                            <a:avLst/>
                          </a:prstGeom>
                          <a:noFill/>
                        </pic:spPr>
                      </pic:pic>
                    </a:graphicData>
                  </a:graphic>
                </wp:inline>
              </w:drawing>
            </w:r>
            <w:r w:rsidRPr="00E767D4">
              <w:t>.</w:t>
            </w:r>
          </w:p>
          <w:p w14:paraId="5A44D1EA" w14:textId="77777777" w:rsidR="000C19D9" w:rsidRPr="000D5197" w:rsidRDefault="000C19D9" w:rsidP="008A18FE">
            <w:pPr>
              <w:pStyle w:val="NoSpacing"/>
              <w:rPr>
                <w:rStyle w:val="Strong"/>
              </w:rPr>
            </w:pPr>
            <w:r w:rsidRPr="000D5197">
              <w:rPr>
                <w:rStyle w:val="Strong"/>
              </w:rPr>
              <w:t>AND</w:t>
            </w:r>
          </w:p>
          <w:p w14:paraId="1D35E616" w14:textId="65660EA7" w:rsidR="000C19D9" w:rsidRPr="00E767D4" w:rsidRDefault="000C19D9" w:rsidP="00942E36">
            <w:pPr>
              <w:pStyle w:val="BulletMedicine"/>
            </w:pPr>
            <w:r w:rsidRPr="00E767D4">
              <w:t>Aciclovir, oral</w:t>
            </w:r>
            <w:r w:rsidR="008A18FE">
              <w:fldChar w:fldCharType="begin"/>
            </w:r>
            <w:r w:rsidR="008A18FE">
              <w:instrText xml:space="preserve"> XE "Aciclovir, oral" \f "m" </w:instrText>
            </w:r>
            <w:r w:rsidR="008A18FE">
              <w:fldChar w:fldCharType="end"/>
            </w:r>
            <w:r w:rsidRPr="00E767D4">
              <w:t>, 400 mg 8 hourly for 7 days*.</w:t>
            </w:r>
          </w:p>
          <w:p w14:paraId="37C898EF" w14:textId="77777777" w:rsidR="000C19D9" w:rsidRPr="000D5197" w:rsidRDefault="000C19D9" w:rsidP="008A18FE">
            <w:pPr>
              <w:pStyle w:val="NoSpacing"/>
              <w:rPr>
                <w:rStyle w:val="Strong"/>
              </w:rPr>
            </w:pPr>
            <w:r w:rsidRPr="000D5197">
              <w:rPr>
                <w:rStyle w:val="Strong"/>
              </w:rPr>
              <w:t>AND</w:t>
            </w:r>
          </w:p>
          <w:p w14:paraId="259FD27B" w14:textId="4F023721" w:rsidR="000C19D9" w:rsidRPr="00E767D4" w:rsidRDefault="000C19D9" w:rsidP="00942E36">
            <w:pPr>
              <w:pStyle w:val="BulletMedicine"/>
            </w:pPr>
            <w:r w:rsidRPr="00E767D4">
              <w:t>Azithromycin, oral</w:t>
            </w:r>
            <w:r w:rsidR="008A18FE">
              <w:fldChar w:fldCharType="begin"/>
            </w:r>
            <w:r w:rsidR="008A18FE">
              <w:instrText xml:space="preserve"> XE "Azithromycin, oral" \f "m" </w:instrText>
            </w:r>
            <w:r w:rsidR="008A18FE">
              <w:fldChar w:fldCharType="end"/>
            </w:r>
            <w:r w:rsidRPr="00E767D4">
              <w:t>, 1 g as a single dose</w:t>
            </w:r>
            <w:r w:rsidR="00082E83">
              <w:rPr>
                <w:noProof/>
              </w:rPr>
              <w:drawing>
                <wp:inline distT="0" distB="0" distL="0" distR="0" wp14:anchorId="15D9CE96" wp14:editId="27C1C07D">
                  <wp:extent cx="140335" cy="152400"/>
                  <wp:effectExtent l="0" t="0" r="0" b="0"/>
                  <wp:docPr id="209189311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0335" cy="152400"/>
                          </a:xfrm>
                          <a:prstGeom prst="rect">
                            <a:avLst/>
                          </a:prstGeom>
                          <a:noFill/>
                        </pic:spPr>
                      </pic:pic>
                    </a:graphicData>
                  </a:graphic>
                </wp:inline>
              </w:drawing>
            </w:r>
            <w:r w:rsidRPr="00E767D4">
              <w:t>.</w:t>
            </w:r>
          </w:p>
        </w:tc>
      </w:tr>
      <w:tr w:rsidR="000C19D9" w:rsidRPr="00E767D4" w14:paraId="1BF61FEB" w14:textId="77777777" w:rsidTr="003C793D">
        <w:trPr>
          <w:trHeight w:val="454"/>
        </w:trPr>
        <w:tc>
          <w:tcPr>
            <w:tcW w:w="1233" w:type="pct"/>
          </w:tcPr>
          <w:p w14:paraId="4E21ADF7" w14:textId="77777777" w:rsidR="000C19D9" w:rsidRPr="00E767D4" w:rsidRDefault="000C19D9" w:rsidP="008A18FE">
            <w:pPr>
              <w:pStyle w:val="NoSpacing"/>
            </w:pPr>
            <w:r w:rsidRPr="00E767D4">
              <w:t>SSW+ GUS</w:t>
            </w:r>
          </w:p>
        </w:tc>
        <w:tc>
          <w:tcPr>
            <w:tcW w:w="3767" w:type="pct"/>
          </w:tcPr>
          <w:p w14:paraId="7D1BCD32" w14:textId="1A26C7C7" w:rsidR="000C19D9" w:rsidRPr="00E767D4" w:rsidRDefault="000C19D9" w:rsidP="00942E36">
            <w:pPr>
              <w:pStyle w:val="BulletMedicine"/>
            </w:pPr>
            <w:r w:rsidRPr="00E767D4">
              <w:t>Ceftriaxone</w:t>
            </w:r>
            <w:r w:rsidR="008A18FE">
              <w:fldChar w:fldCharType="begin"/>
            </w:r>
            <w:r w:rsidR="008A18FE">
              <w:instrText xml:space="preserve"> XE "Ceftriaxone" \f "m" </w:instrText>
            </w:r>
            <w:r w:rsidR="008A18FE">
              <w:fldChar w:fldCharType="end"/>
            </w:r>
            <w:r w:rsidRPr="00E767D4">
              <w:t>, IM, 250 mg immediately as a single dose</w:t>
            </w:r>
            <w:r w:rsidR="00082E83">
              <w:rPr>
                <w:noProof/>
              </w:rPr>
              <w:drawing>
                <wp:inline distT="0" distB="0" distL="0" distR="0" wp14:anchorId="47C77414" wp14:editId="07567081">
                  <wp:extent cx="140335" cy="152400"/>
                  <wp:effectExtent l="0" t="0" r="0" b="0"/>
                  <wp:docPr id="187803532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0335" cy="152400"/>
                          </a:xfrm>
                          <a:prstGeom prst="rect">
                            <a:avLst/>
                          </a:prstGeom>
                          <a:noFill/>
                        </pic:spPr>
                      </pic:pic>
                    </a:graphicData>
                  </a:graphic>
                </wp:inline>
              </w:drawing>
            </w:r>
            <w:r w:rsidRPr="00E767D4">
              <w:t>.</w:t>
            </w:r>
          </w:p>
          <w:p w14:paraId="2E9BE9A8" w14:textId="77777777" w:rsidR="000C19D9" w:rsidRPr="000D5197" w:rsidRDefault="000C19D9" w:rsidP="008A18FE">
            <w:pPr>
              <w:pStyle w:val="NoSpacing"/>
              <w:rPr>
                <w:rStyle w:val="Strong"/>
              </w:rPr>
            </w:pPr>
            <w:r w:rsidRPr="000D5197">
              <w:rPr>
                <w:rStyle w:val="Strong"/>
              </w:rPr>
              <w:t>AND</w:t>
            </w:r>
          </w:p>
          <w:p w14:paraId="2E5F9A7D" w14:textId="7FCA5D30" w:rsidR="000C19D9" w:rsidRPr="00E767D4" w:rsidRDefault="000C19D9" w:rsidP="00942E36">
            <w:pPr>
              <w:pStyle w:val="BulletMedicine"/>
            </w:pPr>
            <w:r w:rsidRPr="00E767D4">
              <w:t>Aciclovir, oral</w:t>
            </w:r>
            <w:r w:rsidR="008A18FE">
              <w:fldChar w:fldCharType="begin"/>
            </w:r>
            <w:r w:rsidR="008A18FE">
              <w:instrText xml:space="preserve"> XE "Aciclovir, oral" \f "m" </w:instrText>
            </w:r>
            <w:r w:rsidR="008A18FE">
              <w:fldChar w:fldCharType="end"/>
            </w:r>
            <w:r w:rsidRPr="00E767D4">
              <w:t>, 400 mg 8 hourly for 7 days*.</w:t>
            </w:r>
          </w:p>
          <w:p w14:paraId="24B679B0" w14:textId="77777777" w:rsidR="000C19D9" w:rsidRPr="000D5197" w:rsidRDefault="000C19D9" w:rsidP="008A18FE">
            <w:pPr>
              <w:pStyle w:val="NoSpacing"/>
              <w:rPr>
                <w:rStyle w:val="Strong"/>
              </w:rPr>
            </w:pPr>
            <w:r w:rsidRPr="000D5197">
              <w:rPr>
                <w:rStyle w:val="Strong"/>
              </w:rPr>
              <w:t>AND</w:t>
            </w:r>
          </w:p>
          <w:p w14:paraId="07672B55" w14:textId="248652FF" w:rsidR="000C19D9" w:rsidRPr="00E767D4" w:rsidRDefault="000C19D9" w:rsidP="00942E36">
            <w:pPr>
              <w:pStyle w:val="BulletMedicine"/>
            </w:pPr>
            <w:r w:rsidRPr="00E767D4">
              <w:t>Azithromycin, oral</w:t>
            </w:r>
            <w:r w:rsidR="008A18FE">
              <w:fldChar w:fldCharType="begin"/>
            </w:r>
            <w:r w:rsidR="008A18FE">
              <w:instrText xml:space="preserve"> XE "Azithromycin, oral" \f "m" </w:instrText>
            </w:r>
            <w:r w:rsidR="008A18FE">
              <w:fldChar w:fldCharType="end"/>
            </w:r>
            <w:r w:rsidRPr="00E767D4">
              <w:t>, 1 g as a single dose</w:t>
            </w:r>
            <w:r w:rsidR="00082E83">
              <w:rPr>
                <w:noProof/>
              </w:rPr>
              <w:drawing>
                <wp:inline distT="0" distB="0" distL="0" distR="0" wp14:anchorId="6CE5B9A8" wp14:editId="1300E60E">
                  <wp:extent cx="140335" cy="152400"/>
                  <wp:effectExtent l="0" t="0" r="0" b="0"/>
                  <wp:docPr id="8526901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0335" cy="152400"/>
                          </a:xfrm>
                          <a:prstGeom prst="rect">
                            <a:avLst/>
                          </a:prstGeom>
                          <a:noFill/>
                        </pic:spPr>
                      </pic:pic>
                    </a:graphicData>
                  </a:graphic>
                </wp:inline>
              </w:drawing>
            </w:r>
            <w:r w:rsidRPr="00E767D4">
              <w:t>.</w:t>
            </w:r>
          </w:p>
        </w:tc>
      </w:tr>
      <w:tr w:rsidR="000C19D9" w:rsidRPr="00E767D4" w14:paraId="12855A45" w14:textId="77777777" w:rsidTr="003C793D">
        <w:trPr>
          <w:trHeight w:val="454"/>
        </w:trPr>
        <w:tc>
          <w:tcPr>
            <w:tcW w:w="5000" w:type="pct"/>
            <w:gridSpan w:val="2"/>
          </w:tcPr>
          <w:p w14:paraId="4C332B26" w14:textId="77777777" w:rsidR="000C19D9" w:rsidRPr="000A39EC" w:rsidRDefault="000C19D9" w:rsidP="00942E36">
            <w:pPr>
              <w:rPr>
                <w:rStyle w:val="Strong"/>
              </w:rPr>
            </w:pPr>
            <w:r w:rsidRPr="000A39EC">
              <w:rPr>
                <w:rStyle w:val="Strong"/>
              </w:rPr>
              <w:t>*Treat with aciclovir only if HIV status is positive or unknown.</w:t>
            </w:r>
          </w:p>
          <w:p w14:paraId="62DCDD30" w14:textId="77777777" w:rsidR="000C19D9" w:rsidRPr="000A39EC" w:rsidRDefault="000C19D9" w:rsidP="00942E36">
            <w:pPr>
              <w:rPr>
                <w:rStyle w:val="Strong"/>
              </w:rPr>
            </w:pPr>
            <w:r w:rsidRPr="000A39EC">
              <w:rPr>
                <w:rStyle w:val="Strong"/>
              </w:rPr>
              <w:t>**Penicillin allergic men and non-pregnant women avoid ceftriaxone and refer to relevant algorithms.</w:t>
            </w:r>
          </w:p>
          <w:p w14:paraId="7E90C292" w14:textId="77777777" w:rsidR="000C19D9" w:rsidRPr="00E767D4" w:rsidRDefault="000C19D9" w:rsidP="00942E36">
            <w:r w:rsidRPr="000A39EC">
              <w:rPr>
                <w:rStyle w:val="Strong"/>
              </w:rPr>
              <w:t>Penicillin allergic pregnant/breastfeeding women, refer for penicillin desensitisation.</w:t>
            </w:r>
          </w:p>
        </w:tc>
      </w:tr>
    </w:tbl>
    <w:p w14:paraId="049A55B8" w14:textId="77777777" w:rsidR="000C19D9" w:rsidRPr="00E767D4" w:rsidRDefault="000C19D9" w:rsidP="000C19D9">
      <w:pPr>
        <w:pStyle w:val="NoSpacing"/>
      </w:pPr>
      <w:bookmarkStart w:id="22" w:name="_Toc54155976"/>
      <w:bookmarkStart w:id="23" w:name="_Toc54193759"/>
      <w:bookmarkStart w:id="24" w:name="_Toc54194629"/>
      <w:bookmarkStart w:id="25" w:name="_Toc54195535"/>
      <w:bookmarkStart w:id="26" w:name="_Toc54258189"/>
    </w:p>
    <w:p w14:paraId="2FD734F5" w14:textId="50DA4EA5" w:rsidR="000C19D9" w:rsidRPr="00091B12" w:rsidRDefault="00091B12" w:rsidP="00091B12">
      <w:pPr>
        <w:pStyle w:val="Heading2"/>
      </w:pPr>
      <w:bookmarkStart w:id="27" w:name="_Toc57788621"/>
      <w:bookmarkStart w:id="28" w:name="_Toc57792320"/>
      <w:r w:rsidRPr="00091B12">
        <w:t>Treatment of partners</w:t>
      </w:r>
      <w:bookmarkEnd w:id="27"/>
      <w:bookmarkEnd w:id="28"/>
      <w:r w:rsidR="003D3FDA">
        <w:fldChar w:fldCharType="begin"/>
      </w:r>
      <w:r w:rsidR="003D3FDA">
        <w:instrText xml:space="preserve"> XE "</w:instrText>
      </w:r>
      <w:r w:rsidR="003D3FDA" w:rsidRPr="0037039D">
        <w:instrText>Treatment of partners</w:instrText>
      </w:r>
      <w:r w:rsidR="003D3FDA">
        <w:instrText xml:space="preserve">" </w:instrText>
      </w:r>
      <w:r w:rsidR="003D3FDA" w:rsidRPr="003D3FDA">
        <w:instrText>\f “c”</w:instrText>
      </w:r>
      <w:r w:rsidR="003D3FDA">
        <w:fldChar w:fldCharType="end"/>
      </w:r>
    </w:p>
    <w:p w14:paraId="6E176EEC" w14:textId="77777777" w:rsidR="000C19D9" w:rsidRPr="00E767D4" w:rsidRDefault="000C19D9" w:rsidP="000C19D9">
      <w:pPr>
        <w:pStyle w:val="NoSpacing"/>
      </w:pPr>
    </w:p>
    <w:tbl>
      <w:tblPr>
        <w:tblStyle w:val="SamplePHCTable"/>
        <w:tblW w:w="5000" w:type="pct"/>
        <w:tblLook w:val="04A0" w:firstRow="1" w:lastRow="0" w:firstColumn="1" w:lastColumn="0" w:noHBand="0" w:noVBand="1"/>
      </w:tblPr>
      <w:tblGrid>
        <w:gridCol w:w="985"/>
        <w:gridCol w:w="2642"/>
        <w:gridCol w:w="3052"/>
      </w:tblGrid>
      <w:tr w:rsidR="000C19D9" w:rsidRPr="00E767D4" w14:paraId="1B218EEF" w14:textId="77777777" w:rsidTr="000A39EC">
        <w:trPr>
          <w:cnfStyle w:val="100000000000" w:firstRow="1" w:lastRow="0" w:firstColumn="0" w:lastColumn="0" w:oddVBand="0" w:evenVBand="0" w:oddHBand="0" w:evenHBand="0" w:firstRowFirstColumn="0" w:firstRowLastColumn="0" w:lastRowFirstColumn="0" w:lastRowLastColumn="0"/>
        </w:trPr>
        <w:tc>
          <w:tcPr>
            <w:tcW w:w="737" w:type="pct"/>
          </w:tcPr>
          <w:p w14:paraId="14073E5C" w14:textId="77777777" w:rsidR="000C19D9" w:rsidRPr="00E767D4" w:rsidRDefault="000C19D9" w:rsidP="008A18FE">
            <w:pPr>
              <w:pStyle w:val="NoSpacing"/>
            </w:pPr>
            <w:r w:rsidRPr="00E767D4">
              <w:t>Syndrome</w:t>
            </w:r>
          </w:p>
        </w:tc>
        <w:tc>
          <w:tcPr>
            <w:tcW w:w="1978" w:type="pct"/>
          </w:tcPr>
          <w:p w14:paraId="74F0152D" w14:textId="77777777" w:rsidR="000C19D9" w:rsidRPr="00E767D4" w:rsidRDefault="000C19D9" w:rsidP="008A18FE">
            <w:pPr>
              <w:pStyle w:val="NoSpacing"/>
            </w:pPr>
            <w:r w:rsidRPr="00E767D4">
              <w:t>Asymptomatic partner</w:t>
            </w:r>
          </w:p>
        </w:tc>
        <w:tc>
          <w:tcPr>
            <w:tcW w:w="2285" w:type="pct"/>
          </w:tcPr>
          <w:p w14:paraId="396963AC" w14:textId="77777777" w:rsidR="000C19D9" w:rsidRPr="00E767D4" w:rsidRDefault="000C19D9" w:rsidP="008A18FE">
            <w:pPr>
              <w:pStyle w:val="NoSpacing"/>
            </w:pPr>
            <w:r w:rsidRPr="00E767D4">
              <w:t>Symptomatic partner</w:t>
            </w:r>
          </w:p>
        </w:tc>
      </w:tr>
      <w:tr w:rsidR="000C19D9" w:rsidRPr="00E767D4" w14:paraId="27DAF67A" w14:textId="77777777" w:rsidTr="000A39EC">
        <w:tc>
          <w:tcPr>
            <w:tcW w:w="737" w:type="pct"/>
          </w:tcPr>
          <w:p w14:paraId="71752B4E" w14:textId="77777777" w:rsidR="000C19D9" w:rsidRPr="00D910BB" w:rsidRDefault="000C19D9" w:rsidP="008A18FE">
            <w:pPr>
              <w:pStyle w:val="NoSpacing"/>
              <w:rPr>
                <w:rStyle w:val="Strong"/>
              </w:rPr>
            </w:pPr>
            <w:r w:rsidRPr="00D910BB">
              <w:rPr>
                <w:rStyle w:val="Strong"/>
              </w:rPr>
              <w:t>VDS</w:t>
            </w:r>
          </w:p>
        </w:tc>
        <w:tc>
          <w:tcPr>
            <w:tcW w:w="1978" w:type="pct"/>
          </w:tcPr>
          <w:p w14:paraId="370B504A" w14:textId="3D70D0C0" w:rsidR="000C19D9" w:rsidRPr="00E767D4" w:rsidRDefault="000C19D9" w:rsidP="00D910BB">
            <w:pPr>
              <w:pStyle w:val="BulletMedicine"/>
            </w:pPr>
            <w:r w:rsidRPr="00E767D4">
              <w:t>Ceftriaxone</w:t>
            </w:r>
            <w:r w:rsidR="008A18FE">
              <w:fldChar w:fldCharType="begin"/>
            </w:r>
            <w:r w:rsidR="008A18FE">
              <w:instrText xml:space="preserve"> XE "Ceftriaxone" \f "m" </w:instrText>
            </w:r>
            <w:r w:rsidR="008A18FE">
              <w:fldChar w:fldCharType="end"/>
            </w:r>
            <w:r w:rsidRPr="00E767D4">
              <w:t>, IM, 250 mg immediately as a single dose.</w:t>
            </w:r>
          </w:p>
          <w:p w14:paraId="4813F196" w14:textId="77777777" w:rsidR="000C19D9" w:rsidRPr="00D910BB" w:rsidRDefault="000C19D9" w:rsidP="008A18FE">
            <w:pPr>
              <w:pStyle w:val="NoSpacing"/>
              <w:rPr>
                <w:rStyle w:val="Strong"/>
              </w:rPr>
            </w:pPr>
            <w:r w:rsidRPr="00D910BB">
              <w:rPr>
                <w:rStyle w:val="Strong"/>
              </w:rPr>
              <w:t>AND</w:t>
            </w:r>
          </w:p>
          <w:p w14:paraId="4027E501" w14:textId="151DADDB" w:rsidR="000C19D9" w:rsidRPr="00E767D4" w:rsidRDefault="000C19D9" w:rsidP="00D910BB">
            <w:pPr>
              <w:pStyle w:val="BulletMedicine"/>
            </w:pPr>
            <w:r w:rsidRPr="00E767D4">
              <w:t>Metronidazole, oral</w:t>
            </w:r>
            <w:r w:rsidR="008A18FE">
              <w:fldChar w:fldCharType="begin"/>
            </w:r>
            <w:r w:rsidR="008A18FE">
              <w:instrText xml:space="preserve"> XE "Metronidazole, oral" \f "m" </w:instrText>
            </w:r>
            <w:r w:rsidR="008A18FE">
              <w:fldChar w:fldCharType="end"/>
            </w:r>
            <w:r w:rsidRPr="00E767D4">
              <w:t>, 2 g immediately as a single dose.</w:t>
            </w:r>
          </w:p>
          <w:p w14:paraId="55892536" w14:textId="77777777" w:rsidR="000C19D9" w:rsidRPr="00D910BB" w:rsidRDefault="000C19D9" w:rsidP="008A18FE">
            <w:pPr>
              <w:pStyle w:val="NoSpacing"/>
              <w:rPr>
                <w:rStyle w:val="Strong"/>
              </w:rPr>
            </w:pPr>
            <w:r w:rsidRPr="00D910BB">
              <w:rPr>
                <w:rStyle w:val="Strong"/>
              </w:rPr>
              <w:t>AND</w:t>
            </w:r>
          </w:p>
          <w:p w14:paraId="09657E42" w14:textId="605DE089" w:rsidR="000C19D9" w:rsidRPr="00E767D4" w:rsidRDefault="000C19D9" w:rsidP="00D910BB">
            <w:pPr>
              <w:pStyle w:val="BulletMedicine"/>
            </w:pPr>
            <w:r w:rsidRPr="00E767D4">
              <w:t>Azithromycin, oral</w:t>
            </w:r>
            <w:r w:rsidR="008A18FE">
              <w:fldChar w:fldCharType="begin"/>
            </w:r>
            <w:r w:rsidR="008A18FE">
              <w:instrText xml:space="preserve"> XE "Azithromycin, oral" \f "m" </w:instrText>
            </w:r>
            <w:r w:rsidR="008A18FE">
              <w:fldChar w:fldCharType="end"/>
            </w:r>
            <w:r w:rsidRPr="00E767D4">
              <w:t>, 1 g as a single dose.</w:t>
            </w:r>
          </w:p>
        </w:tc>
        <w:tc>
          <w:tcPr>
            <w:tcW w:w="2285" w:type="pct"/>
          </w:tcPr>
          <w:p w14:paraId="15A96433" w14:textId="5EEE1ACB" w:rsidR="000C19D9" w:rsidRPr="00E767D4" w:rsidRDefault="000C19D9" w:rsidP="00D910BB">
            <w:pPr>
              <w:pStyle w:val="BulletMedicine"/>
            </w:pPr>
            <w:r w:rsidRPr="00E767D4">
              <w:t>Ceftriaxone</w:t>
            </w:r>
            <w:r w:rsidR="008A18FE">
              <w:fldChar w:fldCharType="begin"/>
            </w:r>
            <w:r w:rsidR="008A18FE">
              <w:instrText xml:space="preserve"> XE "Ceftriaxone" \f "m" </w:instrText>
            </w:r>
            <w:r w:rsidR="008A18FE">
              <w:fldChar w:fldCharType="end"/>
            </w:r>
            <w:r w:rsidRPr="00E767D4">
              <w:t>, IM, 250 mg immediately as a single dose.</w:t>
            </w:r>
          </w:p>
          <w:p w14:paraId="1E75B12D" w14:textId="77777777" w:rsidR="000C19D9" w:rsidRPr="00D910BB" w:rsidRDefault="000C19D9" w:rsidP="008A18FE">
            <w:pPr>
              <w:pStyle w:val="NoSpacing"/>
              <w:rPr>
                <w:rStyle w:val="Strong"/>
              </w:rPr>
            </w:pPr>
            <w:r w:rsidRPr="00D910BB">
              <w:rPr>
                <w:rStyle w:val="Strong"/>
              </w:rPr>
              <w:t>AND</w:t>
            </w:r>
          </w:p>
          <w:p w14:paraId="241ACB1D" w14:textId="4B8C5A41" w:rsidR="000C19D9" w:rsidRPr="00E767D4" w:rsidRDefault="000C19D9" w:rsidP="00D910BB">
            <w:pPr>
              <w:pStyle w:val="BulletMedicine"/>
            </w:pPr>
            <w:r w:rsidRPr="00E767D4">
              <w:t>Metronidazole, oral</w:t>
            </w:r>
            <w:r w:rsidR="008A18FE">
              <w:fldChar w:fldCharType="begin"/>
            </w:r>
            <w:r w:rsidR="008A18FE">
              <w:instrText xml:space="preserve"> XE "Metronidazole, oral" \f "m" </w:instrText>
            </w:r>
            <w:r w:rsidR="008A18FE">
              <w:fldChar w:fldCharType="end"/>
            </w:r>
            <w:r w:rsidRPr="00E767D4">
              <w:t>, 2 g immediately as a single dose.</w:t>
            </w:r>
          </w:p>
          <w:p w14:paraId="32EEE11E" w14:textId="77777777" w:rsidR="000C19D9" w:rsidRPr="00D910BB" w:rsidRDefault="000C19D9" w:rsidP="008A18FE">
            <w:pPr>
              <w:pStyle w:val="NoSpacing"/>
              <w:rPr>
                <w:rStyle w:val="Strong"/>
              </w:rPr>
            </w:pPr>
            <w:r w:rsidRPr="00D910BB">
              <w:rPr>
                <w:rStyle w:val="Strong"/>
              </w:rPr>
              <w:t>AND</w:t>
            </w:r>
          </w:p>
          <w:p w14:paraId="113EFD9D" w14:textId="04D0378D" w:rsidR="000C19D9" w:rsidRPr="00E767D4" w:rsidRDefault="000C19D9" w:rsidP="00D910BB">
            <w:pPr>
              <w:pStyle w:val="BulletMedicine"/>
            </w:pPr>
            <w:r w:rsidRPr="00E767D4">
              <w:t>Azithromycin, oral</w:t>
            </w:r>
            <w:r w:rsidR="008A18FE">
              <w:fldChar w:fldCharType="begin"/>
            </w:r>
            <w:r w:rsidR="008A18FE">
              <w:instrText xml:space="preserve"> XE "Azithromycin, oral" \f "m" </w:instrText>
            </w:r>
            <w:r w:rsidR="008A18FE">
              <w:fldChar w:fldCharType="end"/>
            </w:r>
            <w:r w:rsidRPr="00E767D4">
              <w:t>, 1 g as a single dose.</w:t>
            </w:r>
          </w:p>
          <w:p w14:paraId="38942EFA" w14:textId="77777777" w:rsidR="000C19D9" w:rsidRPr="00E767D4" w:rsidRDefault="000C19D9" w:rsidP="008A18FE">
            <w:pPr>
              <w:pStyle w:val="NoSpacing"/>
            </w:pPr>
            <w:r w:rsidRPr="00E767D4">
              <w:t>PLUS treatment for syndrome present if not included in the above.</w:t>
            </w:r>
          </w:p>
        </w:tc>
      </w:tr>
      <w:tr w:rsidR="000C19D9" w:rsidRPr="00E767D4" w14:paraId="230534AC" w14:textId="77777777" w:rsidTr="000A39EC">
        <w:tc>
          <w:tcPr>
            <w:tcW w:w="737" w:type="pct"/>
          </w:tcPr>
          <w:p w14:paraId="162E6F01" w14:textId="77777777" w:rsidR="000C19D9" w:rsidRPr="00D910BB" w:rsidRDefault="000C19D9" w:rsidP="008A18FE">
            <w:pPr>
              <w:pStyle w:val="NoSpacing"/>
              <w:rPr>
                <w:rStyle w:val="Strong"/>
              </w:rPr>
            </w:pPr>
            <w:r w:rsidRPr="00D910BB">
              <w:rPr>
                <w:rStyle w:val="Strong"/>
              </w:rPr>
              <w:t>LAP</w:t>
            </w:r>
          </w:p>
        </w:tc>
        <w:tc>
          <w:tcPr>
            <w:tcW w:w="1978" w:type="pct"/>
          </w:tcPr>
          <w:p w14:paraId="0E65342F" w14:textId="1EA82262" w:rsidR="000C19D9" w:rsidRPr="00E767D4" w:rsidRDefault="000C19D9" w:rsidP="00D910BB">
            <w:pPr>
              <w:pStyle w:val="BulletMedicine"/>
            </w:pPr>
            <w:r w:rsidRPr="00E767D4">
              <w:t>Ceftriaxone</w:t>
            </w:r>
            <w:r w:rsidR="008A18FE">
              <w:fldChar w:fldCharType="begin"/>
            </w:r>
            <w:r w:rsidR="008A18FE">
              <w:instrText xml:space="preserve"> XE "Ceftriaxone" \f "m" </w:instrText>
            </w:r>
            <w:r w:rsidR="008A18FE">
              <w:fldChar w:fldCharType="end"/>
            </w:r>
            <w:r w:rsidRPr="00E767D4">
              <w:t>, IM, 250 mg immediately as a single dose.</w:t>
            </w:r>
          </w:p>
          <w:p w14:paraId="5B8FB91A" w14:textId="77777777" w:rsidR="000C19D9" w:rsidRPr="00D910BB" w:rsidRDefault="000C19D9" w:rsidP="008A18FE">
            <w:pPr>
              <w:pStyle w:val="NoSpacing"/>
              <w:rPr>
                <w:rStyle w:val="Strong"/>
              </w:rPr>
            </w:pPr>
            <w:r w:rsidRPr="00D910BB">
              <w:rPr>
                <w:rStyle w:val="Strong"/>
              </w:rPr>
              <w:t>AND</w:t>
            </w:r>
          </w:p>
          <w:p w14:paraId="33BD05F8" w14:textId="60C98B2D" w:rsidR="000C19D9" w:rsidRPr="00E767D4" w:rsidRDefault="000C19D9" w:rsidP="00D910BB">
            <w:pPr>
              <w:pStyle w:val="BulletMedicine"/>
            </w:pPr>
            <w:r w:rsidRPr="00E767D4">
              <w:lastRenderedPageBreak/>
              <w:t>Metronidazole, oral</w:t>
            </w:r>
            <w:r w:rsidR="008A18FE">
              <w:fldChar w:fldCharType="begin"/>
            </w:r>
            <w:r w:rsidR="008A18FE">
              <w:instrText xml:space="preserve"> XE "Metronidazole, oral" \f "m" </w:instrText>
            </w:r>
            <w:r w:rsidR="008A18FE">
              <w:fldChar w:fldCharType="end"/>
            </w:r>
            <w:r w:rsidRPr="00E767D4">
              <w:t>, 2 g immediately as a single dose.</w:t>
            </w:r>
          </w:p>
          <w:p w14:paraId="759AC7AB" w14:textId="77777777" w:rsidR="000C19D9" w:rsidRPr="00D910BB" w:rsidRDefault="000C19D9" w:rsidP="008A18FE">
            <w:pPr>
              <w:pStyle w:val="NoSpacing"/>
              <w:rPr>
                <w:rStyle w:val="Strong"/>
              </w:rPr>
            </w:pPr>
            <w:r w:rsidRPr="00D910BB">
              <w:rPr>
                <w:rStyle w:val="Strong"/>
              </w:rPr>
              <w:t>AND</w:t>
            </w:r>
          </w:p>
          <w:p w14:paraId="4DEADD63" w14:textId="064788F6" w:rsidR="000C19D9" w:rsidRPr="00E767D4" w:rsidRDefault="000C19D9" w:rsidP="00D910BB">
            <w:pPr>
              <w:pStyle w:val="BulletMedicine"/>
            </w:pPr>
            <w:r w:rsidRPr="00E767D4">
              <w:t>Azithromycin, oral</w:t>
            </w:r>
            <w:r w:rsidR="008A18FE">
              <w:fldChar w:fldCharType="begin"/>
            </w:r>
            <w:r w:rsidR="008A18FE">
              <w:instrText xml:space="preserve"> XE "Azithromycin, oral" \f "m" </w:instrText>
            </w:r>
            <w:r w:rsidR="008A18FE">
              <w:fldChar w:fldCharType="end"/>
            </w:r>
            <w:r w:rsidRPr="00E767D4">
              <w:t>, 1 g as a single dose.</w:t>
            </w:r>
          </w:p>
        </w:tc>
        <w:tc>
          <w:tcPr>
            <w:tcW w:w="2285" w:type="pct"/>
          </w:tcPr>
          <w:p w14:paraId="463BF8F4" w14:textId="15E878E8" w:rsidR="000C19D9" w:rsidRPr="00E767D4" w:rsidRDefault="000C19D9" w:rsidP="00D910BB">
            <w:pPr>
              <w:pStyle w:val="BulletMedicine"/>
            </w:pPr>
            <w:r w:rsidRPr="00E767D4">
              <w:lastRenderedPageBreak/>
              <w:t>Ceftriaxone</w:t>
            </w:r>
            <w:r w:rsidR="008A18FE">
              <w:fldChar w:fldCharType="begin"/>
            </w:r>
            <w:r w:rsidR="008A18FE">
              <w:instrText xml:space="preserve"> XE "Ceftriaxone" \f "m" </w:instrText>
            </w:r>
            <w:r w:rsidR="008A18FE">
              <w:fldChar w:fldCharType="end"/>
            </w:r>
            <w:r w:rsidRPr="00E767D4">
              <w:t>, IM, 250 mg immediately as a single dose.</w:t>
            </w:r>
          </w:p>
          <w:p w14:paraId="05CA8841" w14:textId="77777777" w:rsidR="000C19D9" w:rsidRPr="00D910BB" w:rsidRDefault="000C19D9" w:rsidP="008A18FE">
            <w:pPr>
              <w:pStyle w:val="NoSpacing"/>
              <w:rPr>
                <w:rStyle w:val="Strong"/>
              </w:rPr>
            </w:pPr>
            <w:r w:rsidRPr="00D910BB">
              <w:rPr>
                <w:rStyle w:val="Strong"/>
              </w:rPr>
              <w:t>AND</w:t>
            </w:r>
          </w:p>
          <w:p w14:paraId="45D9D066" w14:textId="5A03CE12" w:rsidR="000C19D9" w:rsidRPr="00E767D4" w:rsidRDefault="000C19D9" w:rsidP="00D910BB">
            <w:pPr>
              <w:pStyle w:val="BulletMedicine"/>
            </w:pPr>
            <w:r w:rsidRPr="00E767D4">
              <w:lastRenderedPageBreak/>
              <w:t>Metronidazole, oral</w:t>
            </w:r>
            <w:r w:rsidR="008A18FE">
              <w:fldChar w:fldCharType="begin"/>
            </w:r>
            <w:r w:rsidR="008A18FE">
              <w:instrText xml:space="preserve"> XE "Metronidazole, oral" \f "m" </w:instrText>
            </w:r>
            <w:r w:rsidR="008A18FE">
              <w:fldChar w:fldCharType="end"/>
            </w:r>
            <w:r w:rsidRPr="00E767D4">
              <w:t>, 2 g immediately as a single dose.</w:t>
            </w:r>
          </w:p>
          <w:p w14:paraId="501CA807" w14:textId="77777777" w:rsidR="000C19D9" w:rsidRPr="00D910BB" w:rsidRDefault="000C19D9" w:rsidP="008A18FE">
            <w:pPr>
              <w:pStyle w:val="NoSpacing"/>
              <w:rPr>
                <w:rStyle w:val="Strong"/>
              </w:rPr>
            </w:pPr>
            <w:r w:rsidRPr="00D910BB">
              <w:rPr>
                <w:rStyle w:val="Strong"/>
              </w:rPr>
              <w:t>AND</w:t>
            </w:r>
          </w:p>
          <w:p w14:paraId="7666FF9D" w14:textId="0BA4D937" w:rsidR="000C19D9" w:rsidRPr="00E767D4" w:rsidRDefault="000C19D9" w:rsidP="00D910BB">
            <w:pPr>
              <w:pStyle w:val="BulletMedicine"/>
            </w:pPr>
            <w:r w:rsidRPr="00E767D4">
              <w:t>Azithromycin, oral</w:t>
            </w:r>
            <w:r w:rsidR="008A18FE">
              <w:fldChar w:fldCharType="begin"/>
            </w:r>
            <w:r w:rsidR="008A18FE">
              <w:instrText xml:space="preserve"> XE "Azithromycin, oral" \f "m" </w:instrText>
            </w:r>
            <w:r w:rsidR="008A18FE">
              <w:fldChar w:fldCharType="end"/>
            </w:r>
            <w:r w:rsidRPr="00E767D4">
              <w:t>, 1 g as a single dose.</w:t>
            </w:r>
          </w:p>
          <w:p w14:paraId="68691987" w14:textId="77777777" w:rsidR="000C19D9" w:rsidRPr="00E767D4" w:rsidRDefault="000C19D9" w:rsidP="008A18FE">
            <w:pPr>
              <w:pStyle w:val="NoSpacing"/>
            </w:pPr>
            <w:r w:rsidRPr="00E767D4">
              <w:t>PLUS treatment for syndrome present if not included in the above.</w:t>
            </w:r>
          </w:p>
        </w:tc>
      </w:tr>
      <w:tr w:rsidR="000C19D9" w:rsidRPr="00E767D4" w14:paraId="19950F92" w14:textId="77777777" w:rsidTr="000A39EC">
        <w:tc>
          <w:tcPr>
            <w:tcW w:w="737" w:type="pct"/>
          </w:tcPr>
          <w:p w14:paraId="19C28227" w14:textId="77777777" w:rsidR="000C19D9" w:rsidRPr="00D910BB" w:rsidRDefault="000C19D9" w:rsidP="008A18FE">
            <w:pPr>
              <w:pStyle w:val="NoSpacing"/>
              <w:rPr>
                <w:rStyle w:val="Strong"/>
              </w:rPr>
            </w:pPr>
            <w:r w:rsidRPr="00D910BB">
              <w:rPr>
                <w:rStyle w:val="Strong"/>
              </w:rPr>
              <w:lastRenderedPageBreak/>
              <w:t>MUS</w:t>
            </w:r>
          </w:p>
        </w:tc>
        <w:tc>
          <w:tcPr>
            <w:tcW w:w="1978" w:type="pct"/>
          </w:tcPr>
          <w:p w14:paraId="5607D993" w14:textId="63EE0E9C" w:rsidR="000C19D9" w:rsidRPr="00E767D4" w:rsidRDefault="000C19D9" w:rsidP="005B6432">
            <w:pPr>
              <w:pStyle w:val="BulletMedicine"/>
            </w:pPr>
            <w:r w:rsidRPr="00E767D4">
              <w:t>Ceftriaxone</w:t>
            </w:r>
            <w:r w:rsidR="008A18FE">
              <w:fldChar w:fldCharType="begin"/>
            </w:r>
            <w:r w:rsidR="008A18FE">
              <w:instrText xml:space="preserve"> XE "Ceftriaxone" \f "m" </w:instrText>
            </w:r>
            <w:r w:rsidR="008A18FE">
              <w:fldChar w:fldCharType="end"/>
            </w:r>
            <w:r w:rsidRPr="00E767D4">
              <w:t>, IM, 250 mg immediately as a single dose.</w:t>
            </w:r>
          </w:p>
          <w:p w14:paraId="0632BA37" w14:textId="77777777" w:rsidR="000C19D9" w:rsidRPr="00532684" w:rsidRDefault="000C19D9" w:rsidP="008A18FE">
            <w:pPr>
              <w:pStyle w:val="NoSpacing"/>
              <w:rPr>
                <w:rStyle w:val="Strong"/>
              </w:rPr>
            </w:pPr>
            <w:r w:rsidRPr="00532684">
              <w:rPr>
                <w:rStyle w:val="Strong"/>
              </w:rPr>
              <w:t>AND</w:t>
            </w:r>
          </w:p>
          <w:p w14:paraId="270755C3" w14:textId="4E1A888E" w:rsidR="000C19D9" w:rsidRPr="00E767D4" w:rsidRDefault="000C19D9" w:rsidP="005B6432">
            <w:pPr>
              <w:pStyle w:val="BulletMedicine"/>
            </w:pPr>
            <w:r w:rsidRPr="00E767D4">
              <w:t>Azithromycin, oral</w:t>
            </w:r>
            <w:r w:rsidR="008A18FE">
              <w:fldChar w:fldCharType="begin"/>
            </w:r>
            <w:r w:rsidR="008A18FE">
              <w:instrText xml:space="preserve"> XE "Azithromycin, oral" \f "m" </w:instrText>
            </w:r>
            <w:r w:rsidR="008A18FE">
              <w:fldChar w:fldCharType="end"/>
            </w:r>
            <w:r w:rsidRPr="00E767D4">
              <w:t>, 1 g as a single dose.</w:t>
            </w:r>
          </w:p>
        </w:tc>
        <w:tc>
          <w:tcPr>
            <w:tcW w:w="2285" w:type="pct"/>
          </w:tcPr>
          <w:p w14:paraId="5F71D58E" w14:textId="054EC7C7" w:rsidR="000C19D9" w:rsidRPr="00E767D4" w:rsidRDefault="000C19D9" w:rsidP="005B6432">
            <w:pPr>
              <w:pStyle w:val="BulletMedicine"/>
            </w:pPr>
            <w:r w:rsidRPr="00E767D4">
              <w:t>Ceftriaxone</w:t>
            </w:r>
            <w:r w:rsidR="008A18FE">
              <w:fldChar w:fldCharType="begin"/>
            </w:r>
            <w:r w:rsidR="008A18FE">
              <w:instrText xml:space="preserve"> XE "Ceftriaxone" \f "m" </w:instrText>
            </w:r>
            <w:r w:rsidR="008A18FE">
              <w:fldChar w:fldCharType="end"/>
            </w:r>
            <w:r w:rsidRPr="00E767D4">
              <w:t>, IM, 250 mg immediately as a single dose.</w:t>
            </w:r>
          </w:p>
          <w:p w14:paraId="2D1A9FE0" w14:textId="77777777" w:rsidR="000C19D9" w:rsidRPr="00532684" w:rsidRDefault="000C19D9" w:rsidP="008A18FE">
            <w:pPr>
              <w:pStyle w:val="NoSpacing"/>
              <w:rPr>
                <w:rStyle w:val="Strong"/>
              </w:rPr>
            </w:pPr>
            <w:r w:rsidRPr="00532684">
              <w:rPr>
                <w:rStyle w:val="Strong"/>
              </w:rPr>
              <w:t>AND</w:t>
            </w:r>
          </w:p>
          <w:p w14:paraId="71740E71" w14:textId="6966839A" w:rsidR="000C19D9" w:rsidRPr="00E767D4" w:rsidRDefault="000C19D9" w:rsidP="005B6432">
            <w:pPr>
              <w:pStyle w:val="BulletMedicine"/>
            </w:pPr>
            <w:r w:rsidRPr="00E767D4">
              <w:t>Azithromycin, oral</w:t>
            </w:r>
            <w:r w:rsidR="008A18FE">
              <w:fldChar w:fldCharType="begin"/>
            </w:r>
            <w:r w:rsidR="008A18FE">
              <w:instrText xml:space="preserve"> XE "Azithromycin, oral" \f "m" </w:instrText>
            </w:r>
            <w:r w:rsidR="008A18FE">
              <w:fldChar w:fldCharType="end"/>
            </w:r>
            <w:r w:rsidRPr="00E767D4">
              <w:t>, 1 g as a single dose.</w:t>
            </w:r>
          </w:p>
          <w:p w14:paraId="0C5AFC7D" w14:textId="77777777" w:rsidR="000C19D9" w:rsidRPr="00E767D4" w:rsidRDefault="000C19D9" w:rsidP="008A18FE">
            <w:pPr>
              <w:pStyle w:val="NoSpacing"/>
            </w:pPr>
            <w:r w:rsidRPr="00E767D4">
              <w:t>PLUS treatment for syndrome present if not included in the above (see VDS flow chart).</w:t>
            </w:r>
          </w:p>
        </w:tc>
      </w:tr>
      <w:tr w:rsidR="000C19D9" w:rsidRPr="00E767D4" w14:paraId="4407A0A3" w14:textId="77777777" w:rsidTr="000A39EC">
        <w:tc>
          <w:tcPr>
            <w:tcW w:w="737" w:type="pct"/>
          </w:tcPr>
          <w:p w14:paraId="06830472" w14:textId="77777777" w:rsidR="000C19D9" w:rsidRPr="00D910BB" w:rsidRDefault="000C19D9" w:rsidP="008A18FE">
            <w:pPr>
              <w:pStyle w:val="NoSpacing"/>
              <w:rPr>
                <w:rStyle w:val="Strong"/>
              </w:rPr>
            </w:pPr>
            <w:r w:rsidRPr="00D910BB">
              <w:rPr>
                <w:rStyle w:val="Strong"/>
              </w:rPr>
              <w:t>Scrotal swelling</w:t>
            </w:r>
          </w:p>
        </w:tc>
        <w:tc>
          <w:tcPr>
            <w:tcW w:w="1978" w:type="pct"/>
          </w:tcPr>
          <w:p w14:paraId="6B4E49ED" w14:textId="13AD436F" w:rsidR="000C19D9" w:rsidRPr="00E767D4" w:rsidRDefault="000C19D9" w:rsidP="005B6432">
            <w:pPr>
              <w:pStyle w:val="BulletMedicine"/>
            </w:pPr>
            <w:r w:rsidRPr="00E767D4">
              <w:t>Ceftriaxone</w:t>
            </w:r>
            <w:r w:rsidR="008A18FE">
              <w:fldChar w:fldCharType="begin"/>
            </w:r>
            <w:r w:rsidR="008A18FE">
              <w:instrText xml:space="preserve"> XE "Ceftriaxone" \f "m" </w:instrText>
            </w:r>
            <w:r w:rsidR="008A18FE">
              <w:fldChar w:fldCharType="end"/>
            </w:r>
            <w:r w:rsidRPr="00E767D4">
              <w:t>, IM, 250 mg immediately as a single dose.</w:t>
            </w:r>
          </w:p>
          <w:p w14:paraId="3576F200" w14:textId="77777777" w:rsidR="000C19D9" w:rsidRPr="00532684" w:rsidRDefault="000C19D9" w:rsidP="008A18FE">
            <w:pPr>
              <w:pStyle w:val="NoSpacing"/>
              <w:rPr>
                <w:rStyle w:val="Strong"/>
              </w:rPr>
            </w:pPr>
            <w:r w:rsidRPr="00532684">
              <w:rPr>
                <w:rStyle w:val="Strong"/>
              </w:rPr>
              <w:t>AND</w:t>
            </w:r>
          </w:p>
          <w:p w14:paraId="2C110F56" w14:textId="7E28F02E" w:rsidR="000C19D9" w:rsidRPr="00E767D4" w:rsidRDefault="000C19D9" w:rsidP="005B6432">
            <w:pPr>
              <w:pStyle w:val="BulletMedicine"/>
            </w:pPr>
            <w:r w:rsidRPr="00E767D4">
              <w:t>Azithromycin, oral</w:t>
            </w:r>
            <w:r w:rsidR="008A18FE">
              <w:fldChar w:fldCharType="begin"/>
            </w:r>
            <w:r w:rsidR="008A18FE">
              <w:instrText xml:space="preserve"> XE "Azithromycin, oral" \f "m" </w:instrText>
            </w:r>
            <w:r w:rsidR="008A18FE">
              <w:fldChar w:fldCharType="end"/>
            </w:r>
            <w:r w:rsidRPr="00E767D4">
              <w:t>, 1 g as a single dose.</w:t>
            </w:r>
          </w:p>
        </w:tc>
        <w:tc>
          <w:tcPr>
            <w:tcW w:w="2285" w:type="pct"/>
          </w:tcPr>
          <w:p w14:paraId="2586230C" w14:textId="2C47EB3F" w:rsidR="000C19D9" w:rsidRPr="00E767D4" w:rsidRDefault="000C19D9" w:rsidP="005B6432">
            <w:pPr>
              <w:pStyle w:val="BulletMedicine"/>
            </w:pPr>
            <w:r w:rsidRPr="00E767D4">
              <w:t>Ceftriaxone</w:t>
            </w:r>
            <w:r w:rsidR="008A18FE">
              <w:fldChar w:fldCharType="begin"/>
            </w:r>
            <w:r w:rsidR="008A18FE">
              <w:instrText xml:space="preserve"> XE "Ceftriaxone" \f "m" </w:instrText>
            </w:r>
            <w:r w:rsidR="008A18FE">
              <w:fldChar w:fldCharType="end"/>
            </w:r>
            <w:r w:rsidRPr="00E767D4">
              <w:t>, IM, 250 mg immediately as a single dose.</w:t>
            </w:r>
          </w:p>
          <w:p w14:paraId="25FB3DCE" w14:textId="77777777" w:rsidR="000C19D9" w:rsidRPr="00532684" w:rsidRDefault="000C19D9" w:rsidP="008A18FE">
            <w:pPr>
              <w:pStyle w:val="NoSpacing"/>
              <w:rPr>
                <w:rStyle w:val="Strong"/>
              </w:rPr>
            </w:pPr>
            <w:r w:rsidRPr="00532684">
              <w:rPr>
                <w:rStyle w:val="Strong"/>
              </w:rPr>
              <w:t>AND</w:t>
            </w:r>
          </w:p>
          <w:p w14:paraId="327ED563" w14:textId="3EBE0DED" w:rsidR="000C19D9" w:rsidRPr="00E767D4" w:rsidRDefault="000C19D9" w:rsidP="005B6432">
            <w:pPr>
              <w:pStyle w:val="BulletMedicine"/>
            </w:pPr>
            <w:r w:rsidRPr="00E767D4">
              <w:t>Azithromycin, oral</w:t>
            </w:r>
            <w:r w:rsidR="008A18FE">
              <w:fldChar w:fldCharType="begin"/>
            </w:r>
            <w:r w:rsidR="008A18FE">
              <w:instrText xml:space="preserve"> XE "Azithromycin, oral" \f "m" </w:instrText>
            </w:r>
            <w:r w:rsidR="008A18FE">
              <w:fldChar w:fldCharType="end"/>
            </w:r>
            <w:r w:rsidRPr="00E767D4">
              <w:t>, 1 g as a single dose.</w:t>
            </w:r>
          </w:p>
          <w:p w14:paraId="46CD10BB" w14:textId="77777777" w:rsidR="000C19D9" w:rsidRPr="00E767D4" w:rsidRDefault="000C19D9" w:rsidP="008A18FE">
            <w:pPr>
              <w:pStyle w:val="NoSpacing"/>
            </w:pPr>
            <w:r w:rsidRPr="00E767D4">
              <w:t>PLUS treatment for syndrome present if not included in the above.</w:t>
            </w:r>
          </w:p>
        </w:tc>
      </w:tr>
      <w:tr w:rsidR="000C19D9" w:rsidRPr="00E767D4" w14:paraId="769F40CB" w14:textId="77777777" w:rsidTr="000A39EC">
        <w:tc>
          <w:tcPr>
            <w:tcW w:w="737" w:type="pct"/>
          </w:tcPr>
          <w:p w14:paraId="73AA6AB9" w14:textId="77777777" w:rsidR="000C19D9" w:rsidRPr="00D910BB" w:rsidRDefault="000C19D9" w:rsidP="008A18FE">
            <w:pPr>
              <w:pStyle w:val="NoSpacing"/>
              <w:rPr>
                <w:rStyle w:val="Strong"/>
              </w:rPr>
            </w:pPr>
            <w:r w:rsidRPr="00D910BB">
              <w:rPr>
                <w:rStyle w:val="Strong"/>
              </w:rPr>
              <w:t>GUS</w:t>
            </w:r>
          </w:p>
        </w:tc>
        <w:tc>
          <w:tcPr>
            <w:tcW w:w="1978" w:type="pct"/>
          </w:tcPr>
          <w:p w14:paraId="6BCD2F6B" w14:textId="486F66D8" w:rsidR="000C19D9" w:rsidRPr="00E767D4" w:rsidRDefault="000C19D9" w:rsidP="00532684">
            <w:pPr>
              <w:pStyle w:val="BulletMedicine"/>
            </w:pPr>
            <w:r w:rsidRPr="00E767D4">
              <w:t>Doxycy</w:t>
            </w:r>
            <w:r w:rsidR="003D3FDA">
              <w:t>c</w:t>
            </w:r>
            <w:r w:rsidRPr="00E767D4">
              <w:t>line, oral</w:t>
            </w:r>
            <w:r w:rsidR="008A18FE">
              <w:fldChar w:fldCharType="begin"/>
            </w:r>
            <w:r w:rsidR="008A18FE">
              <w:instrText xml:space="preserve"> XE "</w:instrText>
            </w:r>
            <w:r w:rsidR="008A18FE" w:rsidRPr="007608C3">
              <w:instrText>Doxycy</w:instrText>
            </w:r>
            <w:r w:rsidR="003D3FDA">
              <w:instrText>c</w:instrText>
            </w:r>
            <w:r w:rsidR="008A18FE" w:rsidRPr="007608C3">
              <w:instrText>line, oral</w:instrText>
            </w:r>
            <w:r w:rsidR="008A18FE">
              <w:instrText>" \f "m"</w:instrText>
            </w:r>
            <w:r w:rsidR="008A18FE">
              <w:fldChar w:fldCharType="end"/>
            </w:r>
            <w:r w:rsidRPr="00E767D4">
              <w:t>, 100 mg 12 hourly for 14 days.</w:t>
            </w:r>
          </w:p>
          <w:p w14:paraId="39A11196" w14:textId="77777777" w:rsidR="000C19D9" w:rsidRPr="00F61D8B" w:rsidRDefault="000C19D9" w:rsidP="008A18FE">
            <w:pPr>
              <w:pStyle w:val="NoSpacing"/>
              <w:rPr>
                <w:u w:val="single"/>
              </w:rPr>
            </w:pPr>
            <w:r w:rsidRPr="00F61D8B">
              <w:rPr>
                <w:u w:val="single"/>
              </w:rPr>
              <w:t>Except pregnant women:</w:t>
            </w:r>
          </w:p>
          <w:p w14:paraId="732C68C0" w14:textId="6FFDE1EA" w:rsidR="000C19D9" w:rsidRPr="00E767D4" w:rsidRDefault="000C19D9" w:rsidP="00532684">
            <w:pPr>
              <w:pStyle w:val="BulletMedicine"/>
            </w:pPr>
            <w:r w:rsidRPr="00E767D4">
              <w:t>Benzathine benzylpenicillin</w:t>
            </w:r>
            <w:r w:rsidR="00DC01D0">
              <w:fldChar w:fldCharType="begin"/>
            </w:r>
            <w:r w:rsidR="00DC01D0">
              <w:instrText xml:space="preserve"> XE "Benzathine benzylpenicillin" \f "m" </w:instrText>
            </w:r>
            <w:r w:rsidR="00DC01D0">
              <w:fldChar w:fldCharType="end"/>
            </w:r>
            <w:r w:rsidRPr="00E767D4">
              <w:t>, IM, 2.4 MU immediately as a single dose.</w:t>
            </w:r>
          </w:p>
          <w:p w14:paraId="09BB95F9" w14:textId="77777777" w:rsidR="000C19D9" w:rsidRPr="00E767D4" w:rsidRDefault="000C19D9" w:rsidP="00532684">
            <w:pPr>
              <w:pStyle w:val="BulletDirectionsInstructions"/>
            </w:pPr>
            <w:r w:rsidRPr="00E767D4">
              <w:t>Dissolve benzathine benzylpenicillin, IM, 2.4 MU in 6 mL lidocaine 1% without epinephrine (adrenaline).</w:t>
            </w:r>
          </w:p>
          <w:p w14:paraId="7C752D9F" w14:textId="77777777" w:rsidR="000C19D9" w:rsidRPr="00E767D4" w:rsidRDefault="000C19D9" w:rsidP="008A18FE">
            <w:pPr>
              <w:pStyle w:val="NoSpacing"/>
            </w:pPr>
            <w:r w:rsidRPr="00E767D4">
              <w:t xml:space="preserve">(If pregnant and benzathine benzylpenicillin is unavailable, see syphilis flow chart). </w:t>
            </w:r>
          </w:p>
        </w:tc>
        <w:tc>
          <w:tcPr>
            <w:tcW w:w="2285" w:type="pct"/>
          </w:tcPr>
          <w:p w14:paraId="3664277F" w14:textId="686A3891" w:rsidR="000C19D9" w:rsidRPr="00E767D4" w:rsidRDefault="000C19D9" w:rsidP="00532684">
            <w:pPr>
              <w:pStyle w:val="BulletMedicine"/>
            </w:pPr>
            <w:r w:rsidRPr="00E767D4">
              <w:t>Doxycy</w:t>
            </w:r>
            <w:r w:rsidR="003D3FDA">
              <w:t>c</w:t>
            </w:r>
            <w:r w:rsidRPr="00E767D4">
              <w:t>line, oral</w:t>
            </w:r>
            <w:r w:rsidR="008A18FE">
              <w:fldChar w:fldCharType="begin"/>
            </w:r>
            <w:r w:rsidR="008A18FE">
              <w:instrText xml:space="preserve"> XE "</w:instrText>
            </w:r>
            <w:r w:rsidR="008A18FE" w:rsidRPr="007608C3">
              <w:instrText>Doxycy</w:instrText>
            </w:r>
            <w:r w:rsidR="003D3FDA">
              <w:instrText>c</w:instrText>
            </w:r>
            <w:r w:rsidR="008A18FE" w:rsidRPr="007608C3">
              <w:instrText>line, oral</w:instrText>
            </w:r>
            <w:r w:rsidR="008A18FE">
              <w:instrText>" \f "m"</w:instrText>
            </w:r>
            <w:r w:rsidR="008A18FE">
              <w:fldChar w:fldCharType="end"/>
            </w:r>
            <w:r w:rsidRPr="00E767D4">
              <w:t>, 100 mg 12 hourly for 14 days.</w:t>
            </w:r>
          </w:p>
          <w:p w14:paraId="3B4BFAFE" w14:textId="77777777" w:rsidR="000C19D9" w:rsidRPr="00F61D8B" w:rsidRDefault="000C19D9" w:rsidP="008A18FE">
            <w:pPr>
              <w:pStyle w:val="NoSpacing"/>
              <w:rPr>
                <w:u w:val="single"/>
              </w:rPr>
            </w:pPr>
            <w:r w:rsidRPr="00F61D8B">
              <w:rPr>
                <w:u w:val="single"/>
              </w:rPr>
              <w:t>Except pregnant women:</w:t>
            </w:r>
          </w:p>
          <w:p w14:paraId="6CE8C387" w14:textId="5B24B81F" w:rsidR="000C19D9" w:rsidRPr="00E767D4" w:rsidRDefault="000C19D9" w:rsidP="00532684">
            <w:pPr>
              <w:pStyle w:val="BulletMedicine"/>
            </w:pPr>
            <w:r w:rsidRPr="00E767D4">
              <w:t>Benzathine benzylpenicillin</w:t>
            </w:r>
            <w:r w:rsidR="00DC01D0">
              <w:fldChar w:fldCharType="begin"/>
            </w:r>
            <w:r w:rsidR="00DC01D0">
              <w:instrText xml:space="preserve"> XE "Benzathine benzylpenicillin" \f "m" </w:instrText>
            </w:r>
            <w:r w:rsidR="00DC01D0">
              <w:fldChar w:fldCharType="end"/>
            </w:r>
            <w:r w:rsidRPr="00E767D4">
              <w:t>, IM, 2.4 MU immediately as a single dose.</w:t>
            </w:r>
          </w:p>
          <w:p w14:paraId="38A20968" w14:textId="77777777" w:rsidR="000C19D9" w:rsidRPr="00E767D4" w:rsidRDefault="000C19D9" w:rsidP="00532684">
            <w:pPr>
              <w:pStyle w:val="BulletDirectionsInstructions"/>
            </w:pPr>
            <w:r w:rsidRPr="00E767D4">
              <w:t>Dissolve benzathine benzylpenicillin, IM, 2.4 MU in 6 mL lidocaine 1% without epinephrine (adrenaline).</w:t>
            </w:r>
          </w:p>
          <w:p w14:paraId="3B4F9BE5" w14:textId="77777777" w:rsidR="000C19D9" w:rsidRPr="00E767D4" w:rsidRDefault="000C19D9" w:rsidP="00F61D8B">
            <w:pPr>
              <w:pStyle w:val="NoSpacing"/>
              <w:ind w:left="284"/>
            </w:pPr>
            <w:r w:rsidRPr="00E767D4">
              <w:t>PLUS treatment for syndrome present if not included in the above.</w:t>
            </w:r>
          </w:p>
          <w:p w14:paraId="781C741C" w14:textId="77777777" w:rsidR="000C19D9" w:rsidRPr="00E767D4" w:rsidRDefault="000C19D9" w:rsidP="008A18FE">
            <w:pPr>
              <w:pStyle w:val="NoSpacing"/>
            </w:pPr>
            <w:r w:rsidRPr="00E767D4">
              <w:t>(If pregnant and benzathine benzylpenicillin is unavailable, see syphilis flow chart).</w:t>
            </w:r>
          </w:p>
        </w:tc>
      </w:tr>
      <w:tr w:rsidR="000C19D9" w:rsidRPr="00E767D4" w14:paraId="5E6F4E65" w14:textId="77777777" w:rsidTr="000A39EC">
        <w:tc>
          <w:tcPr>
            <w:tcW w:w="737" w:type="pct"/>
          </w:tcPr>
          <w:p w14:paraId="568597DE" w14:textId="77777777" w:rsidR="000C19D9" w:rsidRPr="00D910BB" w:rsidRDefault="000C19D9" w:rsidP="008A18FE">
            <w:pPr>
              <w:pStyle w:val="NoSpacing"/>
              <w:rPr>
                <w:rStyle w:val="Strong"/>
              </w:rPr>
            </w:pPr>
            <w:r w:rsidRPr="00D910BB">
              <w:rPr>
                <w:rStyle w:val="Strong"/>
              </w:rPr>
              <w:t>Bubo</w:t>
            </w:r>
          </w:p>
        </w:tc>
        <w:tc>
          <w:tcPr>
            <w:tcW w:w="1978" w:type="pct"/>
          </w:tcPr>
          <w:p w14:paraId="5E1FFDAF" w14:textId="6CC404FD" w:rsidR="000C19D9" w:rsidRPr="00E767D4" w:rsidRDefault="000C19D9" w:rsidP="00F61D8B">
            <w:pPr>
              <w:pStyle w:val="BulletMedicine"/>
            </w:pPr>
            <w:r w:rsidRPr="00E767D4">
              <w:t>Azithromycin, oral</w:t>
            </w:r>
            <w:r w:rsidR="008A18FE">
              <w:fldChar w:fldCharType="begin"/>
            </w:r>
            <w:r w:rsidR="008A18FE">
              <w:instrText xml:space="preserve"> XE "Azithromycin, oral" \f "m" </w:instrText>
            </w:r>
            <w:r w:rsidR="008A18FE">
              <w:fldChar w:fldCharType="end"/>
            </w:r>
            <w:r w:rsidRPr="00E767D4">
              <w:t>, 1 g as a single dose.</w:t>
            </w:r>
          </w:p>
        </w:tc>
        <w:tc>
          <w:tcPr>
            <w:tcW w:w="2285" w:type="pct"/>
          </w:tcPr>
          <w:p w14:paraId="0C53FAD8" w14:textId="24412F0C" w:rsidR="000C19D9" w:rsidRPr="00E767D4" w:rsidRDefault="000C19D9" w:rsidP="00F61D8B">
            <w:pPr>
              <w:pStyle w:val="BulletMedicine"/>
            </w:pPr>
            <w:r w:rsidRPr="00E767D4">
              <w:t>Azithromycin, oral</w:t>
            </w:r>
            <w:r w:rsidR="008A18FE">
              <w:fldChar w:fldCharType="begin"/>
            </w:r>
            <w:r w:rsidR="008A18FE">
              <w:instrText xml:space="preserve"> XE "Azithromycin, oral" \f "m" </w:instrText>
            </w:r>
            <w:r w:rsidR="008A18FE">
              <w:fldChar w:fldCharType="end"/>
            </w:r>
            <w:r w:rsidRPr="00E767D4">
              <w:t>, 1 g as a single dose.</w:t>
            </w:r>
          </w:p>
          <w:p w14:paraId="0CCAE2E6" w14:textId="77777777" w:rsidR="000C19D9" w:rsidRPr="00E767D4" w:rsidRDefault="000C19D9" w:rsidP="008A18FE">
            <w:pPr>
              <w:pStyle w:val="NoSpacing"/>
            </w:pPr>
            <w:r w:rsidRPr="00E767D4">
              <w:t>PLUS treatment for syndrome present if not included in the above.</w:t>
            </w:r>
          </w:p>
        </w:tc>
      </w:tr>
    </w:tbl>
    <w:tbl>
      <w:tblPr>
        <w:tblpPr w:leftFromText="180" w:rightFromText="180" w:vertAnchor="text" w:horzAnchor="margin" w:tblpXSpec="right" w:tblpY="16"/>
        <w:tblOverlap w:val="neve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07"/>
      </w:tblGrid>
      <w:tr w:rsidR="00F61D8B" w:rsidRPr="00E767D4" w14:paraId="769F8A8B" w14:textId="77777777" w:rsidTr="00165B08">
        <w:tc>
          <w:tcPr>
            <w:tcW w:w="907" w:type="dxa"/>
            <w:shd w:val="clear" w:color="auto" w:fill="auto"/>
          </w:tcPr>
          <w:p w14:paraId="12C04EE6" w14:textId="77777777" w:rsidR="00F61D8B" w:rsidRPr="00E767D4" w:rsidRDefault="00F61D8B" w:rsidP="00165B08">
            <w:pPr>
              <w:pStyle w:val="LoEText"/>
              <w:framePr w:hSpace="0" w:wrap="auto" w:vAnchor="margin" w:hAnchor="text" w:xAlign="left" w:yAlign="inline"/>
              <w:suppressOverlap w:val="0"/>
            </w:pPr>
            <w:r w:rsidRPr="00E767D4">
              <w:t>LoE:III</w:t>
            </w:r>
            <w:r w:rsidRPr="00990A58">
              <w:rPr>
                <w:rStyle w:val="EndnoteReference8"/>
              </w:rPr>
              <w:endnoteReference w:id="13"/>
            </w:r>
          </w:p>
        </w:tc>
      </w:tr>
    </w:tbl>
    <w:p w14:paraId="2AFC3CA6" w14:textId="77777777" w:rsidR="000C19D9" w:rsidRPr="00FE1BBC" w:rsidRDefault="000C19D9" w:rsidP="000C19D9">
      <w:pPr>
        <w:pStyle w:val="NoSpacing"/>
        <w:rPr>
          <w:sz w:val="24"/>
          <w:szCs w:val="24"/>
        </w:rPr>
      </w:pPr>
    </w:p>
    <w:p w14:paraId="6685D00E" w14:textId="53AA2E94" w:rsidR="000C19D9" w:rsidRPr="00990A58" w:rsidRDefault="00990A58" w:rsidP="00990A58">
      <w:pPr>
        <w:pStyle w:val="Heading2"/>
      </w:pPr>
      <w:bookmarkStart w:id="29" w:name="_Toc57788622"/>
      <w:bookmarkStart w:id="30" w:name="_Toc57792321"/>
      <w:r w:rsidRPr="00990A58">
        <w:t>Genital molluscum contagiosum (MC)</w:t>
      </w:r>
      <w:bookmarkEnd w:id="22"/>
      <w:bookmarkEnd w:id="23"/>
      <w:bookmarkEnd w:id="24"/>
      <w:bookmarkEnd w:id="25"/>
      <w:bookmarkEnd w:id="26"/>
      <w:bookmarkEnd w:id="29"/>
      <w:bookmarkEnd w:id="30"/>
      <w:r w:rsidR="003D3FDA">
        <w:fldChar w:fldCharType="begin"/>
      </w:r>
      <w:r w:rsidR="003D3FDA">
        <w:instrText xml:space="preserve"> XE "</w:instrText>
      </w:r>
      <w:r w:rsidR="003D3FDA" w:rsidRPr="0037039D">
        <w:instrText>Genital molluscum contagiosum (MC)</w:instrText>
      </w:r>
      <w:r w:rsidR="003D3FDA">
        <w:instrText xml:space="preserve">" </w:instrText>
      </w:r>
      <w:r w:rsidR="003D3FDA" w:rsidRPr="003D3FDA">
        <w:instrText>\f “c”</w:instrText>
      </w:r>
      <w:r w:rsidR="003D3FDA">
        <w:fldChar w:fldCharType="end"/>
      </w:r>
    </w:p>
    <w:p w14:paraId="368B888C" w14:textId="77777777" w:rsidR="000C19D9" w:rsidRPr="00E767D4" w:rsidRDefault="000C19D9" w:rsidP="00990A58">
      <w:pPr>
        <w:pStyle w:val="ICD10"/>
      </w:pPr>
      <w:r w:rsidRPr="00E767D4">
        <w:t>B08.1</w:t>
      </w:r>
    </w:p>
    <w:p w14:paraId="477B57C1" w14:textId="77777777" w:rsidR="000C19D9" w:rsidRPr="00E767D4" w:rsidRDefault="000C19D9" w:rsidP="00165B08">
      <w:pPr>
        <w:pStyle w:val="Heading5"/>
      </w:pPr>
      <w:r w:rsidRPr="00E767D4">
        <w:t>DESCRIPTION</w:t>
      </w:r>
    </w:p>
    <w:p w14:paraId="61E2716F" w14:textId="77777777" w:rsidR="000C19D9" w:rsidRPr="00E767D4" w:rsidRDefault="000C19D9" w:rsidP="000C19D9">
      <w:pPr>
        <w:pStyle w:val="NoSpacing"/>
      </w:pPr>
      <w:r w:rsidRPr="00E767D4">
        <w:t xml:space="preserve">This is a viral infection which can be transmitted sexually and non-sexually. It is usually self-limiting but can be progressive in an advanced stage of immunodeficiency. </w:t>
      </w:r>
    </w:p>
    <w:p w14:paraId="4726A5DC" w14:textId="77777777" w:rsidR="000C19D9" w:rsidRPr="00E767D4" w:rsidRDefault="000C19D9" w:rsidP="000C19D9">
      <w:pPr>
        <w:pStyle w:val="NoSpacing"/>
      </w:pPr>
      <w:r w:rsidRPr="00E767D4">
        <w:t xml:space="preserve">Clinical signs include papules at the genitals or other parts of the body. </w:t>
      </w:r>
    </w:p>
    <w:p w14:paraId="30B5D066" w14:textId="77777777" w:rsidR="000C19D9" w:rsidRPr="00E767D4" w:rsidRDefault="000C19D9" w:rsidP="000C19D9">
      <w:pPr>
        <w:pStyle w:val="NoSpacing"/>
      </w:pPr>
      <w:r w:rsidRPr="00E767D4">
        <w:t>The papules usually have a central dent (umbilicated papules).</w:t>
      </w:r>
    </w:p>
    <w:p w14:paraId="49E0B714" w14:textId="77777777" w:rsidR="000C19D9" w:rsidRPr="00E767D4" w:rsidRDefault="000C19D9" w:rsidP="00165B08">
      <w:pPr>
        <w:pStyle w:val="Heading5"/>
      </w:pPr>
      <w:r w:rsidRPr="00E767D4">
        <w:lastRenderedPageBreak/>
        <w:t>MEDICINE TREATMENT</w:t>
      </w:r>
    </w:p>
    <w:p w14:paraId="4CDC6650" w14:textId="1ED6D4BE" w:rsidR="000C19D9" w:rsidRPr="00E767D4" w:rsidRDefault="000C19D9" w:rsidP="00FE1BBC">
      <w:pPr>
        <w:pStyle w:val="BulletMedicine"/>
      </w:pPr>
      <w:r w:rsidRPr="00E767D4">
        <w:t>Tincture of iodine BP, topical</w:t>
      </w:r>
      <w:r w:rsidR="008A18FE">
        <w:fldChar w:fldCharType="begin"/>
      </w:r>
      <w:r w:rsidR="008A18FE">
        <w:instrText xml:space="preserve"> XE "Tincture of iodine BP, topical" \f "m" </w:instrText>
      </w:r>
      <w:r w:rsidR="008A18FE">
        <w:fldChar w:fldCharType="end"/>
      </w:r>
      <w:r w:rsidRPr="00E767D4">
        <w:t>.</w:t>
      </w:r>
    </w:p>
    <w:p w14:paraId="3E4DE20E" w14:textId="77777777" w:rsidR="000C19D9" w:rsidRPr="00E767D4" w:rsidRDefault="000C19D9" w:rsidP="00FE1BBC">
      <w:pPr>
        <w:pStyle w:val="BulletDirectionsInstructions"/>
      </w:pPr>
      <w:r w:rsidRPr="00E767D4">
        <w:t>Apply with an applicator to the core of the lesions.</w:t>
      </w:r>
    </w:p>
    <w:p w14:paraId="69984468" w14:textId="232C0B40" w:rsidR="000C19D9" w:rsidRPr="00F56D86" w:rsidRDefault="00990A58" w:rsidP="00F56D86">
      <w:pPr>
        <w:pStyle w:val="Heading2"/>
      </w:pPr>
      <w:bookmarkStart w:id="31" w:name="_Toc57788623"/>
      <w:bookmarkStart w:id="32" w:name="_Toc57792322"/>
      <w:r w:rsidRPr="00F56D86">
        <w:t>Genital warts (GW): Condylomata Accuminata</w:t>
      </w:r>
      <w:bookmarkEnd w:id="31"/>
      <w:bookmarkEnd w:id="32"/>
      <w:r w:rsidR="003D3FDA">
        <w:fldChar w:fldCharType="begin"/>
      </w:r>
      <w:r w:rsidR="003D3FDA">
        <w:instrText xml:space="preserve"> XE "</w:instrText>
      </w:r>
      <w:r w:rsidR="003D3FDA" w:rsidRPr="0037039D">
        <w:instrText>Genital warts (GW)\: Condylomata Accuminata</w:instrText>
      </w:r>
      <w:r w:rsidR="003D3FDA">
        <w:instrText xml:space="preserve">" </w:instrText>
      </w:r>
      <w:r w:rsidR="003D3FDA" w:rsidRPr="003D3FDA">
        <w:instrText>\f “c”</w:instrText>
      </w:r>
      <w:r w:rsidR="003D3FDA">
        <w:fldChar w:fldCharType="end"/>
      </w:r>
    </w:p>
    <w:p w14:paraId="11852845" w14:textId="77777777" w:rsidR="000C19D9" w:rsidRPr="00E767D4" w:rsidRDefault="000C19D9" w:rsidP="00F56D86">
      <w:pPr>
        <w:pStyle w:val="ICD10"/>
      </w:pPr>
      <w:r w:rsidRPr="00E767D4">
        <w:t>A63.0</w:t>
      </w:r>
    </w:p>
    <w:p w14:paraId="46588CEF" w14:textId="77777777" w:rsidR="000C19D9" w:rsidRPr="00E767D4" w:rsidRDefault="000C19D9" w:rsidP="00FE1BBC">
      <w:pPr>
        <w:pStyle w:val="Heading5"/>
      </w:pPr>
      <w:r w:rsidRPr="00E767D4">
        <w:t>DESCRIPTION</w:t>
      </w:r>
    </w:p>
    <w:p w14:paraId="4E239247" w14:textId="77777777" w:rsidR="000C19D9" w:rsidRPr="00E767D4" w:rsidRDefault="000C19D9" w:rsidP="000C19D9">
      <w:pPr>
        <w:pStyle w:val="NoSpacing"/>
      </w:pPr>
      <w:r w:rsidRPr="00E767D4">
        <w:t xml:space="preserve">The clinical signs include: </w:t>
      </w:r>
    </w:p>
    <w:p w14:paraId="45AF8562" w14:textId="77777777" w:rsidR="000C19D9" w:rsidRPr="00E767D4" w:rsidRDefault="000C19D9" w:rsidP="00FE1BBC">
      <w:pPr>
        <w:pStyle w:val="ListParagraph"/>
      </w:pPr>
      <w:r w:rsidRPr="00E767D4">
        <w:t>Warts on the ano-genital areas, vagina, cervix, meatus or urethra.</w:t>
      </w:r>
    </w:p>
    <w:p w14:paraId="799CE766" w14:textId="77777777" w:rsidR="000C19D9" w:rsidRPr="00E767D4" w:rsidRDefault="000C19D9" w:rsidP="00FE1BBC">
      <w:pPr>
        <w:pStyle w:val="ListParagraph"/>
      </w:pPr>
      <w:r w:rsidRPr="00E767D4">
        <w:t>Warts can be soft or hard.</w:t>
      </w:r>
    </w:p>
    <w:p w14:paraId="13663C5A" w14:textId="77777777" w:rsidR="000C19D9" w:rsidRPr="00E767D4" w:rsidRDefault="000C19D9" w:rsidP="000C19D9">
      <w:pPr>
        <w:pStyle w:val="NoSpacing"/>
      </w:pPr>
      <w:r w:rsidRPr="00E767D4">
        <w:t>In most cases, warts resolve without treatment after 2 years in non-immunosuppressed patients.</w:t>
      </w:r>
    </w:p>
    <w:p w14:paraId="529DDAC1" w14:textId="77777777" w:rsidR="000C19D9" w:rsidRPr="00E767D4" w:rsidRDefault="000C19D9" w:rsidP="00FE1BBC">
      <w:pPr>
        <w:pStyle w:val="Heading5"/>
      </w:pPr>
      <w:r w:rsidRPr="00E767D4">
        <w:t>GENERAL MEASURES</w:t>
      </w:r>
    </w:p>
    <w:p w14:paraId="0CDE10AF" w14:textId="77777777" w:rsidR="000C19D9" w:rsidRPr="00E767D4" w:rsidRDefault="000C19D9" w:rsidP="00FE1BBC">
      <w:pPr>
        <w:pStyle w:val="ListParagraph"/>
      </w:pPr>
      <w:r w:rsidRPr="00E767D4">
        <w:t>If warts do not look typical or are fleshy or wet, perform a RPR test to exclude secondary syphilis, which may present with similar lesions.</w:t>
      </w:r>
    </w:p>
    <w:p w14:paraId="3E32B2A3" w14:textId="77777777" w:rsidR="000C19D9" w:rsidRPr="00E767D4" w:rsidRDefault="000C19D9" w:rsidP="00FE1BBC">
      <w:pPr>
        <w:pStyle w:val="ListParagraph"/>
      </w:pPr>
      <w:r w:rsidRPr="00E767D4">
        <w:t>Emphasise HIV testing.</w:t>
      </w:r>
    </w:p>
    <w:p w14:paraId="0EB51648" w14:textId="77777777" w:rsidR="000C19D9" w:rsidRPr="00E767D4" w:rsidRDefault="000C19D9" w:rsidP="00FE1BBC">
      <w:pPr>
        <w:pStyle w:val="Heading5"/>
      </w:pPr>
      <w:r w:rsidRPr="00E767D4">
        <w:t>REFERRAL</w:t>
      </w:r>
    </w:p>
    <w:p w14:paraId="542488AB" w14:textId="77777777" w:rsidR="000C19D9" w:rsidRPr="00E767D4" w:rsidRDefault="000C19D9" w:rsidP="00641A29">
      <w:pPr>
        <w:pStyle w:val="ListParagraph"/>
      </w:pPr>
      <w:r w:rsidRPr="00E767D4">
        <w:t>All patients with:</w:t>
      </w:r>
    </w:p>
    <w:p w14:paraId="189BF106" w14:textId="77777777" w:rsidR="000C19D9" w:rsidRPr="00E767D4" w:rsidRDefault="000C19D9" w:rsidP="00641A29">
      <w:pPr>
        <w:pStyle w:val="ListParagraph"/>
        <w:numPr>
          <w:ilvl w:val="1"/>
          <w:numId w:val="35"/>
        </w:numPr>
      </w:pPr>
      <w:r w:rsidRPr="00E767D4">
        <w:t>warts &gt; 10 mm</w:t>
      </w:r>
    </w:p>
    <w:p w14:paraId="317A320C" w14:textId="77777777" w:rsidR="000C19D9" w:rsidRPr="00E767D4" w:rsidRDefault="000C19D9" w:rsidP="00641A29">
      <w:pPr>
        <w:pStyle w:val="ListParagraph"/>
        <w:numPr>
          <w:ilvl w:val="1"/>
          <w:numId w:val="35"/>
        </w:numPr>
      </w:pPr>
      <w:r w:rsidRPr="00E767D4">
        <w:t>inaccessible warts, e.g. intra-vaginal or cervical warts</w:t>
      </w:r>
    </w:p>
    <w:p w14:paraId="6D8ADBB3" w14:textId="4612D86E" w:rsidR="000C19D9" w:rsidRDefault="000C19D9" w:rsidP="000C19D9">
      <w:pPr>
        <w:pStyle w:val="ListParagraph"/>
        <w:numPr>
          <w:ilvl w:val="1"/>
          <w:numId w:val="35"/>
        </w:numPr>
      </w:pPr>
      <w:r w:rsidRPr="00E767D4">
        <w:t>numerous warts</w:t>
      </w:r>
    </w:p>
    <w:p w14:paraId="73D5E893" w14:textId="77777777" w:rsidR="00EE31D9" w:rsidRPr="00E767D4" w:rsidRDefault="00EE31D9" w:rsidP="000C19D9">
      <w:pPr>
        <w:pStyle w:val="ListParagraph"/>
        <w:numPr>
          <w:ilvl w:val="1"/>
          <w:numId w:val="35"/>
        </w:numPr>
      </w:pPr>
    </w:p>
    <w:p w14:paraId="031B55F2" w14:textId="7A115802" w:rsidR="000C19D9" w:rsidRPr="00F56D86" w:rsidRDefault="00F56D86" w:rsidP="00F56D86">
      <w:pPr>
        <w:pStyle w:val="Heading2"/>
      </w:pPr>
      <w:bookmarkStart w:id="33" w:name="_Toc57788624"/>
      <w:bookmarkStart w:id="34" w:name="_Toc57792323"/>
      <w:r w:rsidRPr="00F56D86">
        <w:t>Pubic lice (PL)</w:t>
      </w:r>
      <w:bookmarkEnd w:id="33"/>
      <w:bookmarkEnd w:id="34"/>
      <w:r w:rsidR="003D3FDA">
        <w:fldChar w:fldCharType="begin"/>
      </w:r>
      <w:r w:rsidR="003D3FDA">
        <w:instrText xml:space="preserve"> XE "</w:instrText>
      </w:r>
      <w:r w:rsidR="003D3FDA" w:rsidRPr="0037039D">
        <w:instrText>Pubic lice (PL)</w:instrText>
      </w:r>
      <w:r w:rsidR="003D3FDA">
        <w:instrText xml:space="preserve">" </w:instrText>
      </w:r>
      <w:r w:rsidR="003D3FDA" w:rsidRPr="003D3FDA">
        <w:instrText>\f “c”</w:instrText>
      </w:r>
      <w:r w:rsidR="003D3FDA">
        <w:fldChar w:fldCharType="end"/>
      </w:r>
    </w:p>
    <w:p w14:paraId="4ABCD864" w14:textId="77777777" w:rsidR="000C19D9" w:rsidRPr="00E767D4" w:rsidRDefault="000C19D9" w:rsidP="00F56D86">
      <w:pPr>
        <w:pStyle w:val="ICD10"/>
      </w:pPr>
      <w:r w:rsidRPr="00E767D4">
        <w:t>B85.3</w:t>
      </w:r>
    </w:p>
    <w:p w14:paraId="56785E64" w14:textId="77777777" w:rsidR="000C19D9" w:rsidRPr="00E767D4" w:rsidRDefault="000C19D9" w:rsidP="00F56D86">
      <w:pPr>
        <w:pStyle w:val="Heading5"/>
      </w:pPr>
      <w:r w:rsidRPr="00E767D4">
        <w:t>DESCRIPTION</w:t>
      </w:r>
    </w:p>
    <w:p w14:paraId="62CA0DD9" w14:textId="3C80275A" w:rsidR="000C19D9" w:rsidRPr="00E767D4" w:rsidRDefault="000C19D9" w:rsidP="000C19D9">
      <w:pPr>
        <w:pStyle w:val="NoSpacing"/>
      </w:pPr>
      <w:r w:rsidRPr="00E767D4">
        <w:t>Infestation of lice mostly confined to pubic and peri-anal areas, and occasionally involves eyelashes.</w:t>
      </w:r>
    </w:p>
    <w:p w14:paraId="7C8230C5" w14:textId="77777777" w:rsidR="000C19D9" w:rsidRPr="00E767D4" w:rsidRDefault="000C19D9" w:rsidP="000C19D9">
      <w:pPr>
        <w:pStyle w:val="NoSpacing"/>
      </w:pPr>
      <w:r w:rsidRPr="00E767D4">
        <w:t>The bites cause intense itching, which often results in scratching with bacterial super-infection.</w:t>
      </w:r>
    </w:p>
    <w:p w14:paraId="76EBB05D" w14:textId="77777777" w:rsidR="000C19D9" w:rsidRPr="00E767D4" w:rsidRDefault="000C19D9" w:rsidP="00F56D86">
      <w:pPr>
        <w:pStyle w:val="Heading5"/>
      </w:pPr>
      <w:r w:rsidRPr="00E767D4">
        <w:t>GENERAL MEASURES</w:t>
      </w:r>
    </w:p>
    <w:p w14:paraId="4AD9E5C2" w14:textId="77777777" w:rsidR="000C19D9" w:rsidRPr="00E767D4" w:rsidRDefault="000C19D9" w:rsidP="000C19D9">
      <w:pPr>
        <w:pStyle w:val="NoSpacing"/>
      </w:pPr>
      <w:r w:rsidRPr="00E767D4">
        <w:t>Thoroughly wash clothing and bed linen that may have been contaminated by the patient in the 2 days prior to the start of treatment in hot water and then iron.</w:t>
      </w:r>
    </w:p>
    <w:p w14:paraId="2F340D1A" w14:textId="77777777" w:rsidR="000C19D9" w:rsidRPr="00E767D4" w:rsidRDefault="000C19D9" w:rsidP="00F56D86">
      <w:pPr>
        <w:pStyle w:val="Heading5"/>
      </w:pPr>
      <w:r w:rsidRPr="00E767D4">
        <w:t>MEDICINE TREATMENT</w:t>
      </w:r>
    </w:p>
    <w:p w14:paraId="7AE76327" w14:textId="59983892" w:rsidR="000C19D9" w:rsidRPr="00E767D4" w:rsidRDefault="000C19D9" w:rsidP="0072228D">
      <w:pPr>
        <w:pStyle w:val="BulletMedicine"/>
      </w:pPr>
      <w:r w:rsidRPr="00E767D4">
        <w:t>Benzyl benzoate 25%</w:t>
      </w:r>
      <w:r w:rsidR="008A18FE">
        <w:fldChar w:fldCharType="begin"/>
      </w:r>
      <w:r w:rsidR="008A18FE">
        <w:instrText xml:space="preserve"> XE "</w:instrText>
      </w:r>
      <w:r w:rsidR="008A18FE" w:rsidRPr="007608C3">
        <w:instrText>Benzyl benzoate 25%</w:instrText>
      </w:r>
      <w:r w:rsidR="008A18FE">
        <w:instrText xml:space="preserve">" \f "m" </w:instrText>
      </w:r>
      <w:r w:rsidR="008A18FE">
        <w:fldChar w:fldCharType="end"/>
      </w:r>
    </w:p>
    <w:p w14:paraId="19D3BEAA" w14:textId="77777777" w:rsidR="000C19D9" w:rsidRPr="00E767D4" w:rsidRDefault="000C19D9" w:rsidP="0072228D">
      <w:pPr>
        <w:pStyle w:val="BulletDirectionsInstructions"/>
      </w:pPr>
      <w:r w:rsidRPr="00E767D4">
        <w:t>Apply to affected area.</w:t>
      </w:r>
    </w:p>
    <w:p w14:paraId="6B463E05" w14:textId="77777777" w:rsidR="000C19D9" w:rsidRPr="00E767D4" w:rsidRDefault="000C19D9" w:rsidP="0072228D">
      <w:pPr>
        <w:pStyle w:val="BulletDirectionsInstructions"/>
      </w:pPr>
      <w:r w:rsidRPr="00E767D4">
        <w:t>Leave on for 24 hours, then wash thoroughly.</w:t>
      </w:r>
    </w:p>
    <w:p w14:paraId="00C643DA" w14:textId="77777777" w:rsidR="000C19D9" w:rsidRPr="00E767D4" w:rsidRDefault="000C19D9" w:rsidP="0072228D">
      <w:pPr>
        <w:pStyle w:val="BulletDirectionsInstructions"/>
      </w:pPr>
      <w:r w:rsidRPr="00E767D4">
        <w:t>Repeat in 7 days.</w:t>
      </w:r>
    </w:p>
    <w:p w14:paraId="2BF9F8B7" w14:textId="77777777" w:rsidR="000C19D9" w:rsidRPr="00E767D4" w:rsidRDefault="000C19D9" w:rsidP="0072228D">
      <w:pPr>
        <w:pStyle w:val="Heading6"/>
      </w:pPr>
      <w:r w:rsidRPr="00E767D4">
        <w:t>Pediculosis of the eyelashes or eyebrows</w:t>
      </w:r>
    </w:p>
    <w:p w14:paraId="2FC74B10" w14:textId="77777777" w:rsidR="000C19D9" w:rsidRPr="00E767D4" w:rsidRDefault="000C19D9" w:rsidP="00904935">
      <w:pPr>
        <w:pStyle w:val="BulletMedicine"/>
      </w:pPr>
      <w:r w:rsidRPr="00E767D4">
        <w:t>Yellow petroleum jelly (Note: Do not use white petroleum jelly near the eyes).</w:t>
      </w:r>
    </w:p>
    <w:p w14:paraId="0B9782B4" w14:textId="77777777" w:rsidR="000C19D9" w:rsidRPr="00E767D4" w:rsidRDefault="000C19D9" w:rsidP="00904935">
      <w:pPr>
        <w:pStyle w:val="BulletDirectionsInstructions"/>
      </w:pPr>
      <w:r w:rsidRPr="00E767D4">
        <w:t>Apply to the eyelid margins (cover the eyelashes) daily for 10 days to smother lice and nits.</w:t>
      </w:r>
    </w:p>
    <w:tbl>
      <w:tblPr>
        <w:tblpPr w:leftFromText="180" w:rightFromText="180" w:vertAnchor="text" w:horzAnchor="margin" w:tblpXSpec="right" w:tblpY="-13"/>
        <w:tblOverlap w:val="neve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07"/>
      </w:tblGrid>
      <w:tr w:rsidR="00904935" w:rsidRPr="00E767D4" w14:paraId="2C075D4D" w14:textId="77777777" w:rsidTr="00904935">
        <w:tc>
          <w:tcPr>
            <w:tcW w:w="907" w:type="dxa"/>
            <w:shd w:val="clear" w:color="auto" w:fill="auto"/>
          </w:tcPr>
          <w:p w14:paraId="5136527D" w14:textId="77777777" w:rsidR="00904935" w:rsidRPr="00E767D4" w:rsidRDefault="00904935" w:rsidP="00904935">
            <w:pPr>
              <w:pStyle w:val="LoEText"/>
              <w:framePr w:hSpace="0" w:wrap="auto" w:vAnchor="margin" w:hAnchor="text" w:xAlign="left" w:yAlign="inline"/>
              <w:suppressOverlap w:val="0"/>
            </w:pPr>
            <w:r w:rsidRPr="00E767D4">
              <w:t>LoE:III</w:t>
            </w:r>
          </w:p>
        </w:tc>
      </w:tr>
    </w:tbl>
    <w:p w14:paraId="4E7DD75B" w14:textId="77777777" w:rsidR="000C19D9" w:rsidRPr="00E767D4" w:rsidRDefault="000C19D9" w:rsidP="00904935">
      <w:pPr>
        <w:pStyle w:val="BulletDirectionsInstructions"/>
      </w:pPr>
      <w:r w:rsidRPr="00E767D4">
        <w:t>Do not apply to eyes.</w:t>
      </w:r>
    </w:p>
    <w:p w14:paraId="1BB2F68F" w14:textId="77777777" w:rsidR="000C19D9" w:rsidRPr="00E767D4" w:rsidRDefault="000C19D9" w:rsidP="00F56D86">
      <w:pPr>
        <w:pStyle w:val="Heading5"/>
      </w:pPr>
      <w:r w:rsidRPr="00E767D4">
        <w:lastRenderedPageBreak/>
        <w:t>REFERRAL</w:t>
      </w:r>
    </w:p>
    <w:p w14:paraId="4A143D74" w14:textId="69272024" w:rsidR="006C26B1" w:rsidRDefault="000C19D9" w:rsidP="000C19D9">
      <w:pPr>
        <w:pStyle w:val="NoSpacing"/>
      </w:pPr>
      <w:r w:rsidRPr="00E767D4">
        <w:t>All children with lice on pubic, perianal area and eyelashes to exclude sexual abuse.</w:t>
      </w:r>
      <w:bookmarkEnd w:id="0"/>
    </w:p>
    <w:p w14:paraId="7EC53273" w14:textId="4A3E8543" w:rsidR="00EE31D9" w:rsidRPr="00EE31D9" w:rsidRDefault="00EE31D9" w:rsidP="00EE31D9">
      <w:pPr>
        <w:spacing w:before="0" w:after="0"/>
        <w:jc w:val="left"/>
        <w:rPr>
          <w:lang w:val="en-ZA"/>
        </w:rPr>
      </w:pPr>
      <w:r>
        <w:br w:type="page"/>
      </w:r>
    </w:p>
    <w:bookmarkEnd w:id="1"/>
    <w:p w14:paraId="05867492" w14:textId="34ACC16B" w:rsidR="00741DD4" w:rsidRDefault="00741DD4" w:rsidP="000C19D9">
      <w:pPr>
        <w:pStyle w:val="NoSpacing"/>
      </w:pPr>
    </w:p>
    <w:sectPr w:rsidR="00741DD4" w:rsidSect="00EF4276">
      <w:headerReference w:type="default" r:id="rId19"/>
      <w:footerReference w:type="default" r:id="rId20"/>
      <w:headerReference w:type="first" r:id="rId21"/>
      <w:footerReference w:type="first" r:id="rId22"/>
      <w:endnotePr>
        <w:numFmt w:val="decimal"/>
      </w:endnotePr>
      <w:type w:val="continuous"/>
      <w:pgSz w:w="8391" w:h="11906" w:code="11"/>
      <w:pgMar w:top="851" w:right="851" w:bottom="851" w:left="851" w:header="709" w:footer="709" w:gutter="0"/>
      <w:pgNumType w:start="1" w:chapStyle="1" w:chapSep="period"/>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44EEF6" w14:textId="77777777" w:rsidR="00F02F0F" w:rsidRPr="006C0A38" w:rsidRDefault="00F02F0F" w:rsidP="00AD1B9A">
      <w:pPr>
        <w:rPr>
          <w:b/>
          <w:bCs/>
          <w:sz w:val="12"/>
          <w:szCs w:val="12"/>
          <w:lang w:val="en-ZA"/>
        </w:rPr>
      </w:pPr>
      <w:r w:rsidRPr="006C0A38">
        <w:rPr>
          <w:b/>
          <w:bCs/>
          <w:sz w:val="12"/>
          <w:szCs w:val="12"/>
          <w:lang w:val="en-ZA"/>
        </w:rPr>
        <w:t>References:</w:t>
      </w:r>
    </w:p>
  </w:endnote>
  <w:endnote w:type="continuationSeparator" w:id="0">
    <w:p w14:paraId="46BED779" w14:textId="77777777" w:rsidR="00F02F0F" w:rsidRPr="006C0A38" w:rsidRDefault="00F02F0F" w:rsidP="006C0A38">
      <w:pPr>
        <w:pStyle w:val="Footer"/>
        <w:pBdr>
          <w:top w:val="none" w:sz="0" w:space="0" w:color="auto"/>
        </w:pBdr>
        <w:rPr>
          <w:sz w:val="12"/>
          <w:szCs w:val="12"/>
        </w:rPr>
      </w:pPr>
    </w:p>
  </w:endnote>
  <w:endnote w:type="continuationNotice" w:id="1">
    <w:p w14:paraId="677FCA72" w14:textId="77777777" w:rsidR="00F02F0F" w:rsidRPr="006C0A38" w:rsidRDefault="00F02F0F">
      <w:pPr>
        <w:spacing w:before="0" w:after="0"/>
        <w:rPr>
          <w:sz w:val="12"/>
          <w:szCs w:val="12"/>
        </w:rPr>
      </w:pPr>
    </w:p>
  </w:endnote>
  <w:endnote w:id="2">
    <w:p w14:paraId="08157D64" w14:textId="03BC9D05" w:rsidR="008A18FE" w:rsidRPr="00A91197" w:rsidRDefault="008A18FE" w:rsidP="00A91197">
      <w:pPr>
        <w:pStyle w:val="EndnoteText"/>
      </w:pPr>
      <w:r w:rsidRPr="00A91197">
        <w:rPr>
          <w:rStyle w:val="EndnoteReference"/>
        </w:rPr>
        <w:endnoteRef/>
      </w:r>
      <w:r w:rsidRPr="00A91197">
        <w:tab/>
        <w:t>Ceftriaxone</w:t>
      </w:r>
      <w:r>
        <w:fldChar w:fldCharType="begin"/>
      </w:r>
      <w:r>
        <w:instrText xml:space="preserve"> XE "</w:instrText>
      </w:r>
      <w:r w:rsidRPr="007608C3">
        <w:instrText>Ceftriaxone</w:instrText>
      </w:r>
      <w:r>
        <w:instrText xml:space="preserve">" </w:instrText>
      </w:r>
      <w:r>
        <w:fldChar w:fldCharType="end"/>
      </w:r>
      <w:r w:rsidRPr="00A91197">
        <w:t xml:space="preserve">, IM (Neisseria gonorrhoeae): Lewis DA, Sriruttan C, Müller EE, Golparian D, Gumede L, Fick D, de Wet J,Maseko V, Coetzee J, Unemo M. Phenotypic and genetic characterization of the first two cases of extended-spectrum-cephalosporin-resistant Neisseria gonorrhoeae infection in South Africa and association with cefixime treatment failure. J Antimicrob Chemother. 2013 Jun;68(6):1267-70. </w:t>
      </w:r>
      <w:hyperlink r:id="rId1" w:history="1">
        <w:r w:rsidRPr="00C746BA">
          <w:rPr>
            <w:rStyle w:val="Hyperlink"/>
          </w:rPr>
          <w:t>https://www.ncbi.nlm.nih.gov/pubmed/23416957</w:t>
        </w:r>
      </w:hyperlink>
      <w:r>
        <w:t xml:space="preserve"> </w:t>
      </w:r>
    </w:p>
    <w:p w14:paraId="0816DF67" w14:textId="0070BED9" w:rsidR="00C01CAD" w:rsidRPr="00A91197" w:rsidRDefault="008A18FE" w:rsidP="00A91197">
      <w:pPr>
        <w:pStyle w:val="EndnoteText"/>
      </w:pPr>
      <w:r w:rsidRPr="00A91197">
        <w:tab/>
        <w:t>Ceftriaxone</w:t>
      </w:r>
      <w:r>
        <w:fldChar w:fldCharType="begin"/>
      </w:r>
      <w:r>
        <w:instrText xml:space="preserve"> XE "</w:instrText>
      </w:r>
      <w:r w:rsidRPr="007608C3">
        <w:instrText>Ceftriaxone</w:instrText>
      </w:r>
      <w:r>
        <w:instrText xml:space="preserve">" </w:instrText>
      </w:r>
      <w:r>
        <w:fldChar w:fldCharType="end"/>
      </w:r>
      <w:r w:rsidRPr="00A91197">
        <w:t xml:space="preserve">, IM (Neisseria gonorrhoeae): Lewis DA. Gonorrhoea resistance among men who have sex with men: what’s oral sex got to do with it? South Afr J Epidemiol Infect 2013;28(2):77. </w:t>
      </w:r>
      <w:hyperlink r:id="rId2" w:history="1">
        <w:r w:rsidR="00C01CAD" w:rsidRPr="005C4B07">
          <w:rPr>
            <w:rStyle w:val="Hyperlink"/>
          </w:rPr>
          <w:t>https://journals.co.za/content/mp_sajei/28/2/EJC138699</w:t>
        </w:r>
      </w:hyperlink>
      <w:r w:rsidR="00C01CAD">
        <w:t xml:space="preserve"> </w:t>
      </w:r>
    </w:p>
  </w:endnote>
  <w:endnote w:id="3">
    <w:p w14:paraId="0823169C" w14:textId="71701B53" w:rsidR="008A18FE" w:rsidRPr="00A91197" w:rsidRDefault="008A18FE" w:rsidP="00A91197">
      <w:pPr>
        <w:pStyle w:val="EndnoteText"/>
      </w:pPr>
      <w:r w:rsidRPr="00A91197">
        <w:tab/>
        <w:t>Ceftriaxone</w:t>
      </w:r>
      <w:r>
        <w:fldChar w:fldCharType="begin"/>
      </w:r>
      <w:r>
        <w:instrText xml:space="preserve"> XE "</w:instrText>
      </w:r>
      <w:r w:rsidRPr="007608C3">
        <w:instrText>Ceftriaxone</w:instrText>
      </w:r>
      <w:r>
        <w:instrText xml:space="preserve">" </w:instrText>
      </w:r>
      <w:r>
        <w:fldChar w:fldCharType="end"/>
      </w:r>
      <w:r w:rsidRPr="00A91197">
        <w:t xml:space="preserve">, IM (Neisseria gonorrhoeae): Ito M, Yasuda M, Yokoi S, Ito S, Takahashi Y, Ishihara S, Maeda S, Deguchi T. Remarkable increase in central Japan in 2001-2002 of Neisseria gonorrhoeae isolates with decreased susceptibility to penicillin, tetracycline, oral cephalosporins, and fluoroquinolones. Antimicrob Agents Chemother. 2004 Aug;48(8):3185-7. </w:t>
      </w:r>
      <w:hyperlink r:id="rId3" w:history="1">
        <w:r w:rsidRPr="00C746BA">
          <w:rPr>
            <w:rStyle w:val="Hyperlink"/>
          </w:rPr>
          <w:t>https://www.ncbi.nlm.nih.gov/pubmed/15273147</w:t>
        </w:r>
      </w:hyperlink>
      <w:r>
        <w:t xml:space="preserve"> </w:t>
      </w:r>
    </w:p>
    <w:p w14:paraId="45270689" w14:textId="3D4E9BD2" w:rsidR="008A18FE" w:rsidRPr="00A91197" w:rsidRDefault="008A18FE" w:rsidP="00A91197">
      <w:pPr>
        <w:pStyle w:val="EndnoteText"/>
      </w:pPr>
      <w:r w:rsidRPr="00A91197">
        <w:tab/>
        <w:t>Ceftriaxone</w:t>
      </w:r>
      <w:r>
        <w:fldChar w:fldCharType="begin"/>
      </w:r>
      <w:r>
        <w:instrText xml:space="preserve"> XE "</w:instrText>
      </w:r>
      <w:r w:rsidRPr="007608C3">
        <w:instrText>Ceftriaxone</w:instrText>
      </w:r>
      <w:r>
        <w:instrText xml:space="preserve">" </w:instrText>
      </w:r>
      <w:r>
        <w:fldChar w:fldCharType="end"/>
      </w:r>
      <w:r w:rsidRPr="00A91197">
        <w:t xml:space="preserve">, IM (Neisseria gonorrhoeae): Tanaka M, Nakayama H, Tunoe H, Egashira T, Kanayama A, Saika T, Kobayashi I, Naito S. A remarkable reduction in the susceptibility of Neisseria gonorrhoeae isolates to cephems and the selection of antibiotic regimens for the single-dose  treatment of gonococcal infection in Japan. J Infect Chemother. 2002 Mar;8(1):81-6. </w:t>
      </w:r>
      <w:hyperlink r:id="rId4" w:history="1">
        <w:r w:rsidRPr="00C746BA">
          <w:rPr>
            <w:rStyle w:val="Hyperlink"/>
          </w:rPr>
          <w:t>https://www.ncbi.nlm.nih.gov/pubmed/11957125</w:t>
        </w:r>
      </w:hyperlink>
      <w:r>
        <w:t xml:space="preserve"> </w:t>
      </w:r>
    </w:p>
    <w:p w14:paraId="05328187" w14:textId="20E5B046" w:rsidR="008A18FE" w:rsidRPr="00A91197" w:rsidRDefault="008A18FE" w:rsidP="00A91197">
      <w:pPr>
        <w:pStyle w:val="EndnoteText"/>
      </w:pPr>
      <w:r w:rsidRPr="00A91197">
        <w:tab/>
        <w:t>Ceftriaxone</w:t>
      </w:r>
      <w:r>
        <w:fldChar w:fldCharType="begin"/>
      </w:r>
      <w:r>
        <w:instrText xml:space="preserve"> XE "</w:instrText>
      </w:r>
      <w:r w:rsidRPr="007608C3">
        <w:instrText>Ceftriaxone</w:instrText>
      </w:r>
      <w:r>
        <w:instrText xml:space="preserve">" </w:instrText>
      </w:r>
      <w:r>
        <w:fldChar w:fldCharType="end"/>
      </w:r>
      <w:r w:rsidRPr="00A91197">
        <w:t xml:space="preserve">, IM (Neisseria gonorrhoeae): Yokoi S, Deguchi T, Ozawa T, Yasuda M, Ito S, Kubota Y, Tamaki M, Maeda S. Threat to cefixime treatment for gonorrhea. Emerg Infect Dis. 2007 Aug;13(8):1275-7. </w:t>
      </w:r>
      <w:hyperlink r:id="rId5" w:history="1">
        <w:r w:rsidRPr="00C746BA">
          <w:rPr>
            <w:rStyle w:val="Hyperlink"/>
          </w:rPr>
          <w:t>https://www.ncbi.nlm.nih.gov/pubmed/17953118</w:t>
        </w:r>
      </w:hyperlink>
      <w:r>
        <w:t xml:space="preserve"> </w:t>
      </w:r>
    </w:p>
    <w:p w14:paraId="7D9FBDA7" w14:textId="1EA49236" w:rsidR="008A18FE" w:rsidRPr="00A91197" w:rsidRDefault="008A18FE" w:rsidP="00A91197">
      <w:pPr>
        <w:pStyle w:val="EndnoteText"/>
      </w:pPr>
      <w:r w:rsidRPr="00A91197">
        <w:tab/>
        <w:t>Ceftriaxone</w:t>
      </w:r>
      <w:r>
        <w:fldChar w:fldCharType="begin"/>
      </w:r>
      <w:r>
        <w:instrText xml:space="preserve"> XE "</w:instrText>
      </w:r>
      <w:r w:rsidRPr="007608C3">
        <w:instrText>Ceftriaxone</w:instrText>
      </w:r>
      <w:r>
        <w:instrText xml:space="preserve">" </w:instrText>
      </w:r>
      <w:r>
        <w:fldChar w:fldCharType="end"/>
      </w:r>
      <w:r w:rsidRPr="00A91197">
        <w:t xml:space="preserve">, IM (Neisseria gonorrhoeae): Unemo M, Nicholas RA. Emergence of multidrug-resistant, extensively drug-resistant and untreatable gonorrhea. Future Microbiol. 2012 Dec;7(12):1401-22. </w:t>
      </w:r>
      <w:hyperlink r:id="rId6" w:history="1">
        <w:r w:rsidRPr="00C746BA">
          <w:rPr>
            <w:rStyle w:val="Hyperlink"/>
          </w:rPr>
          <w:t>https://www.ncbi.nlm.nih.gov/pubmed/23231489</w:t>
        </w:r>
      </w:hyperlink>
      <w:r>
        <w:t xml:space="preserve"> </w:t>
      </w:r>
    </w:p>
    <w:p w14:paraId="743BB6E9" w14:textId="5827FE34" w:rsidR="008A18FE" w:rsidRPr="00A91197" w:rsidRDefault="008A18FE" w:rsidP="00A91197">
      <w:pPr>
        <w:pStyle w:val="EndnoteText"/>
      </w:pPr>
      <w:r w:rsidRPr="00A91197">
        <w:tab/>
        <w:t>Ceftriaxone</w:t>
      </w:r>
      <w:r>
        <w:fldChar w:fldCharType="begin"/>
      </w:r>
      <w:r>
        <w:instrText xml:space="preserve"> XE "</w:instrText>
      </w:r>
      <w:r w:rsidRPr="007608C3">
        <w:instrText>Ceftriaxone</w:instrText>
      </w:r>
      <w:r>
        <w:instrText xml:space="preserve">" </w:instrText>
      </w:r>
      <w:r>
        <w:fldChar w:fldCharType="end"/>
      </w:r>
      <w:r w:rsidRPr="00A91197">
        <w:t xml:space="preserve">, IM (Neisseria gonorrhoeae): Zhao S, Duncan M, Tomberg J, Davies C, Unemo M, Nicholas RA. Genetics of chromosomally mediated intermediate resistance to ceftriaxone and cefixime in Neisseria gonorrhoeae. Antimicrob Agents Chemother. 2009 Sep;53(9):3744-51. </w:t>
      </w:r>
      <w:hyperlink r:id="rId7" w:history="1">
        <w:r w:rsidRPr="00C746BA">
          <w:rPr>
            <w:rStyle w:val="Hyperlink"/>
          </w:rPr>
          <w:t>https://www.ncbi.nlm.nih.gov/pubmed/19528266</w:t>
        </w:r>
      </w:hyperlink>
      <w:r>
        <w:t xml:space="preserve"> </w:t>
      </w:r>
    </w:p>
    <w:p w14:paraId="31E5039A" w14:textId="20482D9F" w:rsidR="008A18FE" w:rsidRPr="00A91197" w:rsidRDefault="008A18FE" w:rsidP="00A91197">
      <w:pPr>
        <w:pStyle w:val="EndnoteText"/>
      </w:pPr>
      <w:r w:rsidRPr="00A91197">
        <w:tab/>
        <w:t>Ceftriaxone</w:t>
      </w:r>
      <w:r>
        <w:fldChar w:fldCharType="begin"/>
      </w:r>
      <w:r>
        <w:instrText xml:space="preserve"> XE "</w:instrText>
      </w:r>
      <w:r w:rsidRPr="007608C3">
        <w:instrText>Ceftriaxone</w:instrText>
      </w:r>
      <w:r>
        <w:instrText xml:space="preserve">" </w:instrText>
      </w:r>
      <w:r>
        <w:fldChar w:fldCharType="end"/>
      </w:r>
      <w:r w:rsidRPr="00A91197">
        <w:t>, IM (Neisseria gonorrhoeae): Chisholm SA, Mouton JW, Lewis DA, Nichols T, Ison CA, Livermore DM.</w:t>
      </w:r>
    </w:p>
    <w:p w14:paraId="39C807A2" w14:textId="6A634504" w:rsidR="008A18FE" w:rsidRPr="00A91197" w:rsidRDefault="008A18FE" w:rsidP="00A91197">
      <w:pPr>
        <w:pStyle w:val="EndnoteText"/>
      </w:pPr>
      <w:r>
        <w:tab/>
      </w:r>
      <w:r w:rsidRPr="00A91197">
        <w:t xml:space="preserve">Cephalosporin MIC creep among gonococci: time for a pharmacodynamic rethink? J Antimicrob Chemother. 2010 Oct;65(10):2141-8. </w:t>
      </w:r>
      <w:hyperlink r:id="rId8" w:history="1">
        <w:r w:rsidRPr="00C746BA">
          <w:rPr>
            <w:rStyle w:val="Hyperlink"/>
          </w:rPr>
          <w:t>https://www.ncbi.nlm.nih.gov/pubmed/20693173</w:t>
        </w:r>
      </w:hyperlink>
      <w:r>
        <w:t xml:space="preserve"> </w:t>
      </w:r>
    </w:p>
    <w:p w14:paraId="49D99FC7" w14:textId="1B31BBFD" w:rsidR="008A18FE" w:rsidRPr="00A91197" w:rsidRDefault="008A18FE" w:rsidP="00A91197">
      <w:pPr>
        <w:pStyle w:val="EndnoteText"/>
      </w:pPr>
      <w:r w:rsidRPr="00A91197">
        <w:tab/>
        <w:t>Ceftriaxone</w:t>
      </w:r>
      <w:r>
        <w:fldChar w:fldCharType="begin"/>
      </w:r>
      <w:r>
        <w:instrText xml:space="preserve"> XE "</w:instrText>
      </w:r>
      <w:r w:rsidRPr="007608C3">
        <w:instrText>Ceftriaxone</w:instrText>
      </w:r>
      <w:r>
        <w:instrText xml:space="preserve">" </w:instrText>
      </w:r>
      <w:r>
        <w:fldChar w:fldCharType="end"/>
      </w:r>
      <w:r w:rsidRPr="00A91197">
        <w:t>, IM (Neisseria gonorrhoeae): Contract circular RT301-2017: Ceftriaxone 250 mg, parenteral formulation.</w:t>
      </w:r>
    </w:p>
    <w:p w14:paraId="3CD36B89" w14:textId="7B5F057B" w:rsidR="008A18FE" w:rsidRPr="00A91197" w:rsidRDefault="008A18FE" w:rsidP="00A91197">
      <w:pPr>
        <w:pStyle w:val="EndnoteText"/>
      </w:pPr>
      <w:r w:rsidRPr="0019046F">
        <w:rPr>
          <w:rStyle w:val="EndnoteReference"/>
        </w:rPr>
        <w:endnoteRef/>
      </w:r>
      <w:r w:rsidRPr="00A91197">
        <w:tab/>
        <w:t xml:space="preserve">Vaginal discharge syndrome – Sexual activity criterion: Kularatne R, Radebe F, Kufa-Chakezha T, Mbulawa Z, Lewis D. Sentinel Surveillance of Sexually Transmitted Infection Syndrome aetiologies and HPV genotypes among patients attending Primary Health Care Facilities in South Africa, April 2014 – September 2015. </w:t>
      </w:r>
      <w:hyperlink r:id="rId9" w:history="1">
        <w:r w:rsidR="00C01CAD" w:rsidRPr="005C4B07">
          <w:rPr>
            <w:rStyle w:val="Hyperlink"/>
          </w:rPr>
          <w:t>https://www.nicd.ac.za/wp-content/uploads/2017/03/3Final-25-April-2017_Revised-NAS_v5_NICD.pdf</w:t>
        </w:r>
      </w:hyperlink>
      <w:r w:rsidR="00C01CAD">
        <w:t xml:space="preserve"> </w:t>
      </w:r>
    </w:p>
    <w:p w14:paraId="15D1433C" w14:textId="77777777" w:rsidR="008A18FE" w:rsidRPr="00A91197" w:rsidRDefault="008A18FE" w:rsidP="00A91197">
      <w:pPr>
        <w:pStyle w:val="EndnoteText"/>
      </w:pPr>
      <w:r w:rsidRPr="00A91197">
        <w:tab/>
        <w:t>Vaginal discharge syndrome – speculum examination: National Department of Health. Comprehensive STI Clinical Management Guidelines, draft version.</w:t>
      </w:r>
    </w:p>
    <w:p w14:paraId="180D0DD2" w14:textId="6643E298" w:rsidR="008A18FE" w:rsidRPr="00A91197" w:rsidRDefault="008A18FE" w:rsidP="00A91197">
      <w:pPr>
        <w:pStyle w:val="EndnoteText"/>
      </w:pPr>
      <w:r w:rsidRPr="00A91197">
        <w:tab/>
        <w:t>Clotrimazole</w:t>
      </w:r>
      <w:r>
        <w:fldChar w:fldCharType="begin"/>
      </w:r>
      <w:r>
        <w:instrText xml:space="preserve"> XE "</w:instrText>
      </w:r>
      <w:r w:rsidRPr="007608C3">
        <w:instrText>Clotrimazole</w:instrText>
      </w:r>
      <w:r>
        <w:instrText xml:space="preserve">" </w:instrText>
      </w:r>
      <w:r>
        <w:fldChar w:fldCharType="end"/>
      </w:r>
      <w:r w:rsidRPr="00A91197">
        <w:t xml:space="preserve">, topical: Vaginal discharge syndrome – non-sexually active women (monotherapy syndromic directed management – candidiasis): Kularatne R, Radebe F, Kufa-Chakezha T, Mbulawa Z, Lewis D. Sentinel Surveillance of Sexually Transmitted Infection Syndrome aetiologies and HPV genotypes among patients attending Primary Health Care Facilities in South Africa, April 2014 – September 2015. </w:t>
      </w:r>
      <w:hyperlink r:id="rId10" w:history="1">
        <w:r w:rsidR="00C01CAD" w:rsidRPr="005C4B07">
          <w:rPr>
            <w:rStyle w:val="Hyperlink"/>
          </w:rPr>
          <w:t>https://www.nicd.ac.za/wp-content/uploads/2017/03/3Final-25-April-2017_Revised-NAS_v5_NICD.pdf</w:t>
        </w:r>
      </w:hyperlink>
    </w:p>
    <w:p w14:paraId="47D7ED88" w14:textId="3B3B1643" w:rsidR="008A18FE" w:rsidRPr="00A91197" w:rsidRDefault="008A18FE" w:rsidP="00A91197">
      <w:pPr>
        <w:pStyle w:val="EndnoteText"/>
      </w:pPr>
      <w:r w:rsidRPr="00A91197">
        <w:tab/>
        <w:t>Metronidazole, oral</w:t>
      </w:r>
      <w:r>
        <w:fldChar w:fldCharType="begin"/>
      </w:r>
      <w:r>
        <w:instrText xml:space="preserve"> XE "</w:instrText>
      </w:r>
      <w:r w:rsidRPr="007608C3">
        <w:instrText>Metronidazole, oral</w:instrText>
      </w:r>
      <w:r>
        <w:instrText xml:space="preserve">" </w:instrText>
      </w:r>
      <w:r>
        <w:fldChar w:fldCharType="end"/>
      </w:r>
      <w:r w:rsidRPr="00A91197">
        <w:t xml:space="preserve">: Vaginal discharge syndrome – non-sexually active women (monotherapy syndromic directed management – bacterial vaginosis): Kularatne R, Radebe F, Kufa-Chakezha T, Mbulawa Z, Lewis D. Sentinel Surveillance of Sexually Transmitted Infection Syndrome aetiologies and HPV genotypes among patients attending Primary Health Care Facilities in South Africa, April 2014 – September 2015. </w:t>
      </w:r>
      <w:hyperlink r:id="rId11" w:history="1">
        <w:r w:rsidR="00C01CAD" w:rsidRPr="005C4B07">
          <w:rPr>
            <w:rStyle w:val="Hyperlink"/>
          </w:rPr>
          <w:t>https://www.nicd.ac.za/wp-content/uploads/2017/03/3Final-25-April-2017_Revised-NAS_v5_NICD.pdf</w:t>
        </w:r>
      </w:hyperlink>
    </w:p>
  </w:endnote>
  <w:endnote w:id="4">
    <w:p w14:paraId="59B55299" w14:textId="03E0134B" w:rsidR="00C01CAD" w:rsidRPr="00A91197" w:rsidRDefault="008A18FE" w:rsidP="00A91197">
      <w:pPr>
        <w:pStyle w:val="EndnoteText"/>
      </w:pPr>
      <w:r w:rsidRPr="0019046F">
        <w:rPr>
          <w:rStyle w:val="EndnoteReference"/>
        </w:rPr>
        <w:endnoteRef/>
      </w:r>
      <w:r w:rsidRPr="00A91197">
        <w:tab/>
        <w:t xml:space="preserve">Vaginal discharge syndrome – Sexual activity criterion: Kularatne R, Radebe F, Kufa-Chakezha T, Mbulawa Z, Lewis D. Sentinel Surveillance of Sexually Transmitted Infection Syndrome aetiologies and HPV genotypes among patients attending Primary Health Care Facilities in South Africa, April 2014 – September 2015. </w:t>
      </w:r>
      <w:hyperlink r:id="rId12" w:history="1">
        <w:r w:rsidR="00C01CAD" w:rsidRPr="005C4B07">
          <w:rPr>
            <w:rStyle w:val="Hyperlink"/>
          </w:rPr>
          <w:t>https://www.nicd.ac.za/wp-content/uploads/2017/03/3Final-25-April-2017_Revised-NAS_v5_NICD.pdf</w:t>
        </w:r>
      </w:hyperlink>
    </w:p>
    <w:p w14:paraId="0AA643FA" w14:textId="77777777" w:rsidR="008A18FE" w:rsidRPr="00A91197" w:rsidRDefault="008A18FE" w:rsidP="00A91197">
      <w:pPr>
        <w:pStyle w:val="EndnoteText"/>
      </w:pPr>
      <w:r w:rsidRPr="00A91197">
        <w:tab/>
        <w:t>Vaginal discharge syndrome – speculum examination: National Department of Health. Comprehensive STI Clinical Management Guidelines, draft version.</w:t>
      </w:r>
    </w:p>
  </w:endnote>
  <w:endnote w:id="5">
    <w:p w14:paraId="278A7B27" w14:textId="6AB140C4" w:rsidR="008A18FE" w:rsidRPr="00A91197" w:rsidRDefault="008A18FE" w:rsidP="00A91197">
      <w:pPr>
        <w:pStyle w:val="EndnoteText"/>
      </w:pPr>
      <w:r w:rsidRPr="003E18F9">
        <w:rPr>
          <w:rStyle w:val="EndnoteReference"/>
        </w:rPr>
        <w:endnoteRef/>
      </w:r>
      <w:r w:rsidRPr="00A91197">
        <w:tab/>
        <w:t>Doxycycline, oral</w:t>
      </w:r>
      <w:r>
        <w:fldChar w:fldCharType="begin"/>
      </w:r>
      <w:r>
        <w:instrText xml:space="preserve"> XE "</w:instrText>
      </w:r>
      <w:r w:rsidRPr="007608C3">
        <w:instrText>Doxycycline, oral</w:instrText>
      </w:r>
      <w:r>
        <w:instrText xml:space="preserve">" </w:instrText>
      </w:r>
      <w:r>
        <w:fldChar w:fldCharType="end"/>
      </w:r>
      <w:r w:rsidRPr="00A91197">
        <w:t xml:space="preserve"> (genital ulcer syndrome): World Health Organization. WHO guidelines for the treatment of Treponema pallidum (syphilis), 2016.</w:t>
      </w:r>
      <w:r>
        <w:t xml:space="preserve"> </w:t>
      </w:r>
      <w:hyperlink r:id="rId13" w:history="1">
        <w:r w:rsidRPr="00C746BA">
          <w:rPr>
            <w:rStyle w:val="Hyperlink"/>
          </w:rPr>
          <w:t>http://apps.who.int/iris/bitstream/10665/249572/1/9789241549806-eng.pdf</w:t>
        </w:r>
      </w:hyperlink>
      <w:r>
        <w:t xml:space="preserve"> </w:t>
      </w:r>
    </w:p>
  </w:endnote>
  <w:endnote w:id="6">
    <w:p w14:paraId="06A35CE4" w14:textId="4687FDFF" w:rsidR="008A18FE" w:rsidRPr="00A91197" w:rsidRDefault="008A18FE" w:rsidP="00A91197">
      <w:pPr>
        <w:pStyle w:val="EndnoteText"/>
      </w:pPr>
      <w:r w:rsidRPr="003E18F9">
        <w:rPr>
          <w:rStyle w:val="EndnoteReference"/>
        </w:rPr>
        <w:endnoteRef/>
      </w:r>
      <w:r w:rsidRPr="00A91197">
        <w:tab/>
        <w:t>Benzathine benzylpenicillin</w:t>
      </w:r>
      <w:r>
        <w:fldChar w:fldCharType="begin"/>
      </w:r>
      <w:r>
        <w:instrText xml:space="preserve"> XE "</w:instrText>
      </w:r>
      <w:r w:rsidRPr="007608C3">
        <w:instrText>Benzathine benzylpenicillin</w:instrText>
      </w:r>
      <w:r>
        <w:instrText xml:space="preserve">" </w:instrText>
      </w:r>
      <w:r>
        <w:fldChar w:fldCharType="end"/>
      </w:r>
      <w:r w:rsidRPr="00A91197">
        <w:t xml:space="preserve"> (genital ulcer syndrome): Liu HY, Han Y, Chen XS, Bai L, Guo SP, Li L, Wu P, Yin YP. Comparison of efficacy of treatments for early syphilis: A systematic review and network meta-analysis of randomized controlled trials and observational studies. PLoS One. 2017 Jun 28;12(6):e0180001. </w:t>
      </w:r>
      <w:hyperlink r:id="rId14" w:history="1">
        <w:r w:rsidRPr="00C746BA">
          <w:rPr>
            <w:rStyle w:val="Hyperlink"/>
          </w:rPr>
          <w:t>https://www.ncbi.nlm.nih.gov/pubmed/28658325</w:t>
        </w:r>
      </w:hyperlink>
      <w:r>
        <w:t xml:space="preserve"> </w:t>
      </w:r>
    </w:p>
    <w:p w14:paraId="442F4283" w14:textId="7D2F5D59" w:rsidR="008A18FE" w:rsidRPr="00A91197" w:rsidRDefault="008A18FE" w:rsidP="00A91197">
      <w:pPr>
        <w:pStyle w:val="EndnoteText"/>
      </w:pPr>
      <w:r w:rsidRPr="00A91197">
        <w:tab/>
        <w:t xml:space="preserve">Pregnant women, 1st trimester (genital ulcer syndrome): National Department of Health. Guidelines for Maternity Care in South Africa, 2016. </w:t>
      </w:r>
      <w:hyperlink r:id="rId15" w:history="1">
        <w:r w:rsidRPr="00C746BA">
          <w:rPr>
            <w:rStyle w:val="Hyperlink"/>
          </w:rPr>
          <w:t>http://www.health.gov.za</w:t>
        </w:r>
      </w:hyperlink>
      <w:r>
        <w:t xml:space="preserve"> </w:t>
      </w:r>
    </w:p>
  </w:endnote>
  <w:endnote w:id="7">
    <w:p w14:paraId="64177175" w14:textId="61DE8B77" w:rsidR="008A18FE" w:rsidRPr="00A91197" w:rsidRDefault="008A18FE" w:rsidP="00A91197">
      <w:pPr>
        <w:pStyle w:val="EndnoteText"/>
      </w:pPr>
      <w:r w:rsidRPr="00F609EB">
        <w:rPr>
          <w:rStyle w:val="EndnoteReference"/>
        </w:rPr>
        <w:endnoteRef/>
      </w:r>
      <w:r w:rsidRPr="00A91197">
        <w:tab/>
        <w:t xml:space="preserve">Azitromycin, oral (bubo): González-Beiras C, Marks M, Chen CY, Roberts S, Mitjà O. Epidemiology of Haemophilus ducreyi Infections. Emerg Infect Dis. 2016 Jan;22(1):1-8. </w:t>
      </w:r>
      <w:hyperlink r:id="rId16" w:history="1">
        <w:r w:rsidRPr="00C746BA">
          <w:rPr>
            <w:rStyle w:val="Hyperlink"/>
          </w:rPr>
          <w:t>https://www.ncbi.nlm.nih.gov/pubmed/26694983</w:t>
        </w:r>
      </w:hyperlink>
      <w:r>
        <w:t xml:space="preserve"> </w:t>
      </w:r>
    </w:p>
  </w:endnote>
  <w:endnote w:id="8">
    <w:p w14:paraId="7BACE7DC" w14:textId="201873EC" w:rsidR="008A18FE" w:rsidRPr="00A91197" w:rsidRDefault="008A18FE" w:rsidP="00A91197">
      <w:pPr>
        <w:pStyle w:val="EndnoteText"/>
      </w:pPr>
      <w:r w:rsidRPr="00F609EB">
        <w:rPr>
          <w:rStyle w:val="EndnoteReference"/>
        </w:rPr>
        <w:endnoteRef/>
      </w:r>
      <w:r w:rsidRPr="00A91197">
        <w:tab/>
        <w:t xml:space="preserve">Syphilis serology (RPR follow-up test in doxycycline-treated patients not recommended): Liu HY, Han Y, Chen XS, Bai L, Guo SP, Li L, Wu P, Yin YP. Comparison of efficacy of treatments for early syphilis: A systematic review and network meta-analysis of randomized controlled trials and observational studies. PLoS One. 2017 Jun 28;12(6):e0180001. </w:t>
      </w:r>
      <w:hyperlink r:id="rId17" w:history="1">
        <w:r w:rsidRPr="00C746BA">
          <w:rPr>
            <w:rStyle w:val="Hyperlink"/>
          </w:rPr>
          <w:t>https://www.ncbi.nlm.nih.gov/pubmed/28658325</w:t>
        </w:r>
      </w:hyperlink>
      <w:r>
        <w:t xml:space="preserve"> </w:t>
      </w:r>
    </w:p>
    <w:p w14:paraId="3347CBBF" w14:textId="68CBA4AA" w:rsidR="008A18FE" w:rsidRPr="00A91197" w:rsidRDefault="008A18FE" w:rsidP="00A91197">
      <w:pPr>
        <w:pStyle w:val="EndnoteText"/>
      </w:pPr>
      <w:r w:rsidRPr="00A91197">
        <w:tab/>
        <w:t xml:space="preserve">Syphilis serology (RPR follow-up test in doxycycline-treated patients not recommended): Salado-Rasmussen K, Hoffmann S, Cowan S, Jensen JS, Benfield T, Gerstoft J, Katzenstein TL. Serological Response to Treatment of Syphilis with Doxycycline Compared with Penicillin in HIV-infected Individuals. Acta Derm Venereol. 2016 Aug 23;96(6):807-11. </w:t>
      </w:r>
      <w:hyperlink r:id="rId18" w:history="1">
        <w:r w:rsidRPr="00C746BA">
          <w:rPr>
            <w:rStyle w:val="Hyperlink"/>
          </w:rPr>
          <w:t>https://www.ncbi.nlm.nih.gov/pubmed/26568359</w:t>
        </w:r>
      </w:hyperlink>
      <w:r>
        <w:t xml:space="preserve"> </w:t>
      </w:r>
    </w:p>
    <w:p w14:paraId="64603CB8" w14:textId="0A1B3DA1" w:rsidR="008A18FE" w:rsidRPr="00A91197" w:rsidRDefault="008A18FE" w:rsidP="00A91197">
      <w:pPr>
        <w:pStyle w:val="EndnoteText"/>
      </w:pPr>
      <w:r w:rsidRPr="00A91197">
        <w:tab/>
        <w:t xml:space="preserve">Syphilis serology (RPR follow-up test in doxycycline-treated patients not recommended): Dai T, Qu R, Liu J, Zhou P, Wang Q. Efficacy of Doxycycline in the Treatment of Syphilis. Antimicrob Agents Chemother. 2016 Dec 27;61(1). pii: e01092-16. </w:t>
      </w:r>
      <w:hyperlink r:id="rId19" w:history="1">
        <w:r w:rsidRPr="00C746BA">
          <w:rPr>
            <w:rStyle w:val="Hyperlink"/>
          </w:rPr>
          <w:t>https://www.ncbi.nlm.nih.gov/pubmed/27795370</w:t>
        </w:r>
      </w:hyperlink>
      <w:r>
        <w:t xml:space="preserve"> </w:t>
      </w:r>
    </w:p>
  </w:endnote>
  <w:endnote w:id="9">
    <w:p w14:paraId="69E73715" w14:textId="333C4CE4" w:rsidR="008A18FE" w:rsidRPr="00A91197" w:rsidRDefault="008A18FE" w:rsidP="00A91197">
      <w:pPr>
        <w:pStyle w:val="EndnoteText"/>
      </w:pPr>
      <w:r w:rsidRPr="00F609EB">
        <w:rPr>
          <w:rStyle w:val="EndnoteReference"/>
        </w:rPr>
        <w:endnoteRef/>
      </w:r>
      <w:r w:rsidRPr="00A91197">
        <w:tab/>
        <w:t>Doxycycline, oral</w:t>
      </w:r>
      <w:r>
        <w:fldChar w:fldCharType="begin"/>
      </w:r>
      <w:r>
        <w:instrText xml:space="preserve"> XE "</w:instrText>
      </w:r>
      <w:r w:rsidRPr="007608C3">
        <w:instrText>Doxycycline, oral</w:instrText>
      </w:r>
      <w:r>
        <w:instrText xml:space="preserve">" </w:instrText>
      </w:r>
      <w:r>
        <w:fldChar w:fldCharType="end"/>
      </w:r>
      <w:r w:rsidRPr="00A91197">
        <w:t xml:space="preserve"> (Early syphilis treatment - penicillin allergic/benzathine benzylpenicillin unavailable): World Health Organization. WHO guidelines for the treatment of Treponemapallidum (syphilis), 2016. </w:t>
      </w:r>
      <w:hyperlink r:id="rId20" w:history="1">
        <w:r w:rsidRPr="00C746BA">
          <w:rPr>
            <w:rStyle w:val="Hyperlink"/>
          </w:rPr>
          <w:t>http://apps.who.int/iris/bitstream/10665/249572/1/9789241549806-eng.pdf</w:t>
        </w:r>
      </w:hyperlink>
      <w:r>
        <w:t xml:space="preserve"> </w:t>
      </w:r>
    </w:p>
  </w:endnote>
  <w:endnote w:id="10">
    <w:p w14:paraId="1CD9D483" w14:textId="73E79523" w:rsidR="008A18FE" w:rsidRPr="00A91197" w:rsidRDefault="008A18FE" w:rsidP="00A91197">
      <w:pPr>
        <w:pStyle w:val="EndnoteText"/>
      </w:pPr>
      <w:r w:rsidRPr="00F609EB">
        <w:rPr>
          <w:rStyle w:val="EndnoteReference"/>
        </w:rPr>
        <w:endnoteRef/>
      </w:r>
      <w:r w:rsidRPr="00A91197">
        <w:tab/>
        <w:t>Amoxicillin, oral</w:t>
      </w:r>
      <w:r>
        <w:fldChar w:fldCharType="begin"/>
      </w:r>
      <w:r>
        <w:instrText xml:space="preserve"> XE "</w:instrText>
      </w:r>
      <w:r w:rsidRPr="007608C3">
        <w:instrText>Amoxicillin, oral</w:instrText>
      </w:r>
      <w:r>
        <w:instrText xml:space="preserve">" </w:instrText>
      </w:r>
      <w:r>
        <w:fldChar w:fldCharType="end"/>
      </w:r>
      <w:r w:rsidRPr="00A91197">
        <w:t xml:space="preserve"> + probenecid, oral (Early syphilis treatment - pregnant/benzathine benzylpenicillin unavailable):</w:t>
      </w:r>
      <w:r w:rsidRPr="00A91197" w:rsidDel="002B46FF">
        <w:t xml:space="preserve"> </w:t>
      </w:r>
      <w:r w:rsidRPr="00A91197">
        <w:t xml:space="preserve">Tanizaki R, Nishijima T, Aoki T, Teruya K, Kikuchi Y, Oka S, et al. High-dose oral amoxicillin plus probenecid is highly effective for syphilis in patients with HIV infection. Clin Infect Dis. 2015;61(2):177-83. </w:t>
      </w:r>
      <w:hyperlink r:id="rId21" w:history="1">
        <w:r w:rsidRPr="00C746BA">
          <w:rPr>
            <w:rStyle w:val="Hyperlink"/>
          </w:rPr>
          <w:t>https://www.ncbi.nlm.nih.gov/pubmed/25829004</w:t>
        </w:r>
      </w:hyperlink>
      <w:r>
        <w:t xml:space="preserve"> </w:t>
      </w:r>
    </w:p>
    <w:p w14:paraId="6BBA7742" w14:textId="14246DA7" w:rsidR="008A18FE" w:rsidRPr="00A91197" w:rsidRDefault="008A18FE" w:rsidP="00A91197">
      <w:pPr>
        <w:pStyle w:val="EndnoteText"/>
      </w:pPr>
      <w:r w:rsidRPr="00A91197">
        <w:tab/>
        <w:t>Amoxicillin, oral</w:t>
      </w:r>
      <w:r>
        <w:fldChar w:fldCharType="begin"/>
      </w:r>
      <w:r>
        <w:instrText xml:space="preserve"> XE "</w:instrText>
      </w:r>
      <w:r w:rsidRPr="007608C3">
        <w:instrText>Amoxicillin, oral</w:instrText>
      </w:r>
      <w:r>
        <w:instrText xml:space="preserve">" </w:instrText>
      </w:r>
      <w:r>
        <w:fldChar w:fldCharType="end"/>
      </w:r>
      <w:r w:rsidRPr="00A91197">
        <w:t xml:space="preserve"> + probenecid, oral (Early syphilis treatment - pregnant/benzathine benzylpenicillin unavailable): National Department of Health: Affordable Medicines, EDP-Adult Hospital level. Medicine Review: Amoxicllin+probenecid for syphilis in pregnant women, January 2018. </w:t>
      </w:r>
      <w:hyperlink r:id="rId22" w:history="1">
        <w:r w:rsidRPr="00C746BA">
          <w:rPr>
            <w:rStyle w:val="Hyperlink"/>
          </w:rPr>
          <w:t>http://www.health.gov.za/</w:t>
        </w:r>
      </w:hyperlink>
      <w:r>
        <w:t xml:space="preserve"> </w:t>
      </w:r>
    </w:p>
  </w:endnote>
  <w:endnote w:id="11">
    <w:p w14:paraId="3F179C32" w14:textId="2511AC09" w:rsidR="008A18FE" w:rsidRPr="00A91197" w:rsidRDefault="008A18FE" w:rsidP="00A91197">
      <w:pPr>
        <w:pStyle w:val="EndnoteText"/>
      </w:pPr>
      <w:r w:rsidRPr="002B1F27">
        <w:rPr>
          <w:rStyle w:val="EndnoteReference"/>
        </w:rPr>
        <w:endnoteRef/>
      </w:r>
      <w:r w:rsidRPr="00A91197">
        <w:tab/>
        <w:t>Doxycycline, oral</w:t>
      </w:r>
      <w:r>
        <w:fldChar w:fldCharType="begin"/>
      </w:r>
      <w:r>
        <w:instrText xml:space="preserve"> XE "</w:instrText>
      </w:r>
      <w:r w:rsidRPr="007608C3">
        <w:instrText>Doxycycline, oral</w:instrText>
      </w:r>
      <w:r>
        <w:instrText xml:space="preserve">" </w:instrText>
      </w:r>
      <w:r>
        <w:fldChar w:fldCharType="end"/>
      </w:r>
      <w:r w:rsidRPr="00A91197">
        <w:t>:  Late latent syphilis treatment - penicillin allergic: World Health Organization. WHO guidelines for the treatment of Treponema pallidum (syphilis), 2016.</w:t>
      </w:r>
      <w:r>
        <w:t xml:space="preserve"> </w:t>
      </w:r>
      <w:hyperlink r:id="rId23" w:history="1">
        <w:r w:rsidRPr="00C746BA">
          <w:rPr>
            <w:rStyle w:val="Hyperlink"/>
          </w:rPr>
          <w:t>http://apps.who.int/iris/bitstream/10665/249572/1/9789241549806-eng.pdf</w:t>
        </w:r>
      </w:hyperlink>
      <w:r>
        <w:t xml:space="preserve"> </w:t>
      </w:r>
    </w:p>
  </w:endnote>
  <w:endnote w:id="12">
    <w:p w14:paraId="7248147A" w14:textId="45D638EB" w:rsidR="008A18FE" w:rsidRPr="00A91197" w:rsidRDefault="008A18FE" w:rsidP="00A91197">
      <w:pPr>
        <w:pStyle w:val="EndnoteText"/>
      </w:pPr>
      <w:r w:rsidRPr="002B1F27">
        <w:rPr>
          <w:rStyle w:val="EndnoteReference"/>
        </w:rPr>
        <w:endnoteRef/>
      </w:r>
      <w:r w:rsidRPr="00A91197">
        <w:tab/>
        <w:t>Amoxicillin, oral</w:t>
      </w:r>
      <w:r>
        <w:fldChar w:fldCharType="begin"/>
      </w:r>
      <w:r>
        <w:instrText xml:space="preserve"> XE "</w:instrText>
      </w:r>
      <w:r w:rsidRPr="007608C3">
        <w:instrText>Amoxicillin, oral</w:instrText>
      </w:r>
      <w:r>
        <w:instrText xml:space="preserve">" </w:instrText>
      </w:r>
      <w:r>
        <w:fldChar w:fldCharType="end"/>
      </w:r>
      <w:r w:rsidRPr="00A91197">
        <w:t xml:space="preserve"> + probenecid, oral (Late latent syphilis treatment - pregnant/benzathine benzylpenicillin unavailable): Tanizaki R, Nishijima T, Aoki T, Teruya K, Kikuchi Y, Oka S, et al. High-dose oral amoxicillin plus probenecid is highly effective for syphilis in patients with HIV infection. Clin Infect Dis. 2015;61(2):177-83. </w:t>
      </w:r>
      <w:hyperlink r:id="rId24" w:history="1">
        <w:r w:rsidRPr="00C746BA">
          <w:rPr>
            <w:rStyle w:val="Hyperlink"/>
          </w:rPr>
          <w:t>https://www.ncbi.nlm.nih.gov/pubmed/25829004</w:t>
        </w:r>
      </w:hyperlink>
      <w:r>
        <w:t xml:space="preserve"> </w:t>
      </w:r>
    </w:p>
    <w:p w14:paraId="52468FD2" w14:textId="08859BAE" w:rsidR="008A18FE" w:rsidRPr="00A91197" w:rsidRDefault="008A18FE" w:rsidP="00A91197">
      <w:pPr>
        <w:pStyle w:val="EndnoteText"/>
      </w:pPr>
      <w:r w:rsidRPr="00A91197">
        <w:tab/>
        <w:t>Amoxicillin, oral</w:t>
      </w:r>
      <w:r>
        <w:fldChar w:fldCharType="begin"/>
      </w:r>
      <w:r>
        <w:instrText xml:space="preserve"> XE "</w:instrText>
      </w:r>
      <w:r w:rsidRPr="007608C3">
        <w:instrText>Amoxicillin, oral</w:instrText>
      </w:r>
      <w:r>
        <w:instrText xml:space="preserve">" </w:instrText>
      </w:r>
      <w:r>
        <w:fldChar w:fldCharType="end"/>
      </w:r>
      <w:r w:rsidRPr="00A91197">
        <w:t xml:space="preserve"> + probenecid, oral (Late latent syphilis treatment - pregnant/benzathine benzylpenicillin unavailable): National Department of Health: Affordable Medicines, EDP-Adult Hospital level. Medicine Review: Amoxicllin+probenecid for syphilis in pregnant women, January 2018. </w:t>
      </w:r>
      <w:hyperlink r:id="rId25" w:history="1">
        <w:r w:rsidRPr="00C746BA">
          <w:rPr>
            <w:rStyle w:val="Hyperlink"/>
          </w:rPr>
          <w:t>http://www.health.gov.za/</w:t>
        </w:r>
      </w:hyperlink>
      <w:r>
        <w:t xml:space="preserve"> </w:t>
      </w:r>
    </w:p>
  </w:endnote>
  <w:endnote w:id="13">
    <w:p w14:paraId="208FAA61" w14:textId="14DFE895" w:rsidR="008A18FE" w:rsidRDefault="008A18FE" w:rsidP="00A91197">
      <w:pPr>
        <w:pStyle w:val="EndnoteText"/>
      </w:pPr>
      <w:r w:rsidRPr="002B1F27">
        <w:rPr>
          <w:rStyle w:val="EndnoteReference"/>
        </w:rPr>
        <w:endnoteRef/>
      </w:r>
      <w:r w:rsidRPr="00A91197">
        <w:tab/>
        <w:t xml:space="preserve">STI partner treatment:  Centers for Disease Control and Prevention. 2015 Sexually Transmitted Diseases Treatment Guidelines. </w:t>
      </w:r>
      <w:hyperlink r:id="rId26" w:history="1">
        <w:r w:rsidRPr="00C746BA">
          <w:rPr>
            <w:rStyle w:val="Hyperlink"/>
          </w:rPr>
          <w:t>https://www.cdc.gov/std/tg2015/</w:t>
        </w:r>
      </w:hyperlink>
      <w:r>
        <w:t xml:space="preserve"> </w:t>
      </w:r>
    </w:p>
    <w:p w14:paraId="3CC0CA87" w14:textId="7CFF8A32" w:rsidR="00405175" w:rsidRPr="00405175" w:rsidRDefault="00405175" w:rsidP="00405175">
      <w:pPr>
        <w:pStyle w:val="EndnoteText"/>
      </w:pPr>
    </w:p>
    <w:p w14:paraId="6CEA4EA1" w14:textId="0DEEA4E9" w:rsidR="0068358D" w:rsidRPr="0068358D" w:rsidRDefault="0068358D" w:rsidP="00A91197">
      <w:pPr>
        <w:pStyle w:val="EndnoteText"/>
        <w:rPr>
          <w:b/>
          <w:bCs/>
          <w:sz w:val="16"/>
          <w:szCs w:val="22"/>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841717" w14:textId="183577D5" w:rsidR="00390F33" w:rsidRDefault="00EF4276">
    <w:pPr>
      <w:pStyle w:val="Footer"/>
    </w:pPr>
    <w:r>
      <w:tab/>
    </w:r>
    <w:r>
      <w:fldChar w:fldCharType="begin"/>
    </w:r>
    <w:r>
      <w:instrText xml:space="preserve"> PAGE   \* MERGEFORMAT </w:instrText>
    </w:r>
    <w:r>
      <w:fldChar w:fldCharType="separate"/>
    </w:r>
    <w:r w:rsidR="00046FD1">
      <w:rPr>
        <w:noProof/>
      </w:rPr>
      <w:t>12.7</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ED8F6E" w14:textId="6312D3BE" w:rsidR="00390F33" w:rsidRPr="00390F33" w:rsidRDefault="00EF4276" w:rsidP="00390F33">
    <w:pPr>
      <w:pStyle w:val="Footer"/>
    </w:pPr>
    <w:r>
      <w:tab/>
    </w:r>
    <w:r>
      <w:fldChar w:fldCharType="begin"/>
    </w:r>
    <w:r>
      <w:instrText xml:space="preserve"> PAGE   \* MERGEFORMAT </w:instrText>
    </w:r>
    <w:r>
      <w:fldChar w:fldCharType="separate"/>
    </w:r>
    <w:r w:rsidR="00046FD1">
      <w:rPr>
        <w:noProof/>
      </w:rPr>
      <w:t>12.1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7EB163" w14:textId="77777777" w:rsidR="00F02F0F" w:rsidRDefault="00F02F0F" w:rsidP="00AD1B9A">
      <w:r>
        <w:separator/>
      </w:r>
    </w:p>
  </w:footnote>
  <w:footnote w:type="continuationSeparator" w:id="0">
    <w:p w14:paraId="7338979B" w14:textId="77777777" w:rsidR="00F02F0F" w:rsidRDefault="00F02F0F" w:rsidP="00AD1B9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6DBBBA" w14:textId="77777777" w:rsidR="00270007" w:rsidRDefault="00270007" w:rsidP="0005561D">
    <w:pPr>
      <w:pStyle w:val="Header"/>
    </w:pPr>
    <w:r w:rsidRPr="0005561D">
      <w:t xml:space="preserve">Chapter </w:t>
    </w:r>
    <w:r>
      <w:t>12</w:t>
    </w:r>
    <w:r w:rsidRPr="0005561D">
      <w:tab/>
    </w:r>
    <w:r w:rsidRPr="0005561D">
      <w:tab/>
    </w:r>
    <w:r>
      <w:t>Sexually transmitted infections</w:t>
    </w:r>
  </w:p>
  <w:p w14:paraId="46C771F0" w14:textId="77777777" w:rsidR="00270007" w:rsidRPr="00A56815" w:rsidRDefault="00270007" w:rsidP="00A56815">
    <w:pPr>
      <w:pStyle w:val="NoSpacing"/>
      <w:rPr>
        <w:sz w:val="12"/>
        <w:szCs w:val="1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E04C92" w14:textId="77777777" w:rsidR="00390F33" w:rsidRPr="00390F33" w:rsidRDefault="00390F33" w:rsidP="00390F33">
    <w:pPr>
      <w:pStyle w:val="Header"/>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AE62B8B"/>
    <w:multiLevelType w:val="hybridMultilevel"/>
    <w:tmpl w:val="38F209B6"/>
    <w:lvl w:ilvl="0" w:tplc="F12004D4">
      <w:start w:val="1"/>
      <w:numFmt w:val="bullet"/>
      <w:lvlText w:val="□"/>
      <w:lvlJc w:val="left"/>
      <w:pPr>
        <w:ind w:left="720" w:hanging="360"/>
      </w:pPr>
      <w:rPr>
        <w:rFonts w:ascii="Arial" w:hAnsi="Aria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 w15:restartNumberingAfterBreak="0">
    <w:nsid w:val="1E8D47F2"/>
    <w:multiLevelType w:val="multilevel"/>
    <w:tmpl w:val="1A0A41A6"/>
    <w:lvl w:ilvl="0">
      <w:numFmt w:val="none"/>
      <w:lvlText w:val="»"/>
      <w:lvlJc w:val="left"/>
      <w:pPr>
        <w:ind w:left="284" w:hanging="284"/>
      </w:pPr>
      <w:rPr>
        <w:rFonts w:hint="default"/>
        <w:color w:val="000000"/>
      </w:rPr>
    </w:lvl>
    <w:lvl w:ilvl="1">
      <w:start w:val="1"/>
      <w:numFmt w:val="bullet"/>
      <w:lvlText w:val="-"/>
      <w:lvlJc w:val="left"/>
      <w:pPr>
        <w:ind w:left="567" w:hanging="283"/>
      </w:pPr>
      <w:rPr>
        <w:rFonts w:ascii="Courier New" w:hAnsi="Courier New" w:hint="default"/>
        <w:b/>
        <w:i w:val="0"/>
        <w:color w:val="000000"/>
        <w:sz w:val="14"/>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2" w15:restartNumberingAfterBreak="0">
    <w:nsid w:val="363546DB"/>
    <w:multiLevelType w:val="multilevel"/>
    <w:tmpl w:val="EAD46F70"/>
    <w:lvl w:ilvl="0">
      <w:start w:val="12"/>
      <w:numFmt w:val="decimal"/>
      <w:pStyle w:val="Heading1"/>
      <w:lvlText w:val="PHC Chapter %1:"/>
      <w:lvlJc w:val="left"/>
      <w:pPr>
        <w:ind w:left="2693" w:hanging="2948"/>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3" w15:restartNumberingAfterBreak="0">
    <w:nsid w:val="36674731"/>
    <w:multiLevelType w:val="multilevel"/>
    <w:tmpl w:val="846208FC"/>
    <w:lvl w:ilvl="0">
      <w:start w:val="1"/>
      <w:numFmt w:val="bullet"/>
      <w:pStyle w:val="BulletDirectionsInstructions"/>
      <w:lvlText w:val="o"/>
      <w:lvlJc w:val="left"/>
      <w:pPr>
        <w:ind w:left="567"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3C251272"/>
    <w:multiLevelType w:val="multilevel"/>
    <w:tmpl w:val="3208DCEC"/>
    <w:lvl w:ilvl="0">
      <w:start w:val="1"/>
      <w:numFmt w:val="decimal"/>
      <w:pStyle w:val="ListParagraphNumbered"/>
      <w:lvlText w:val="%1."/>
      <w:lvlJc w:val="left"/>
      <w:pPr>
        <w:ind w:left="284" w:hanging="284"/>
      </w:pPr>
      <w:rPr>
        <w:rFonts w:ascii="Arial" w:hAnsi="Arial" w:hint="default"/>
        <w:b w:val="0"/>
        <w:i w:val="0"/>
        <w:color w:val="000000"/>
        <w:sz w:val="18"/>
      </w:rPr>
    </w:lvl>
    <w:lvl w:ilvl="1">
      <w:start w:val="1"/>
      <w:numFmt w:val="lowerLetter"/>
      <w:lvlText w:val="%2."/>
      <w:lvlJc w:val="left"/>
      <w:pPr>
        <w:ind w:left="567" w:hanging="283"/>
      </w:pPr>
      <w:rPr>
        <w:rFonts w:ascii="Arial" w:hAnsi="Arial" w:hint="default"/>
        <w:b w:val="0"/>
        <w:i w:val="0"/>
        <w:caps w:val="0"/>
        <w:strike w:val="0"/>
        <w:dstrike w:val="0"/>
        <w:vanish w:val="0"/>
        <w:sz w:val="18"/>
        <w:vertAlign w:val="baseline"/>
      </w:rPr>
    </w:lvl>
    <w:lvl w:ilvl="2">
      <w:start w:val="1"/>
      <w:numFmt w:val="bullet"/>
      <w:lvlText w:val="-"/>
      <w:lvlJc w:val="left"/>
      <w:pPr>
        <w:ind w:left="851" w:hanging="284"/>
      </w:pPr>
      <w:rPr>
        <w:rFonts w:ascii="Courier New" w:hAnsi="Courier New" w:hint="default"/>
        <w:color w:val="000000"/>
      </w:rPr>
    </w:lvl>
    <w:lvl w:ilvl="3">
      <w:start w:val="1"/>
      <w:numFmt w:val="bullet"/>
      <w:lvlText w:val=""/>
      <w:lvlJc w:val="left"/>
      <w:pPr>
        <w:ind w:left="1134" w:hanging="283"/>
      </w:pPr>
      <w:rPr>
        <w:rFonts w:ascii="Symbol" w:hAnsi="Symbol"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5" w15:restartNumberingAfterBreak="0">
    <w:nsid w:val="43C35C2B"/>
    <w:multiLevelType w:val="hybridMultilevel"/>
    <w:tmpl w:val="61D82BE0"/>
    <w:lvl w:ilvl="0" w:tplc="414C7958">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 w15:restartNumberingAfterBreak="0">
    <w:nsid w:val="49B01A0C"/>
    <w:multiLevelType w:val="multilevel"/>
    <w:tmpl w:val="1F264354"/>
    <w:lvl w:ilvl="0">
      <w:numFmt w:val="none"/>
      <w:pStyle w:val="ListParagraph"/>
      <w:lvlText w:val="»"/>
      <w:lvlJc w:val="left"/>
      <w:pPr>
        <w:ind w:left="284" w:hanging="284"/>
      </w:pPr>
      <w:rPr>
        <w:rFonts w:hint="default"/>
        <w:color w:val="000000"/>
      </w:rPr>
    </w:lvl>
    <w:lvl w:ilvl="1">
      <w:start w:val="1"/>
      <w:numFmt w:val="bullet"/>
      <w:lvlText w:val="-"/>
      <w:lvlJc w:val="left"/>
      <w:pPr>
        <w:ind w:left="567" w:hanging="283"/>
      </w:pPr>
      <w:rPr>
        <w:rFonts w:ascii="Courier New" w:hAnsi="Courier New" w:hint="default"/>
        <w:b/>
        <w:i w:val="0"/>
        <w:color w:val="000000"/>
        <w:sz w:val="14"/>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7" w15:restartNumberingAfterBreak="0">
    <w:nsid w:val="59D62962"/>
    <w:multiLevelType w:val="hybridMultilevel"/>
    <w:tmpl w:val="057CE310"/>
    <w:lvl w:ilvl="0" w:tplc="D9FC1AC6">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8" w15:restartNumberingAfterBreak="0">
    <w:nsid w:val="67707BDB"/>
    <w:multiLevelType w:val="hybridMultilevel"/>
    <w:tmpl w:val="6ADE2984"/>
    <w:lvl w:ilvl="0" w:tplc="F8E89BF0">
      <w:numFmt w:val="none"/>
      <w:lvlText w:val="»"/>
      <w:lvlJc w:val="left"/>
      <w:pPr>
        <w:ind w:left="360" w:hanging="360"/>
      </w:pPr>
      <w:rPr>
        <w:rFonts w:hint="default"/>
        <w:color w:val="000000"/>
      </w:rPr>
    </w:lvl>
    <w:lvl w:ilvl="1" w:tplc="1C090019">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9" w15:restartNumberingAfterBreak="0">
    <w:nsid w:val="6BF731A7"/>
    <w:multiLevelType w:val="multilevel"/>
    <w:tmpl w:val="BDA4EB8A"/>
    <w:lvl w:ilvl="0">
      <w:start w:val="1"/>
      <w:numFmt w:val="bullet"/>
      <w:pStyle w:val="BulletMedicine"/>
      <w:lvlText w:val=""/>
      <w:lvlJc w:val="left"/>
      <w:pPr>
        <w:ind w:left="284" w:hanging="284"/>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6E615440"/>
    <w:multiLevelType w:val="hybridMultilevel"/>
    <w:tmpl w:val="AA4004F6"/>
    <w:lvl w:ilvl="0" w:tplc="F8E89BF0">
      <w:numFmt w:val="none"/>
      <w:lvlText w:val="»"/>
      <w:lvlJc w:val="left"/>
      <w:pPr>
        <w:ind w:left="360" w:hanging="360"/>
      </w:pPr>
      <w:rPr>
        <w:rFonts w:hint="default"/>
        <w:color w:val="000000"/>
      </w:rPr>
    </w:lvl>
    <w:lvl w:ilvl="1" w:tplc="0CF0D602">
      <w:start w:val="1"/>
      <w:numFmt w:val="bullet"/>
      <w:lvlText w:val="-"/>
      <w:lvlJc w:val="left"/>
      <w:pPr>
        <w:ind w:left="1080" w:hanging="360"/>
      </w:pPr>
      <w:rPr>
        <w:rFonts w:ascii="Calibri" w:hAnsi="Calibri" w:hint="default"/>
        <w:sz w:val="18"/>
      </w:r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11" w15:restartNumberingAfterBreak="0">
    <w:nsid w:val="73571811"/>
    <w:multiLevelType w:val="multilevel"/>
    <w:tmpl w:val="F17A6458"/>
    <w:lvl w:ilvl="0">
      <w:start w:val="1"/>
      <w:numFmt w:val="bullet"/>
      <w:pStyle w:val="BulletNutrition"/>
      <w:lvlText w:val=""/>
      <w:lvlJc w:val="left"/>
      <w:pPr>
        <w:ind w:left="284" w:hanging="284"/>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79132D17"/>
    <w:multiLevelType w:val="multilevel"/>
    <w:tmpl w:val="2F7C0F42"/>
    <w:lvl w:ilvl="0">
      <w:start w:val="1"/>
      <w:numFmt w:val="bullet"/>
      <w:pStyle w:val="BulletTherapeuticclass"/>
      <w:lvlText w:val=""/>
      <w:lvlJc w:val="left"/>
      <w:pPr>
        <w:ind w:left="284" w:hanging="284"/>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7D2D6A2F"/>
    <w:multiLevelType w:val="hybridMultilevel"/>
    <w:tmpl w:val="33D0430E"/>
    <w:lvl w:ilvl="0" w:tplc="A5146DBA">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4" w15:restartNumberingAfterBreak="0">
    <w:nsid w:val="7D447CF3"/>
    <w:multiLevelType w:val="hybridMultilevel"/>
    <w:tmpl w:val="014ADD1E"/>
    <w:lvl w:ilvl="0" w:tplc="38E8ADF8">
      <w:start w:val="1"/>
      <w:numFmt w:val="decimal"/>
      <w:lvlText w:val="PHC Chapter %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num w:numId="1" w16cid:durableId="1825274948">
    <w:abstractNumId w:val="2"/>
  </w:num>
  <w:num w:numId="2" w16cid:durableId="1546941966">
    <w:abstractNumId w:val="14"/>
  </w:num>
  <w:num w:numId="3" w16cid:durableId="1307902187">
    <w:abstractNumId w:val="13"/>
  </w:num>
  <w:num w:numId="4" w16cid:durableId="1674070870">
    <w:abstractNumId w:val="0"/>
  </w:num>
  <w:num w:numId="5" w16cid:durableId="384988463">
    <w:abstractNumId w:val="5"/>
  </w:num>
  <w:num w:numId="6" w16cid:durableId="841093166">
    <w:abstractNumId w:val="12"/>
  </w:num>
  <w:num w:numId="7" w16cid:durableId="1678728904">
    <w:abstractNumId w:val="7"/>
  </w:num>
  <w:num w:numId="8" w16cid:durableId="560481323">
    <w:abstractNumId w:val="8"/>
  </w:num>
  <w:num w:numId="9" w16cid:durableId="588276381">
    <w:abstractNumId w:val="10"/>
  </w:num>
  <w:num w:numId="10" w16cid:durableId="1339892598">
    <w:abstractNumId w:val="1"/>
  </w:num>
  <w:num w:numId="11" w16cid:durableId="966012356">
    <w:abstractNumId w:val="3"/>
  </w:num>
  <w:num w:numId="12" w16cid:durableId="1881168064">
    <w:abstractNumId w:val="11"/>
  </w:num>
  <w:num w:numId="13" w16cid:durableId="1610820674">
    <w:abstractNumId w:val="1"/>
  </w:num>
  <w:num w:numId="14" w16cid:durableId="810056936">
    <w:abstractNumId w:val="6"/>
  </w:num>
  <w:num w:numId="15" w16cid:durableId="420562355">
    <w:abstractNumId w:val="12"/>
  </w:num>
  <w:num w:numId="16" w16cid:durableId="534661824">
    <w:abstractNumId w:val="3"/>
    <w:lvlOverride w:ilvl="0">
      <w:lvl w:ilvl="0">
        <w:start w:val="1"/>
        <w:numFmt w:val="bullet"/>
        <w:pStyle w:val="BulletDirectionsInstructions"/>
        <w:lvlText w:val="o"/>
        <w:lvlJc w:val="left"/>
        <w:pPr>
          <w:ind w:left="567" w:hanging="283"/>
        </w:pPr>
        <w:rPr>
          <w:rFonts w:ascii="Courier New" w:hAnsi="Courier New" w:hint="default"/>
        </w:rPr>
      </w:lvl>
    </w:lvlOverride>
    <w:lvlOverride w:ilvl="1">
      <w:lvl w:ilvl="1">
        <w:start w:val="1"/>
        <w:numFmt w:val="bullet"/>
        <w:lvlText w:val="-"/>
        <w:lvlJc w:val="left"/>
        <w:pPr>
          <w:ind w:left="851" w:hanging="284"/>
        </w:pPr>
        <w:rPr>
          <w:rFonts w:ascii="Courier New" w:hAnsi="Courier New" w:hint="default"/>
          <w:color w:val="000000"/>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17" w16cid:durableId="531965250">
    <w:abstractNumId w:val="11"/>
  </w:num>
  <w:num w:numId="18" w16cid:durableId="27025331">
    <w:abstractNumId w:val="2"/>
  </w:num>
  <w:num w:numId="19" w16cid:durableId="814294270">
    <w:abstractNumId w:val="2"/>
  </w:num>
  <w:num w:numId="20" w16cid:durableId="1388719483">
    <w:abstractNumId w:val="2"/>
  </w:num>
  <w:num w:numId="21" w16cid:durableId="89275123">
    <w:abstractNumId w:val="2"/>
  </w:num>
  <w:num w:numId="22" w16cid:durableId="2040012243">
    <w:abstractNumId w:val="2"/>
  </w:num>
  <w:num w:numId="23" w16cid:durableId="1981960674">
    <w:abstractNumId w:val="2"/>
  </w:num>
  <w:num w:numId="24" w16cid:durableId="1480342060">
    <w:abstractNumId w:val="6"/>
  </w:num>
  <w:num w:numId="25" w16cid:durableId="1343970473">
    <w:abstractNumId w:val="12"/>
  </w:num>
  <w:num w:numId="26" w16cid:durableId="510998075">
    <w:abstractNumId w:val="3"/>
    <w:lvlOverride w:ilvl="0">
      <w:lvl w:ilvl="0">
        <w:start w:val="1"/>
        <w:numFmt w:val="bullet"/>
        <w:pStyle w:val="BulletDirectionsInstructions"/>
        <w:lvlText w:val="o"/>
        <w:lvlJc w:val="left"/>
        <w:pPr>
          <w:ind w:left="567" w:hanging="283"/>
        </w:pPr>
        <w:rPr>
          <w:rFonts w:ascii="Courier New" w:hAnsi="Courier New" w:hint="default"/>
        </w:rPr>
      </w:lvl>
    </w:lvlOverride>
    <w:lvlOverride w:ilvl="1">
      <w:lvl w:ilvl="1">
        <w:start w:val="1"/>
        <w:numFmt w:val="bullet"/>
        <w:lvlText w:val="-"/>
        <w:lvlJc w:val="left"/>
        <w:pPr>
          <w:ind w:left="851" w:hanging="284"/>
        </w:pPr>
        <w:rPr>
          <w:rFonts w:ascii="Courier New" w:hAnsi="Courier New" w:hint="default"/>
          <w:color w:val="000000"/>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27" w16cid:durableId="94832589">
    <w:abstractNumId w:val="11"/>
  </w:num>
  <w:num w:numId="28" w16cid:durableId="210925362">
    <w:abstractNumId w:val="11"/>
    <w:lvlOverride w:ilvl="0">
      <w:lvl w:ilvl="0">
        <w:start w:val="1"/>
        <w:numFmt w:val="bullet"/>
        <w:pStyle w:val="BulletNutrition"/>
        <w:lvlText w:val="-"/>
        <w:lvlJc w:val="left"/>
        <w:pPr>
          <w:ind w:left="284" w:hanging="284"/>
        </w:pPr>
        <w:rPr>
          <w:rFonts w:ascii="Courier New" w:hAnsi="Courier New" w:hint="default"/>
          <w:color w:val="000000"/>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29" w16cid:durableId="932056829">
    <w:abstractNumId w:val="2"/>
  </w:num>
  <w:num w:numId="30" w16cid:durableId="1287468446">
    <w:abstractNumId w:val="2"/>
  </w:num>
  <w:num w:numId="31" w16cid:durableId="361712828">
    <w:abstractNumId w:val="2"/>
  </w:num>
  <w:num w:numId="32" w16cid:durableId="1524633383">
    <w:abstractNumId w:val="2"/>
  </w:num>
  <w:num w:numId="33" w16cid:durableId="1012100726">
    <w:abstractNumId w:val="2"/>
  </w:num>
  <w:num w:numId="34" w16cid:durableId="2069916932">
    <w:abstractNumId w:val="2"/>
  </w:num>
  <w:num w:numId="35" w16cid:durableId="1095324483">
    <w:abstractNumId w:val="6"/>
  </w:num>
  <w:num w:numId="36" w16cid:durableId="1759672920">
    <w:abstractNumId w:val="9"/>
  </w:num>
  <w:num w:numId="37" w16cid:durableId="637103706">
    <w:abstractNumId w:val="4"/>
  </w:num>
  <w:num w:numId="38" w16cid:durableId="451246623">
    <w:abstractNumId w:val="2"/>
  </w:num>
  <w:num w:numId="39" w16cid:durableId="101858160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hideSpellingErrors/>
  <w:hideGrammaticalErrors/>
  <w:attachedTemplate r:id="rId1"/>
  <w:documentProtection w:formatting="1" w:enforcement="0"/>
  <w:defaultTabStop w:val="284"/>
  <w:characterSpacingControl w:val="doNotCompress"/>
  <w:hdrShapeDefaults>
    <o:shapedefaults v:ext="edit" spidmax="2050"/>
  </w:hdrShapeDefaults>
  <w:footnotePr>
    <w:footnote w:id="-1"/>
    <w:footnote w:id="0"/>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TQzNjQ0NDAxNzM0NDFT0lEKTi0uzszPAykwqgUAQ3ly2ywAAAA="/>
  </w:docVars>
  <w:rsids>
    <w:rsidRoot w:val="00051E6A"/>
    <w:rsid w:val="00000EF0"/>
    <w:rsid w:val="00003947"/>
    <w:rsid w:val="00011BCE"/>
    <w:rsid w:val="00015281"/>
    <w:rsid w:val="00024DC2"/>
    <w:rsid w:val="0002656A"/>
    <w:rsid w:val="00031C41"/>
    <w:rsid w:val="0003217D"/>
    <w:rsid w:val="000344AD"/>
    <w:rsid w:val="000452AC"/>
    <w:rsid w:val="00045FB5"/>
    <w:rsid w:val="00046FD1"/>
    <w:rsid w:val="00051E6A"/>
    <w:rsid w:val="00052CBD"/>
    <w:rsid w:val="0005561D"/>
    <w:rsid w:val="00056C22"/>
    <w:rsid w:val="000669FF"/>
    <w:rsid w:val="00072BBF"/>
    <w:rsid w:val="00074273"/>
    <w:rsid w:val="00074303"/>
    <w:rsid w:val="0007793F"/>
    <w:rsid w:val="00082E83"/>
    <w:rsid w:val="00091B12"/>
    <w:rsid w:val="000A39EC"/>
    <w:rsid w:val="000B5AEE"/>
    <w:rsid w:val="000C19D9"/>
    <w:rsid w:val="000D1F12"/>
    <w:rsid w:val="000D293B"/>
    <w:rsid w:val="000D5197"/>
    <w:rsid w:val="000D6107"/>
    <w:rsid w:val="000E333C"/>
    <w:rsid w:val="000F1160"/>
    <w:rsid w:val="000F143B"/>
    <w:rsid w:val="000F18D9"/>
    <w:rsid w:val="000F516C"/>
    <w:rsid w:val="00102D62"/>
    <w:rsid w:val="00102EDB"/>
    <w:rsid w:val="00125EF3"/>
    <w:rsid w:val="001368FF"/>
    <w:rsid w:val="001436CD"/>
    <w:rsid w:val="00150D01"/>
    <w:rsid w:val="00161478"/>
    <w:rsid w:val="00165B08"/>
    <w:rsid w:val="001736AB"/>
    <w:rsid w:val="001755F9"/>
    <w:rsid w:val="0018652B"/>
    <w:rsid w:val="0019046F"/>
    <w:rsid w:val="00195A98"/>
    <w:rsid w:val="001963BD"/>
    <w:rsid w:val="00196F6D"/>
    <w:rsid w:val="001A0144"/>
    <w:rsid w:val="001A286A"/>
    <w:rsid w:val="001A3390"/>
    <w:rsid w:val="001A5D8C"/>
    <w:rsid w:val="001B4011"/>
    <w:rsid w:val="001C7078"/>
    <w:rsid w:val="001C709F"/>
    <w:rsid w:val="001D6881"/>
    <w:rsid w:val="001F2E26"/>
    <w:rsid w:val="002176BC"/>
    <w:rsid w:val="00220ABE"/>
    <w:rsid w:val="00225F64"/>
    <w:rsid w:val="00245220"/>
    <w:rsid w:val="0025075E"/>
    <w:rsid w:val="002542D9"/>
    <w:rsid w:val="00270007"/>
    <w:rsid w:val="0027057A"/>
    <w:rsid w:val="0029033D"/>
    <w:rsid w:val="002916EF"/>
    <w:rsid w:val="00293484"/>
    <w:rsid w:val="00293547"/>
    <w:rsid w:val="0029474A"/>
    <w:rsid w:val="00294DEC"/>
    <w:rsid w:val="002957E7"/>
    <w:rsid w:val="002960C0"/>
    <w:rsid w:val="002A0E3C"/>
    <w:rsid w:val="002B04B5"/>
    <w:rsid w:val="002B1F27"/>
    <w:rsid w:val="002B281E"/>
    <w:rsid w:val="002C6347"/>
    <w:rsid w:val="002D251D"/>
    <w:rsid w:val="002D4283"/>
    <w:rsid w:val="002D6935"/>
    <w:rsid w:val="002D7EBF"/>
    <w:rsid w:val="002F4E11"/>
    <w:rsid w:val="00302FF3"/>
    <w:rsid w:val="003047C6"/>
    <w:rsid w:val="003100E9"/>
    <w:rsid w:val="003105CA"/>
    <w:rsid w:val="00310BEF"/>
    <w:rsid w:val="00326B21"/>
    <w:rsid w:val="003366E2"/>
    <w:rsid w:val="003371E2"/>
    <w:rsid w:val="0034231A"/>
    <w:rsid w:val="0034591B"/>
    <w:rsid w:val="0035154F"/>
    <w:rsid w:val="00351A74"/>
    <w:rsid w:val="003550AB"/>
    <w:rsid w:val="00362637"/>
    <w:rsid w:val="0037237F"/>
    <w:rsid w:val="0037469B"/>
    <w:rsid w:val="00374DD1"/>
    <w:rsid w:val="003777D5"/>
    <w:rsid w:val="00390F33"/>
    <w:rsid w:val="003A070C"/>
    <w:rsid w:val="003A2FE9"/>
    <w:rsid w:val="003A70DF"/>
    <w:rsid w:val="003C790A"/>
    <w:rsid w:val="003C793D"/>
    <w:rsid w:val="003D0C14"/>
    <w:rsid w:val="003D1023"/>
    <w:rsid w:val="003D3958"/>
    <w:rsid w:val="003D3FDA"/>
    <w:rsid w:val="003E0741"/>
    <w:rsid w:val="003E18F9"/>
    <w:rsid w:val="003F53C7"/>
    <w:rsid w:val="0040467C"/>
    <w:rsid w:val="00404E4F"/>
    <w:rsid w:val="00405175"/>
    <w:rsid w:val="00407DC1"/>
    <w:rsid w:val="00411BC9"/>
    <w:rsid w:val="0041358B"/>
    <w:rsid w:val="00421336"/>
    <w:rsid w:val="00426D3C"/>
    <w:rsid w:val="004314C5"/>
    <w:rsid w:val="00433DC3"/>
    <w:rsid w:val="0043492D"/>
    <w:rsid w:val="00441B4D"/>
    <w:rsid w:val="004444CA"/>
    <w:rsid w:val="00444554"/>
    <w:rsid w:val="00445F73"/>
    <w:rsid w:val="0045022C"/>
    <w:rsid w:val="0045519A"/>
    <w:rsid w:val="00470BE7"/>
    <w:rsid w:val="00470DA6"/>
    <w:rsid w:val="00471698"/>
    <w:rsid w:val="004A2680"/>
    <w:rsid w:val="004A3385"/>
    <w:rsid w:val="004A42C3"/>
    <w:rsid w:val="004A5D99"/>
    <w:rsid w:val="004B11B7"/>
    <w:rsid w:val="004B1619"/>
    <w:rsid w:val="004B2576"/>
    <w:rsid w:val="004B5BD0"/>
    <w:rsid w:val="004C23E5"/>
    <w:rsid w:val="004C2DF8"/>
    <w:rsid w:val="004C74EB"/>
    <w:rsid w:val="004D003A"/>
    <w:rsid w:val="004D3A09"/>
    <w:rsid w:val="004D5657"/>
    <w:rsid w:val="004E4D6A"/>
    <w:rsid w:val="004E4E92"/>
    <w:rsid w:val="00500565"/>
    <w:rsid w:val="0050244E"/>
    <w:rsid w:val="0050342D"/>
    <w:rsid w:val="005048A1"/>
    <w:rsid w:val="00506BEA"/>
    <w:rsid w:val="00507432"/>
    <w:rsid w:val="00513FDD"/>
    <w:rsid w:val="00532684"/>
    <w:rsid w:val="00533F05"/>
    <w:rsid w:val="00536848"/>
    <w:rsid w:val="00551BDC"/>
    <w:rsid w:val="00572E50"/>
    <w:rsid w:val="005778DC"/>
    <w:rsid w:val="005804DA"/>
    <w:rsid w:val="00580997"/>
    <w:rsid w:val="00582031"/>
    <w:rsid w:val="00582AEE"/>
    <w:rsid w:val="00591C9A"/>
    <w:rsid w:val="00591D5D"/>
    <w:rsid w:val="00592C2A"/>
    <w:rsid w:val="0059551B"/>
    <w:rsid w:val="00595D4E"/>
    <w:rsid w:val="005B62CA"/>
    <w:rsid w:val="005B6432"/>
    <w:rsid w:val="005C2081"/>
    <w:rsid w:val="005C2F6F"/>
    <w:rsid w:val="005C4479"/>
    <w:rsid w:val="005C535C"/>
    <w:rsid w:val="005C5512"/>
    <w:rsid w:val="005C7053"/>
    <w:rsid w:val="005D2785"/>
    <w:rsid w:val="005E3E13"/>
    <w:rsid w:val="005F3C9E"/>
    <w:rsid w:val="005F738F"/>
    <w:rsid w:val="006056F9"/>
    <w:rsid w:val="006145EC"/>
    <w:rsid w:val="00615380"/>
    <w:rsid w:val="00617599"/>
    <w:rsid w:val="006214F9"/>
    <w:rsid w:val="00633506"/>
    <w:rsid w:val="00641A29"/>
    <w:rsid w:val="0064586C"/>
    <w:rsid w:val="0064774B"/>
    <w:rsid w:val="00670BEF"/>
    <w:rsid w:val="0068358D"/>
    <w:rsid w:val="00686C37"/>
    <w:rsid w:val="00686F47"/>
    <w:rsid w:val="00694DC4"/>
    <w:rsid w:val="00695058"/>
    <w:rsid w:val="006A1689"/>
    <w:rsid w:val="006B2B0D"/>
    <w:rsid w:val="006B4066"/>
    <w:rsid w:val="006B64B0"/>
    <w:rsid w:val="006B6533"/>
    <w:rsid w:val="006C0A38"/>
    <w:rsid w:val="006C26B1"/>
    <w:rsid w:val="006C619F"/>
    <w:rsid w:val="006D2F72"/>
    <w:rsid w:val="006E17F4"/>
    <w:rsid w:val="006E3191"/>
    <w:rsid w:val="00704A1A"/>
    <w:rsid w:val="007160FC"/>
    <w:rsid w:val="00717E07"/>
    <w:rsid w:val="0072228D"/>
    <w:rsid w:val="00734A6D"/>
    <w:rsid w:val="007363AD"/>
    <w:rsid w:val="00741B05"/>
    <w:rsid w:val="00741DD4"/>
    <w:rsid w:val="00742E9E"/>
    <w:rsid w:val="00756820"/>
    <w:rsid w:val="007602CE"/>
    <w:rsid w:val="00761A83"/>
    <w:rsid w:val="00766E78"/>
    <w:rsid w:val="0076740D"/>
    <w:rsid w:val="0077305E"/>
    <w:rsid w:val="0077461A"/>
    <w:rsid w:val="00776951"/>
    <w:rsid w:val="00781AD1"/>
    <w:rsid w:val="00783F27"/>
    <w:rsid w:val="0079306E"/>
    <w:rsid w:val="00793541"/>
    <w:rsid w:val="007A12AB"/>
    <w:rsid w:val="007A51FA"/>
    <w:rsid w:val="007B5AA4"/>
    <w:rsid w:val="007C133F"/>
    <w:rsid w:val="007C40B8"/>
    <w:rsid w:val="007C7A75"/>
    <w:rsid w:val="007D2825"/>
    <w:rsid w:val="007D3D59"/>
    <w:rsid w:val="007F4EAB"/>
    <w:rsid w:val="00803FF8"/>
    <w:rsid w:val="0080454B"/>
    <w:rsid w:val="00815E76"/>
    <w:rsid w:val="008234F4"/>
    <w:rsid w:val="00834D08"/>
    <w:rsid w:val="008452E7"/>
    <w:rsid w:val="00847D2B"/>
    <w:rsid w:val="0085170B"/>
    <w:rsid w:val="008546D9"/>
    <w:rsid w:val="00855962"/>
    <w:rsid w:val="00855AFD"/>
    <w:rsid w:val="0085757D"/>
    <w:rsid w:val="008644C4"/>
    <w:rsid w:val="00866D7A"/>
    <w:rsid w:val="008778B4"/>
    <w:rsid w:val="00877DDF"/>
    <w:rsid w:val="00880262"/>
    <w:rsid w:val="00881838"/>
    <w:rsid w:val="00883E91"/>
    <w:rsid w:val="008864BB"/>
    <w:rsid w:val="00892038"/>
    <w:rsid w:val="008967FA"/>
    <w:rsid w:val="008A18FE"/>
    <w:rsid w:val="008A6921"/>
    <w:rsid w:val="008B27DE"/>
    <w:rsid w:val="008B4C38"/>
    <w:rsid w:val="008B5177"/>
    <w:rsid w:val="008D109E"/>
    <w:rsid w:val="008D56E6"/>
    <w:rsid w:val="008D6F40"/>
    <w:rsid w:val="008D7E91"/>
    <w:rsid w:val="008E1B77"/>
    <w:rsid w:val="008F4CA0"/>
    <w:rsid w:val="008F510A"/>
    <w:rsid w:val="00901176"/>
    <w:rsid w:val="0090482A"/>
    <w:rsid w:val="00904935"/>
    <w:rsid w:val="00906359"/>
    <w:rsid w:val="00907E62"/>
    <w:rsid w:val="00913CA7"/>
    <w:rsid w:val="00914805"/>
    <w:rsid w:val="00922578"/>
    <w:rsid w:val="00922BDD"/>
    <w:rsid w:val="009234ED"/>
    <w:rsid w:val="00925A8A"/>
    <w:rsid w:val="00933A4C"/>
    <w:rsid w:val="00935600"/>
    <w:rsid w:val="00941F42"/>
    <w:rsid w:val="00942E36"/>
    <w:rsid w:val="00945BCC"/>
    <w:rsid w:val="009466C8"/>
    <w:rsid w:val="00947BA4"/>
    <w:rsid w:val="00953712"/>
    <w:rsid w:val="009544A7"/>
    <w:rsid w:val="009553DA"/>
    <w:rsid w:val="0095628D"/>
    <w:rsid w:val="00962746"/>
    <w:rsid w:val="00966E70"/>
    <w:rsid w:val="009671DA"/>
    <w:rsid w:val="00990A58"/>
    <w:rsid w:val="00993050"/>
    <w:rsid w:val="009948A9"/>
    <w:rsid w:val="009A2A04"/>
    <w:rsid w:val="009A4081"/>
    <w:rsid w:val="009A6130"/>
    <w:rsid w:val="009A7043"/>
    <w:rsid w:val="009B6A3E"/>
    <w:rsid w:val="009D3AE0"/>
    <w:rsid w:val="009D5698"/>
    <w:rsid w:val="009D7AFF"/>
    <w:rsid w:val="009E51E0"/>
    <w:rsid w:val="009E6287"/>
    <w:rsid w:val="009E678A"/>
    <w:rsid w:val="009F0DBB"/>
    <w:rsid w:val="009F48BE"/>
    <w:rsid w:val="009F5365"/>
    <w:rsid w:val="00A02F1E"/>
    <w:rsid w:val="00A0631D"/>
    <w:rsid w:val="00A116A8"/>
    <w:rsid w:val="00A16226"/>
    <w:rsid w:val="00A21669"/>
    <w:rsid w:val="00A23751"/>
    <w:rsid w:val="00A23B3E"/>
    <w:rsid w:val="00A26C10"/>
    <w:rsid w:val="00A30998"/>
    <w:rsid w:val="00A333C7"/>
    <w:rsid w:val="00A35FE8"/>
    <w:rsid w:val="00A41C17"/>
    <w:rsid w:val="00A43467"/>
    <w:rsid w:val="00A4460E"/>
    <w:rsid w:val="00A52206"/>
    <w:rsid w:val="00A52866"/>
    <w:rsid w:val="00A53333"/>
    <w:rsid w:val="00A56815"/>
    <w:rsid w:val="00A75599"/>
    <w:rsid w:val="00A75FE1"/>
    <w:rsid w:val="00A7689E"/>
    <w:rsid w:val="00A869AA"/>
    <w:rsid w:val="00A91197"/>
    <w:rsid w:val="00A95C2D"/>
    <w:rsid w:val="00A97762"/>
    <w:rsid w:val="00AA39CE"/>
    <w:rsid w:val="00AA7E9A"/>
    <w:rsid w:val="00AB1246"/>
    <w:rsid w:val="00AC0548"/>
    <w:rsid w:val="00AC73A1"/>
    <w:rsid w:val="00AC7A12"/>
    <w:rsid w:val="00AD1B9A"/>
    <w:rsid w:val="00AD40FF"/>
    <w:rsid w:val="00AD6223"/>
    <w:rsid w:val="00AE05ED"/>
    <w:rsid w:val="00AE1B7B"/>
    <w:rsid w:val="00AE20DB"/>
    <w:rsid w:val="00AE6D88"/>
    <w:rsid w:val="00AE7423"/>
    <w:rsid w:val="00AF05DD"/>
    <w:rsid w:val="00AF0DEF"/>
    <w:rsid w:val="00AF5B91"/>
    <w:rsid w:val="00B132BF"/>
    <w:rsid w:val="00B14806"/>
    <w:rsid w:val="00B14AC9"/>
    <w:rsid w:val="00B14DC2"/>
    <w:rsid w:val="00B1558D"/>
    <w:rsid w:val="00B16CA6"/>
    <w:rsid w:val="00B215D6"/>
    <w:rsid w:val="00B2353D"/>
    <w:rsid w:val="00B24158"/>
    <w:rsid w:val="00B303E6"/>
    <w:rsid w:val="00B459E7"/>
    <w:rsid w:val="00B5719D"/>
    <w:rsid w:val="00B61D70"/>
    <w:rsid w:val="00B6434D"/>
    <w:rsid w:val="00B64ABD"/>
    <w:rsid w:val="00B6760B"/>
    <w:rsid w:val="00B7456C"/>
    <w:rsid w:val="00B7737F"/>
    <w:rsid w:val="00B804DD"/>
    <w:rsid w:val="00B82B4D"/>
    <w:rsid w:val="00B82D88"/>
    <w:rsid w:val="00B83218"/>
    <w:rsid w:val="00B8553F"/>
    <w:rsid w:val="00B95119"/>
    <w:rsid w:val="00BA0180"/>
    <w:rsid w:val="00BA0402"/>
    <w:rsid w:val="00BA1614"/>
    <w:rsid w:val="00BA259D"/>
    <w:rsid w:val="00BA5B38"/>
    <w:rsid w:val="00BB3D32"/>
    <w:rsid w:val="00BB3DE1"/>
    <w:rsid w:val="00BB7BCF"/>
    <w:rsid w:val="00BC5FDF"/>
    <w:rsid w:val="00BD034E"/>
    <w:rsid w:val="00BE3658"/>
    <w:rsid w:val="00BF3426"/>
    <w:rsid w:val="00BF3BA0"/>
    <w:rsid w:val="00C01CAD"/>
    <w:rsid w:val="00C046CF"/>
    <w:rsid w:val="00C05560"/>
    <w:rsid w:val="00C10CE6"/>
    <w:rsid w:val="00C125E7"/>
    <w:rsid w:val="00C15085"/>
    <w:rsid w:val="00C163F0"/>
    <w:rsid w:val="00C168B9"/>
    <w:rsid w:val="00C17ACF"/>
    <w:rsid w:val="00C17FBA"/>
    <w:rsid w:val="00C3352A"/>
    <w:rsid w:val="00C33D8D"/>
    <w:rsid w:val="00C44E8F"/>
    <w:rsid w:val="00C55AD2"/>
    <w:rsid w:val="00C6381B"/>
    <w:rsid w:val="00C6543D"/>
    <w:rsid w:val="00C755B4"/>
    <w:rsid w:val="00C80648"/>
    <w:rsid w:val="00C86F94"/>
    <w:rsid w:val="00C92E9C"/>
    <w:rsid w:val="00C95361"/>
    <w:rsid w:val="00C965EF"/>
    <w:rsid w:val="00CA3867"/>
    <w:rsid w:val="00CA4C7B"/>
    <w:rsid w:val="00CB27F9"/>
    <w:rsid w:val="00CB3FA7"/>
    <w:rsid w:val="00CB4DDA"/>
    <w:rsid w:val="00CC3AD6"/>
    <w:rsid w:val="00CC5E67"/>
    <w:rsid w:val="00CE51D5"/>
    <w:rsid w:val="00CF4123"/>
    <w:rsid w:val="00D10546"/>
    <w:rsid w:val="00D115EE"/>
    <w:rsid w:val="00D124BF"/>
    <w:rsid w:val="00D16598"/>
    <w:rsid w:val="00D2178F"/>
    <w:rsid w:val="00D2495B"/>
    <w:rsid w:val="00D256D1"/>
    <w:rsid w:val="00D30B1D"/>
    <w:rsid w:val="00D3558B"/>
    <w:rsid w:val="00D35949"/>
    <w:rsid w:val="00D36A8D"/>
    <w:rsid w:val="00D44192"/>
    <w:rsid w:val="00D609A9"/>
    <w:rsid w:val="00D72F7E"/>
    <w:rsid w:val="00D910BB"/>
    <w:rsid w:val="00D979F3"/>
    <w:rsid w:val="00DA2571"/>
    <w:rsid w:val="00DB0A23"/>
    <w:rsid w:val="00DB6834"/>
    <w:rsid w:val="00DC01D0"/>
    <w:rsid w:val="00DC440D"/>
    <w:rsid w:val="00DE0AF4"/>
    <w:rsid w:val="00DE6EBB"/>
    <w:rsid w:val="00DE6F00"/>
    <w:rsid w:val="00DF170B"/>
    <w:rsid w:val="00DF581A"/>
    <w:rsid w:val="00E14DB2"/>
    <w:rsid w:val="00E155F1"/>
    <w:rsid w:val="00E16537"/>
    <w:rsid w:val="00E17AEC"/>
    <w:rsid w:val="00E20C29"/>
    <w:rsid w:val="00E35BC0"/>
    <w:rsid w:val="00E54E85"/>
    <w:rsid w:val="00E60252"/>
    <w:rsid w:val="00E61D02"/>
    <w:rsid w:val="00E72CC9"/>
    <w:rsid w:val="00E75EDE"/>
    <w:rsid w:val="00E773FD"/>
    <w:rsid w:val="00E81BED"/>
    <w:rsid w:val="00E82DB5"/>
    <w:rsid w:val="00E86FEA"/>
    <w:rsid w:val="00EA1C69"/>
    <w:rsid w:val="00EA2A2B"/>
    <w:rsid w:val="00EA3046"/>
    <w:rsid w:val="00EC3BB8"/>
    <w:rsid w:val="00ED2CE5"/>
    <w:rsid w:val="00ED2EEE"/>
    <w:rsid w:val="00ED41DF"/>
    <w:rsid w:val="00EE31D9"/>
    <w:rsid w:val="00EF1C2E"/>
    <w:rsid w:val="00EF3FFA"/>
    <w:rsid w:val="00EF4276"/>
    <w:rsid w:val="00F02F0F"/>
    <w:rsid w:val="00F21297"/>
    <w:rsid w:val="00F34D11"/>
    <w:rsid w:val="00F36346"/>
    <w:rsid w:val="00F37787"/>
    <w:rsid w:val="00F50BB3"/>
    <w:rsid w:val="00F50EF9"/>
    <w:rsid w:val="00F55333"/>
    <w:rsid w:val="00F55A7F"/>
    <w:rsid w:val="00F56D86"/>
    <w:rsid w:val="00F609EB"/>
    <w:rsid w:val="00F61D8B"/>
    <w:rsid w:val="00F65C77"/>
    <w:rsid w:val="00F77A84"/>
    <w:rsid w:val="00F84B76"/>
    <w:rsid w:val="00FB2AFC"/>
    <w:rsid w:val="00FB6917"/>
    <w:rsid w:val="00FC3FBC"/>
    <w:rsid w:val="00FD06A6"/>
    <w:rsid w:val="00FD16B9"/>
    <w:rsid w:val="00FE1BBC"/>
    <w:rsid w:val="00FE3378"/>
    <w:rsid w:val="00FF7758"/>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C51376"/>
  <w15:chartTrackingRefBased/>
  <w15:docId w15:val="{2C715F5A-539F-4679-B5B7-887FCEFA4A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18"/>
        <w:szCs w:val="18"/>
        <w:lang w:val="en-Z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uiPriority="31" w:qFormat="1"/>
    <w:lsdException w:name="Intense Reference" w:uiPriority="32" w:qFormat="1"/>
    <w:lsdException w:name="Book Title" w:semiHidden="1" w:uiPriority="33" w:unhideWhenUsed="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71DA"/>
    <w:pPr>
      <w:spacing w:before="60" w:after="60"/>
      <w:jc w:val="both"/>
    </w:pPr>
    <w:rPr>
      <w:rFonts w:ascii="Arial" w:hAnsi="Arial"/>
      <w:spacing w:val="-4"/>
      <w:lang w:val="en-GB"/>
    </w:rPr>
  </w:style>
  <w:style w:type="paragraph" w:styleId="Heading1">
    <w:name w:val="heading 1"/>
    <w:aliases w:val="Chapter Heading"/>
    <w:basedOn w:val="Title"/>
    <w:next w:val="Normal"/>
    <w:link w:val="Heading1Char"/>
    <w:uiPriority w:val="9"/>
    <w:qFormat/>
    <w:rsid w:val="00074303"/>
    <w:pPr>
      <w:numPr>
        <w:numId w:val="39"/>
      </w:numPr>
      <w:outlineLvl w:val="0"/>
    </w:pPr>
  </w:style>
  <w:style w:type="paragraph" w:styleId="Heading2">
    <w:name w:val="heading 2"/>
    <w:aliases w:val="Section Heading 1.1"/>
    <w:basedOn w:val="Normal"/>
    <w:next w:val="Normal"/>
    <w:link w:val="Heading2Char"/>
    <w:uiPriority w:val="9"/>
    <w:unhideWhenUsed/>
    <w:qFormat/>
    <w:rsid w:val="00220ABE"/>
    <w:pPr>
      <w:keepNext/>
      <w:keepLines/>
      <w:numPr>
        <w:ilvl w:val="1"/>
        <w:numId w:val="39"/>
      </w:numPr>
      <w:shd w:val="clear" w:color="auto" w:fill="BFBFBF" w:themeFill="background1" w:themeFillShade="BF"/>
      <w:spacing w:before="120" w:after="0"/>
      <w:outlineLvl w:val="1"/>
    </w:pPr>
    <w:rPr>
      <w:rFonts w:eastAsiaTheme="majorEastAsia" w:cstheme="majorBidi"/>
      <w:b/>
      <w:caps/>
      <w:sz w:val="22"/>
    </w:rPr>
  </w:style>
  <w:style w:type="paragraph" w:styleId="Heading3">
    <w:name w:val="heading 3"/>
    <w:aliases w:val="Section Heading 1.1.1"/>
    <w:basedOn w:val="Normal"/>
    <w:next w:val="Normal"/>
    <w:link w:val="Heading3Char"/>
    <w:uiPriority w:val="9"/>
    <w:unhideWhenUsed/>
    <w:qFormat/>
    <w:rsid w:val="00220ABE"/>
    <w:pPr>
      <w:keepNext/>
      <w:keepLines/>
      <w:numPr>
        <w:ilvl w:val="2"/>
        <w:numId w:val="39"/>
      </w:numPr>
      <w:shd w:val="clear" w:color="auto" w:fill="BFBFBF" w:themeFill="background1" w:themeFillShade="BF"/>
      <w:spacing w:before="120" w:after="0"/>
      <w:outlineLvl w:val="2"/>
    </w:pPr>
    <w:rPr>
      <w:rFonts w:eastAsiaTheme="majorEastAsia" w:cstheme="majorBidi"/>
      <w:b/>
      <w:caps/>
      <w:sz w:val="22"/>
    </w:rPr>
  </w:style>
  <w:style w:type="paragraph" w:styleId="Heading4">
    <w:name w:val="heading 4"/>
    <w:aliases w:val="Section Heading 1.1.1.1"/>
    <w:basedOn w:val="Normal"/>
    <w:next w:val="Normal"/>
    <w:link w:val="Heading4Char"/>
    <w:uiPriority w:val="9"/>
    <w:unhideWhenUsed/>
    <w:qFormat/>
    <w:rsid w:val="0037237F"/>
    <w:pPr>
      <w:keepNext/>
      <w:keepLines/>
      <w:numPr>
        <w:ilvl w:val="3"/>
        <w:numId w:val="39"/>
      </w:numPr>
      <w:shd w:val="clear" w:color="auto" w:fill="BFBFBF" w:themeFill="background1" w:themeFillShade="BF"/>
      <w:spacing w:before="120" w:after="0"/>
      <w:outlineLvl w:val="3"/>
    </w:pPr>
    <w:rPr>
      <w:rFonts w:eastAsiaTheme="majorEastAsia" w:cstheme="majorBidi"/>
      <w:b/>
      <w:iCs/>
      <w:caps/>
      <w:sz w:val="22"/>
    </w:rPr>
  </w:style>
  <w:style w:type="paragraph" w:styleId="Heading5">
    <w:name w:val="heading 5"/>
    <w:aliases w:val="Subheading"/>
    <w:basedOn w:val="Normal"/>
    <w:next w:val="Normal"/>
    <w:link w:val="Heading5Char"/>
    <w:uiPriority w:val="9"/>
    <w:unhideWhenUsed/>
    <w:qFormat/>
    <w:rsid w:val="0037237F"/>
    <w:pPr>
      <w:keepNext/>
      <w:spacing w:before="120" w:after="0"/>
      <w:outlineLvl w:val="4"/>
    </w:pPr>
    <w:rPr>
      <w:b/>
      <w:bCs/>
      <w:caps/>
      <w:sz w:val="20"/>
    </w:rPr>
  </w:style>
  <w:style w:type="paragraph" w:styleId="Heading6">
    <w:name w:val="heading 6"/>
    <w:basedOn w:val="Normal"/>
    <w:next w:val="Normal"/>
    <w:link w:val="Heading6Char"/>
    <w:uiPriority w:val="9"/>
    <w:unhideWhenUsed/>
    <w:qFormat/>
    <w:rsid w:val="0037237F"/>
    <w:pPr>
      <w:keepNext/>
      <w:spacing w:before="120" w:after="0"/>
      <w:outlineLvl w:val="5"/>
    </w:pPr>
    <w:rPr>
      <w:b/>
      <w:bCs/>
    </w:rPr>
  </w:style>
  <w:style w:type="paragraph" w:styleId="Heading7">
    <w:name w:val="heading 7"/>
    <w:basedOn w:val="Normal"/>
    <w:next w:val="Normal"/>
    <w:link w:val="Heading7Char"/>
    <w:uiPriority w:val="9"/>
    <w:unhideWhenUsed/>
    <w:qFormat/>
    <w:rsid w:val="0037237F"/>
    <w:pPr>
      <w:keepNext/>
      <w:spacing w:after="0"/>
      <w:outlineLvl w:val="6"/>
    </w:pPr>
    <w:rPr>
      <w:u w:val="single"/>
    </w:rPr>
  </w:style>
  <w:style w:type="paragraph" w:styleId="Heading8">
    <w:name w:val="heading 8"/>
    <w:basedOn w:val="Normal"/>
    <w:next w:val="Normal"/>
    <w:link w:val="Heading8Char"/>
    <w:uiPriority w:val="9"/>
    <w:unhideWhenUsed/>
    <w:rsid w:val="0037237F"/>
    <w:pPr>
      <w:keepNext/>
      <w:keepLines/>
      <w:numPr>
        <w:ilvl w:val="7"/>
        <w:numId w:val="39"/>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unhideWhenUsed/>
    <w:qFormat/>
    <w:rsid w:val="0037237F"/>
    <w:pPr>
      <w:keepNext/>
      <w:keepLines/>
      <w:numPr>
        <w:ilvl w:val="8"/>
        <w:numId w:val="39"/>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Chapter Heading Char"/>
    <w:basedOn w:val="DefaultParagraphFont"/>
    <w:link w:val="Heading1"/>
    <w:uiPriority w:val="9"/>
    <w:rsid w:val="00074303"/>
    <w:rPr>
      <w:rFonts w:ascii="Arial Black" w:eastAsiaTheme="majorEastAsia" w:hAnsi="Arial Black" w:cstheme="majorBidi"/>
      <w:spacing w:val="-10"/>
      <w:kern w:val="28"/>
      <w:sz w:val="32"/>
      <w:szCs w:val="56"/>
      <w:lang w:val="en-GB"/>
    </w:rPr>
  </w:style>
  <w:style w:type="character" w:customStyle="1" w:styleId="Heading2Char">
    <w:name w:val="Heading 2 Char"/>
    <w:aliases w:val="Section Heading 1.1 Char"/>
    <w:basedOn w:val="DefaultParagraphFont"/>
    <w:link w:val="Heading2"/>
    <w:uiPriority w:val="9"/>
    <w:rsid w:val="00220ABE"/>
    <w:rPr>
      <w:rFonts w:ascii="Arial" w:eastAsiaTheme="majorEastAsia" w:hAnsi="Arial" w:cstheme="majorBidi"/>
      <w:b/>
      <w:caps/>
      <w:spacing w:val="-4"/>
      <w:sz w:val="22"/>
      <w:shd w:val="clear" w:color="auto" w:fill="BFBFBF" w:themeFill="background1" w:themeFillShade="BF"/>
      <w:lang w:val="en-GB"/>
    </w:rPr>
  </w:style>
  <w:style w:type="character" w:customStyle="1" w:styleId="Heading3Char">
    <w:name w:val="Heading 3 Char"/>
    <w:aliases w:val="Section Heading 1.1.1 Char"/>
    <w:basedOn w:val="DefaultParagraphFont"/>
    <w:link w:val="Heading3"/>
    <w:uiPriority w:val="9"/>
    <w:rsid w:val="00220ABE"/>
    <w:rPr>
      <w:rFonts w:ascii="Arial" w:eastAsiaTheme="majorEastAsia" w:hAnsi="Arial" w:cstheme="majorBidi"/>
      <w:b/>
      <w:caps/>
      <w:spacing w:val="-4"/>
      <w:sz w:val="22"/>
      <w:shd w:val="clear" w:color="auto" w:fill="BFBFBF" w:themeFill="background1" w:themeFillShade="BF"/>
      <w:lang w:val="en-GB"/>
    </w:rPr>
  </w:style>
  <w:style w:type="character" w:customStyle="1" w:styleId="Heading4Char">
    <w:name w:val="Heading 4 Char"/>
    <w:aliases w:val="Section Heading 1.1.1.1 Char"/>
    <w:basedOn w:val="DefaultParagraphFont"/>
    <w:link w:val="Heading4"/>
    <w:uiPriority w:val="9"/>
    <w:rsid w:val="0037237F"/>
    <w:rPr>
      <w:rFonts w:ascii="Arial" w:eastAsiaTheme="majorEastAsia" w:hAnsi="Arial" w:cstheme="majorBidi"/>
      <w:b/>
      <w:iCs/>
      <w:caps/>
      <w:spacing w:val="-4"/>
      <w:sz w:val="22"/>
      <w:shd w:val="clear" w:color="auto" w:fill="BFBFBF" w:themeFill="background1" w:themeFillShade="BF"/>
      <w:lang w:val="en-GB"/>
    </w:rPr>
  </w:style>
  <w:style w:type="character" w:customStyle="1" w:styleId="Heading5Char">
    <w:name w:val="Heading 5 Char"/>
    <w:aliases w:val="Subheading Char"/>
    <w:basedOn w:val="DefaultParagraphFont"/>
    <w:link w:val="Heading5"/>
    <w:uiPriority w:val="9"/>
    <w:rsid w:val="0037237F"/>
    <w:rPr>
      <w:rFonts w:ascii="Arial" w:hAnsi="Arial"/>
      <w:b/>
      <w:bCs/>
      <w:caps/>
      <w:spacing w:val="-4"/>
      <w:sz w:val="20"/>
      <w:lang w:val="en-GB"/>
    </w:rPr>
  </w:style>
  <w:style w:type="character" w:customStyle="1" w:styleId="Heading6Char">
    <w:name w:val="Heading 6 Char"/>
    <w:basedOn w:val="DefaultParagraphFont"/>
    <w:link w:val="Heading6"/>
    <w:uiPriority w:val="9"/>
    <w:rsid w:val="0037237F"/>
    <w:rPr>
      <w:rFonts w:ascii="Arial" w:hAnsi="Arial"/>
      <w:b/>
      <w:bCs/>
      <w:spacing w:val="-4"/>
      <w:lang w:val="en-GB"/>
    </w:rPr>
  </w:style>
  <w:style w:type="character" w:customStyle="1" w:styleId="Heading7Char">
    <w:name w:val="Heading 7 Char"/>
    <w:basedOn w:val="DefaultParagraphFont"/>
    <w:link w:val="Heading7"/>
    <w:uiPriority w:val="9"/>
    <w:rsid w:val="0037237F"/>
    <w:rPr>
      <w:rFonts w:ascii="Arial" w:hAnsi="Arial"/>
      <w:spacing w:val="-4"/>
      <w:u w:val="single"/>
      <w:lang w:val="en-GB"/>
    </w:rPr>
  </w:style>
  <w:style w:type="character" w:customStyle="1" w:styleId="Heading8Char">
    <w:name w:val="Heading 8 Char"/>
    <w:basedOn w:val="DefaultParagraphFont"/>
    <w:link w:val="Heading8"/>
    <w:uiPriority w:val="9"/>
    <w:rsid w:val="0037237F"/>
    <w:rPr>
      <w:rFonts w:asciiTheme="majorHAnsi" w:eastAsiaTheme="majorEastAsia" w:hAnsiTheme="majorHAnsi" w:cstheme="majorBidi"/>
      <w:color w:val="272727" w:themeColor="text1" w:themeTint="D8"/>
      <w:spacing w:val="-4"/>
      <w:sz w:val="21"/>
      <w:szCs w:val="21"/>
      <w:lang w:val="en-GB"/>
    </w:rPr>
  </w:style>
  <w:style w:type="character" w:customStyle="1" w:styleId="Heading9Char">
    <w:name w:val="Heading 9 Char"/>
    <w:basedOn w:val="DefaultParagraphFont"/>
    <w:link w:val="Heading9"/>
    <w:uiPriority w:val="9"/>
    <w:rsid w:val="0037237F"/>
    <w:rPr>
      <w:rFonts w:asciiTheme="majorHAnsi" w:eastAsiaTheme="majorEastAsia" w:hAnsiTheme="majorHAnsi" w:cstheme="majorBidi"/>
      <w:i/>
      <w:iCs/>
      <w:color w:val="272727" w:themeColor="text1" w:themeTint="D8"/>
      <w:spacing w:val="-4"/>
      <w:sz w:val="21"/>
      <w:szCs w:val="21"/>
      <w:lang w:val="en-GB"/>
    </w:rPr>
  </w:style>
  <w:style w:type="paragraph" w:styleId="NoSpacing">
    <w:name w:val="No Spacing"/>
    <w:uiPriority w:val="1"/>
    <w:qFormat/>
    <w:rsid w:val="009671DA"/>
    <w:pPr>
      <w:jc w:val="both"/>
    </w:pPr>
    <w:rPr>
      <w:rFonts w:ascii="Arial" w:hAnsi="Arial"/>
      <w:spacing w:val="-4"/>
    </w:rPr>
  </w:style>
  <w:style w:type="paragraph" w:styleId="Header">
    <w:name w:val="header"/>
    <w:basedOn w:val="Normal"/>
    <w:link w:val="HeaderChar"/>
    <w:uiPriority w:val="99"/>
    <w:unhideWhenUsed/>
    <w:rsid w:val="0037237F"/>
    <w:pPr>
      <w:pBdr>
        <w:bottom w:val="single" w:sz="18" w:space="1" w:color="auto"/>
      </w:pBdr>
      <w:tabs>
        <w:tab w:val="center" w:pos="3261"/>
        <w:tab w:val="right" w:pos="6663"/>
      </w:tabs>
      <w:spacing w:before="0" w:after="0"/>
    </w:pPr>
    <w:rPr>
      <w:b/>
      <w:caps/>
      <w:sz w:val="16"/>
      <w:lang w:val="en-ZA"/>
    </w:rPr>
  </w:style>
  <w:style w:type="character" w:customStyle="1" w:styleId="HeaderChar">
    <w:name w:val="Header Char"/>
    <w:basedOn w:val="DefaultParagraphFont"/>
    <w:link w:val="Header"/>
    <w:uiPriority w:val="99"/>
    <w:rsid w:val="0037237F"/>
    <w:rPr>
      <w:rFonts w:ascii="Arial" w:hAnsi="Arial"/>
      <w:b/>
      <w:caps/>
      <w:spacing w:val="-4"/>
      <w:sz w:val="16"/>
    </w:rPr>
  </w:style>
  <w:style w:type="paragraph" w:styleId="Footer">
    <w:name w:val="footer"/>
    <w:basedOn w:val="Normal"/>
    <w:link w:val="FooterChar"/>
    <w:uiPriority w:val="99"/>
    <w:unhideWhenUsed/>
    <w:rsid w:val="0037237F"/>
    <w:pPr>
      <w:pBdr>
        <w:top w:val="single" w:sz="4" w:space="1" w:color="auto"/>
      </w:pBdr>
      <w:tabs>
        <w:tab w:val="right" w:pos="6663"/>
      </w:tabs>
      <w:spacing w:before="0" w:after="0"/>
    </w:pPr>
    <w:rPr>
      <w:lang w:val="en-ZA"/>
    </w:rPr>
  </w:style>
  <w:style w:type="character" w:customStyle="1" w:styleId="FooterChar">
    <w:name w:val="Footer Char"/>
    <w:basedOn w:val="DefaultParagraphFont"/>
    <w:link w:val="Footer"/>
    <w:uiPriority w:val="99"/>
    <w:rsid w:val="0037237F"/>
    <w:rPr>
      <w:rFonts w:ascii="Arial" w:hAnsi="Arial"/>
      <w:spacing w:val="-4"/>
    </w:rPr>
  </w:style>
  <w:style w:type="paragraph" w:styleId="Title">
    <w:name w:val="Title"/>
    <w:basedOn w:val="Normal"/>
    <w:next w:val="Normal"/>
    <w:link w:val="TitleChar"/>
    <w:uiPriority w:val="10"/>
    <w:unhideWhenUsed/>
    <w:qFormat/>
    <w:rsid w:val="0037237F"/>
    <w:pPr>
      <w:spacing w:before="0" w:after="0"/>
      <w:contextualSpacing/>
    </w:pPr>
    <w:rPr>
      <w:rFonts w:ascii="Arial Black" w:eastAsiaTheme="majorEastAsia" w:hAnsi="Arial Black" w:cstheme="majorBidi"/>
      <w:spacing w:val="-10"/>
      <w:kern w:val="28"/>
      <w:sz w:val="32"/>
      <w:szCs w:val="56"/>
    </w:rPr>
  </w:style>
  <w:style w:type="character" w:customStyle="1" w:styleId="TitleChar">
    <w:name w:val="Title Char"/>
    <w:basedOn w:val="DefaultParagraphFont"/>
    <w:link w:val="Title"/>
    <w:uiPriority w:val="10"/>
    <w:rsid w:val="0037237F"/>
    <w:rPr>
      <w:rFonts w:ascii="Arial Black" w:eastAsiaTheme="majorEastAsia" w:hAnsi="Arial Black" w:cstheme="majorBidi"/>
      <w:spacing w:val="-10"/>
      <w:kern w:val="28"/>
      <w:sz w:val="32"/>
      <w:szCs w:val="56"/>
      <w:lang w:val="en-GB"/>
    </w:rPr>
  </w:style>
  <w:style w:type="character" w:styleId="Hyperlink">
    <w:name w:val="Hyperlink"/>
    <w:basedOn w:val="DefaultParagraphFont"/>
    <w:uiPriority w:val="99"/>
    <w:rsid w:val="0037237F"/>
    <w:rPr>
      <w:color w:val="0563C1" w:themeColor="hyperlink"/>
      <w:u w:val="single"/>
    </w:rPr>
  </w:style>
  <w:style w:type="paragraph" w:styleId="TOC1">
    <w:name w:val="toc 1"/>
    <w:basedOn w:val="Normal"/>
    <w:next w:val="Normal"/>
    <w:autoRedefine/>
    <w:uiPriority w:val="39"/>
    <w:unhideWhenUsed/>
    <w:rsid w:val="0037237F"/>
    <w:pPr>
      <w:tabs>
        <w:tab w:val="left" w:pos="1276"/>
        <w:tab w:val="right" w:pos="6113"/>
      </w:tabs>
      <w:spacing w:after="100"/>
    </w:pPr>
    <w:rPr>
      <w:rFonts w:eastAsiaTheme="minorEastAsia" w:cs="Arial"/>
      <w:b/>
      <w:bCs/>
      <w:caps/>
      <w:noProof/>
      <w:sz w:val="16"/>
      <w:szCs w:val="16"/>
      <w:lang w:val="en-ZA" w:eastAsia="en-ZA"/>
    </w:rPr>
  </w:style>
  <w:style w:type="paragraph" w:styleId="TOC2">
    <w:name w:val="toc 2"/>
    <w:basedOn w:val="Normal"/>
    <w:next w:val="Normal"/>
    <w:autoRedefine/>
    <w:uiPriority w:val="39"/>
    <w:unhideWhenUsed/>
    <w:rsid w:val="0037237F"/>
    <w:pPr>
      <w:tabs>
        <w:tab w:val="left" w:pos="709"/>
        <w:tab w:val="right" w:pos="6113"/>
      </w:tabs>
      <w:spacing w:after="100"/>
    </w:pPr>
    <w:rPr>
      <w:noProof/>
      <w:sz w:val="16"/>
    </w:rPr>
  </w:style>
  <w:style w:type="paragraph" w:styleId="TOC3">
    <w:name w:val="toc 3"/>
    <w:basedOn w:val="Normal"/>
    <w:next w:val="Normal"/>
    <w:autoRedefine/>
    <w:uiPriority w:val="39"/>
    <w:unhideWhenUsed/>
    <w:rsid w:val="0037237F"/>
    <w:pPr>
      <w:tabs>
        <w:tab w:val="left" w:pos="1418"/>
        <w:tab w:val="right" w:pos="6113"/>
      </w:tabs>
      <w:spacing w:after="100"/>
      <w:ind w:left="709"/>
    </w:pPr>
    <w:rPr>
      <w:noProof/>
      <w:sz w:val="16"/>
    </w:rPr>
  </w:style>
  <w:style w:type="table" w:styleId="TableGrid">
    <w:name w:val="Table Grid"/>
    <w:basedOn w:val="TableNormal"/>
    <w:uiPriority w:val="39"/>
    <w:rsid w:val="003723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37237F"/>
    <w:pPr>
      <w:keepNext/>
      <w:keepLines/>
      <w:numPr>
        <w:numId w:val="0"/>
      </w:numPr>
      <w:pBdr>
        <w:bottom w:val="single" w:sz="18" w:space="1" w:color="auto"/>
      </w:pBdr>
      <w:spacing w:before="240" w:after="240"/>
      <w:contextualSpacing w:val="0"/>
      <w:jc w:val="center"/>
      <w:outlineLvl w:val="9"/>
    </w:pPr>
    <w:rPr>
      <w:rFonts w:ascii="Arial" w:hAnsi="Arial" w:cs="Arial"/>
      <w:b/>
      <w:bCs/>
      <w:caps/>
      <w:spacing w:val="0"/>
      <w:kern w:val="0"/>
      <w:sz w:val="28"/>
      <w:szCs w:val="32"/>
      <w:lang w:val="en-US"/>
    </w:rPr>
  </w:style>
  <w:style w:type="table" w:customStyle="1" w:styleId="SamplePHCTable">
    <w:name w:val="Sample PHC Table"/>
    <w:basedOn w:val="TableGrid"/>
    <w:uiPriority w:val="99"/>
    <w:rsid w:val="0037237F"/>
    <w:pPr>
      <w:jc w:val="center"/>
    </w:pPr>
    <w:rPr>
      <w:rFonts w:ascii="Arial" w:hAnsi="Arial"/>
      <w:sz w:val="16"/>
    </w:rPr>
    <w:tblPr/>
    <w:tcPr>
      <w:shd w:val="clear" w:color="auto" w:fill="auto"/>
    </w:tcPr>
    <w:tblStylePr w:type="firstRow">
      <w:pPr>
        <w:wordWrap/>
        <w:spacing w:beforeLines="0" w:before="0" w:beforeAutospacing="0" w:afterLines="0" w:after="0" w:afterAutospacing="0"/>
        <w:jc w:val="left"/>
      </w:pPr>
      <w:rPr>
        <w:rFonts w:ascii="Arial" w:hAnsi="Arial"/>
        <w:b/>
        <w:sz w:val="16"/>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shd w:val="clear" w:color="auto" w:fill="D9D9D9" w:themeFill="background1" w:themeFillShade="D9"/>
        <w:vAlign w:val="center"/>
      </w:tcPr>
    </w:tblStylePr>
    <w:tblStylePr w:type="lastRow">
      <w:pPr>
        <w:wordWrap/>
        <w:jc w:val="left"/>
      </w:pPr>
      <w:rPr>
        <w:rFonts w:ascii="Arial" w:hAnsi="Arial"/>
        <w:b w:val="0"/>
        <w:sz w:val="12"/>
      </w:rPr>
      <w:tblPr/>
      <w:tcPr>
        <w:tcBorders>
          <w:top w:val="nil"/>
          <w:left w:val="nil"/>
          <w:bottom w:val="nil"/>
          <w:right w:val="nil"/>
          <w:insideH w:val="nil"/>
          <w:insideV w:val="nil"/>
          <w:tl2br w:val="nil"/>
          <w:tr2bl w:val="nil"/>
        </w:tcBorders>
        <w:shd w:val="clear" w:color="auto" w:fill="auto"/>
      </w:tcPr>
    </w:tblStylePr>
  </w:style>
  <w:style w:type="paragraph" w:styleId="BalloonText">
    <w:name w:val="Balloon Text"/>
    <w:basedOn w:val="Normal"/>
    <w:link w:val="BalloonTextChar"/>
    <w:uiPriority w:val="99"/>
    <w:semiHidden/>
    <w:unhideWhenUsed/>
    <w:rsid w:val="0037237F"/>
    <w:pPr>
      <w:spacing w:before="0" w:after="0"/>
    </w:pPr>
    <w:rPr>
      <w:rFonts w:ascii="Segoe UI" w:hAnsi="Segoe UI" w:cs="Segoe UI"/>
    </w:rPr>
  </w:style>
  <w:style w:type="character" w:customStyle="1" w:styleId="BalloonTextChar">
    <w:name w:val="Balloon Text Char"/>
    <w:basedOn w:val="DefaultParagraphFont"/>
    <w:link w:val="BalloonText"/>
    <w:uiPriority w:val="99"/>
    <w:semiHidden/>
    <w:rsid w:val="0037237F"/>
    <w:rPr>
      <w:rFonts w:ascii="Segoe UI" w:hAnsi="Segoe UI" w:cs="Segoe UI"/>
      <w:spacing w:val="-4"/>
      <w:lang w:val="en-GB"/>
    </w:rPr>
  </w:style>
  <w:style w:type="paragraph" w:styleId="TOC9">
    <w:name w:val="toc 9"/>
    <w:aliases w:val="CH TOC 4"/>
    <w:basedOn w:val="Normal"/>
    <w:next w:val="Normal"/>
    <w:autoRedefine/>
    <w:uiPriority w:val="39"/>
    <w:unhideWhenUsed/>
    <w:rsid w:val="00293547"/>
    <w:pPr>
      <w:tabs>
        <w:tab w:val="left" w:pos="3119"/>
        <w:tab w:val="right" w:pos="6113"/>
      </w:tabs>
      <w:spacing w:before="40" w:after="40"/>
      <w:ind w:left="2552" w:hanging="851"/>
    </w:pPr>
    <w:rPr>
      <w:rFonts w:ascii="Arial Black" w:hAnsi="Arial Black"/>
      <w:noProof/>
      <w:sz w:val="20"/>
    </w:rPr>
  </w:style>
  <w:style w:type="paragraph" w:styleId="TOC8">
    <w:name w:val="toc 8"/>
    <w:aliases w:val="CH TOC 3"/>
    <w:basedOn w:val="Normal"/>
    <w:next w:val="Normal"/>
    <w:autoRedefine/>
    <w:uiPriority w:val="39"/>
    <w:unhideWhenUsed/>
    <w:rsid w:val="00293547"/>
    <w:pPr>
      <w:tabs>
        <w:tab w:val="left" w:pos="2381"/>
        <w:tab w:val="right" w:pos="6113"/>
      </w:tabs>
      <w:spacing w:before="40" w:after="40"/>
      <w:ind w:left="1702" w:hanging="851"/>
    </w:pPr>
    <w:rPr>
      <w:rFonts w:ascii="Arial Black" w:hAnsi="Arial Black"/>
      <w:noProof/>
      <w:sz w:val="20"/>
    </w:rPr>
  </w:style>
  <w:style w:type="character" w:styleId="CommentReference">
    <w:name w:val="annotation reference"/>
    <w:basedOn w:val="DefaultParagraphFont"/>
    <w:uiPriority w:val="99"/>
    <w:semiHidden/>
    <w:unhideWhenUsed/>
    <w:rsid w:val="0037237F"/>
    <w:rPr>
      <w:sz w:val="16"/>
      <w:szCs w:val="16"/>
    </w:rPr>
  </w:style>
  <w:style w:type="paragraph" w:styleId="CommentText">
    <w:name w:val="annotation text"/>
    <w:basedOn w:val="Normal"/>
    <w:link w:val="CommentTextChar"/>
    <w:uiPriority w:val="99"/>
    <w:unhideWhenUsed/>
    <w:rsid w:val="0037237F"/>
    <w:rPr>
      <w:sz w:val="20"/>
      <w:szCs w:val="20"/>
    </w:rPr>
  </w:style>
  <w:style w:type="character" w:customStyle="1" w:styleId="CommentTextChar">
    <w:name w:val="Comment Text Char"/>
    <w:basedOn w:val="DefaultParagraphFont"/>
    <w:link w:val="CommentText"/>
    <w:uiPriority w:val="99"/>
    <w:rsid w:val="0037237F"/>
    <w:rPr>
      <w:rFonts w:ascii="Arial" w:hAnsi="Arial"/>
      <w:spacing w:val="-4"/>
      <w:sz w:val="20"/>
      <w:szCs w:val="20"/>
      <w:lang w:val="en-GB"/>
    </w:rPr>
  </w:style>
  <w:style w:type="paragraph" w:styleId="CommentSubject">
    <w:name w:val="annotation subject"/>
    <w:basedOn w:val="CommentText"/>
    <w:next w:val="CommentText"/>
    <w:link w:val="CommentSubjectChar"/>
    <w:uiPriority w:val="99"/>
    <w:semiHidden/>
    <w:unhideWhenUsed/>
    <w:rsid w:val="0037237F"/>
    <w:rPr>
      <w:b/>
      <w:bCs/>
    </w:rPr>
  </w:style>
  <w:style w:type="character" w:customStyle="1" w:styleId="CommentSubjectChar">
    <w:name w:val="Comment Subject Char"/>
    <w:basedOn w:val="CommentTextChar"/>
    <w:link w:val="CommentSubject"/>
    <w:uiPriority w:val="99"/>
    <w:semiHidden/>
    <w:rsid w:val="0037237F"/>
    <w:rPr>
      <w:rFonts w:ascii="Arial" w:hAnsi="Arial"/>
      <w:b/>
      <w:bCs/>
      <w:spacing w:val="-4"/>
      <w:sz w:val="20"/>
      <w:szCs w:val="20"/>
      <w:lang w:val="en-GB"/>
    </w:rPr>
  </w:style>
  <w:style w:type="paragraph" w:styleId="TOC7">
    <w:name w:val="toc 7"/>
    <w:aliases w:val="CH TOC 2"/>
    <w:basedOn w:val="Normal"/>
    <w:next w:val="Normal"/>
    <w:autoRedefine/>
    <w:uiPriority w:val="39"/>
    <w:unhideWhenUsed/>
    <w:rsid w:val="00293547"/>
    <w:pPr>
      <w:tabs>
        <w:tab w:val="left" w:pos="1531"/>
        <w:tab w:val="right" w:leader="dot" w:pos="6113"/>
      </w:tabs>
      <w:spacing w:before="40" w:after="40"/>
      <w:ind w:left="851" w:hanging="624"/>
    </w:pPr>
    <w:rPr>
      <w:rFonts w:ascii="Arial Black" w:hAnsi="Arial Black"/>
      <w:noProof/>
      <w:sz w:val="20"/>
      <w:szCs w:val="20"/>
    </w:rPr>
  </w:style>
  <w:style w:type="paragraph" w:customStyle="1" w:styleId="Heading1A">
    <w:name w:val="Heading 1A"/>
    <w:aliases w:val="Chapter Sub-Heading"/>
    <w:basedOn w:val="Heading2"/>
    <w:next w:val="Normal"/>
    <w:uiPriority w:val="9"/>
    <w:qFormat/>
    <w:rsid w:val="0037237F"/>
    <w:pPr>
      <w:pageBreakBefore/>
      <w:numPr>
        <w:ilvl w:val="0"/>
        <w:numId w:val="0"/>
      </w:numPr>
      <w:ind w:left="578" w:hanging="578"/>
      <w:jc w:val="center"/>
    </w:pPr>
    <w:rPr>
      <w:sz w:val="24"/>
      <w:szCs w:val="24"/>
    </w:rPr>
  </w:style>
  <w:style w:type="paragraph" w:styleId="TOC6">
    <w:name w:val="toc 6"/>
    <w:aliases w:val="CH TOC 1A"/>
    <w:basedOn w:val="Normal"/>
    <w:next w:val="Normal"/>
    <w:autoRedefine/>
    <w:uiPriority w:val="39"/>
    <w:unhideWhenUsed/>
    <w:rsid w:val="0037237F"/>
    <w:pPr>
      <w:tabs>
        <w:tab w:val="right" w:leader="dot" w:pos="6113"/>
      </w:tabs>
      <w:spacing w:after="100"/>
    </w:pPr>
    <w:rPr>
      <w:rFonts w:ascii="Arial Black" w:hAnsi="Arial Black"/>
      <w:noProof/>
      <w:sz w:val="24"/>
      <w:szCs w:val="24"/>
    </w:rPr>
  </w:style>
  <w:style w:type="paragraph" w:styleId="TOC4">
    <w:name w:val="toc 4"/>
    <w:basedOn w:val="Normal"/>
    <w:next w:val="Normal"/>
    <w:autoRedefine/>
    <w:uiPriority w:val="39"/>
    <w:unhideWhenUsed/>
    <w:rsid w:val="0037237F"/>
    <w:pPr>
      <w:tabs>
        <w:tab w:val="left" w:pos="2268"/>
        <w:tab w:val="right" w:pos="6113"/>
      </w:tabs>
      <w:spacing w:after="100"/>
      <w:ind w:left="2268" w:hanging="850"/>
    </w:pPr>
    <w:rPr>
      <w:noProof/>
      <w:sz w:val="16"/>
      <w:szCs w:val="16"/>
    </w:rPr>
  </w:style>
  <w:style w:type="paragraph" w:styleId="ListParagraph">
    <w:name w:val="List Paragraph"/>
    <w:basedOn w:val="NoSpacing"/>
    <w:uiPriority w:val="2"/>
    <w:qFormat/>
    <w:rsid w:val="0037237F"/>
    <w:pPr>
      <w:numPr>
        <w:numId w:val="35"/>
      </w:numPr>
      <w:contextualSpacing/>
    </w:pPr>
  </w:style>
  <w:style w:type="paragraph" w:customStyle="1" w:styleId="BulletTherapeuticclass">
    <w:name w:val="Bullet Therapeutic class"/>
    <w:basedOn w:val="NoSpacing"/>
    <w:next w:val="Normal"/>
    <w:uiPriority w:val="4"/>
    <w:qFormat/>
    <w:rsid w:val="0037237F"/>
    <w:pPr>
      <w:numPr>
        <w:numId w:val="25"/>
      </w:numPr>
    </w:pPr>
  </w:style>
  <w:style w:type="character" w:customStyle="1" w:styleId="UnresolvedMention1">
    <w:name w:val="Unresolved Mention1"/>
    <w:basedOn w:val="DefaultParagraphFont"/>
    <w:uiPriority w:val="99"/>
    <w:semiHidden/>
    <w:unhideWhenUsed/>
    <w:rsid w:val="0037237F"/>
    <w:rPr>
      <w:color w:val="605E5C"/>
      <w:shd w:val="clear" w:color="auto" w:fill="E1DFDD"/>
    </w:rPr>
  </w:style>
  <w:style w:type="character" w:styleId="FollowedHyperlink">
    <w:name w:val="FollowedHyperlink"/>
    <w:basedOn w:val="DefaultParagraphFont"/>
    <w:uiPriority w:val="99"/>
    <w:semiHidden/>
    <w:unhideWhenUsed/>
    <w:rsid w:val="0037237F"/>
    <w:rPr>
      <w:color w:val="954F72" w:themeColor="followedHyperlink"/>
      <w:u w:val="single"/>
    </w:rPr>
  </w:style>
  <w:style w:type="paragraph" w:customStyle="1" w:styleId="BulletMedicine">
    <w:name w:val="Bullet Medicine"/>
    <w:basedOn w:val="BulletTherapeuticclass"/>
    <w:next w:val="Normal"/>
    <w:uiPriority w:val="5"/>
    <w:qFormat/>
    <w:rsid w:val="005C4479"/>
    <w:pPr>
      <w:numPr>
        <w:numId w:val="36"/>
      </w:numPr>
    </w:pPr>
  </w:style>
  <w:style w:type="paragraph" w:customStyle="1" w:styleId="BulletDirectionsInstructions">
    <w:name w:val="Bullet Directions/Instructions"/>
    <w:basedOn w:val="BulletTherapeuticclass"/>
    <w:next w:val="Normal"/>
    <w:uiPriority w:val="6"/>
    <w:qFormat/>
    <w:rsid w:val="0037237F"/>
    <w:pPr>
      <w:numPr>
        <w:numId w:val="26"/>
      </w:numPr>
    </w:pPr>
  </w:style>
  <w:style w:type="paragraph" w:customStyle="1" w:styleId="ICD10">
    <w:name w:val="ICD 10"/>
    <w:basedOn w:val="NoSpacing"/>
    <w:next w:val="Normal"/>
    <w:uiPriority w:val="9"/>
    <w:qFormat/>
    <w:rsid w:val="0037237F"/>
    <w:rPr>
      <w:sz w:val="16"/>
    </w:rPr>
  </w:style>
  <w:style w:type="paragraph" w:styleId="EndnoteText">
    <w:name w:val="endnote text"/>
    <w:basedOn w:val="Normal"/>
    <w:link w:val="EndnoteTextChar"/>
    <w:uiPriority w:val="10"/>
    <w:rsid w:val="00293547"/>
    <w:pPr>
      <w:jc w:val="left"/>
    </w:pPr>
    <w:rPr>
      <w:sz w:val="12"/>
    </w:rPr>
  </w:style>
  <w:style w:type="paragraph" w:customStyle="1" w:styleId="TableText">
    <w:name w:val="Table Text"/>
    <w:basedOn w:val="NoSpacing"/>
    <w:uiPriority w:val="3"/>
    <w:qFormat/>
    <w:rsid w:val="0037237F"/>
    <w:rPr>
      <w:sz w:val="16"/>
      <w:szCs w:val="16"/>
    </w:rPr>
  </w:style>
  <w:style w:type="character" w:customStyle="1" w:styleId="EndnoteTextChar">
    <w:name w:val="Endnote Text Char"/>
    <w:basedOn w:val="DefaultParagraphFont"/>
    <w:link w:val="EndnoteText"/>
    <w:uiPriority w:val="10"/>
    <w:rsid w:val="00293547"/>
    <w:rPr>
      <w:rFonts w:ascii="Arial" w:hAnsi="Arial"/>
      <w:spacing w:val="-4"/>
      <w:sz w:val="12"/>
      <w:lang w:val="en-GB"/>
    </w:rPr>
  </w:style>
  <w:style w:type="character" w:styleId="EndnoteReference">
    <w:name w:val="endnote reference"/>
    <w:basedOn w:val="DefaultParagraphFont"/>
    <w:uiPriority w:val="10"/>
    <w:rsid w:val="0037237F"/>
    <w:rPr>
      <w:sz w:val="12"/>
      <w:szCs w:val="12"/>
      <w:vertAlign w:val="superscript"/>
    </w:rPr>
  </w:style>
  <w:style w:type="character" w:styleId="Emphasis">
    <w:name w:val="Emphasis"/>
    <w:basedOn w:val="DefaultParagraphFont"/>
    <w:uiPriority w:val="20"/>
    <w:qFormat/>
    <w:rsid w:val="0037237F"/>
    <w:rPr>
      <w:i/>
      <w:iCs/>
    </w:rPr>
  </w:style>
  <w:style w:type="paragraph" w:customStyle="1" w:styleId="LoEText">
    <w:name w:val="LoE Text"/>
    <w:basedOn w:val="TableText"/>
    <w:uiPriority w:val="3"/>
    <w:qFormat/>
    <w:rsid w:val="0037237F"/>
    <w:pPr>
      <w:framePr w:hSpace="284" w:wrap="around" w:vAnchor="text" w:hAnchor="margin" w:xAlign="right" w:y="1"/>
      <w:suppressOverlap/>
      <w:jc w:val="right"/>
    </w:pPr>
    <w:rPr>
      <w:i/>
    </w:rPr>
  </w:style>
  <w:style w:type="paragraph" w:customStyle="1" w:styleId="Centeredbox">
    <w:name w:val="Centered box"/>
    <w:basedOn w:val="Normal"/>
    <w:uiPriority w:val="7"/>
    <w:qFormat/>
    <w:rsid w:val="00FD06A6"/>
    <w:pPr>
      <w:pBdr>
        <w:top w:val="double" w:sz="4" w:space="1" w:color="auto"/>
        <w:left w:val="double" w:sz="4" w:space="4" w:color="auto"/>
        <w:bottom w:val="double" w:sz="4" w:space="1" w:color="auto"/>
        <w:right w:val="double" w:sz="4" w:space="4" w:color="auto"/>
      </w:pBdr>
      <w:spacing w:before="120" w:after="120"/>
      <w:ind w:left="113" w:right="113"/>
      <w:jc w:val="center"/>
    </w:pPr>
  </w:style>
  <w:style w:type="character" w:styleId="Strong">
    <w:name w:val="Strong"/>
    <w:basedOn w:val="DefaultParagraphFont"/>
    <w:uiPriority w:val="22"/>
    <w:qFormat/>
    <w:rsid w:val="0037237F"/>
    <w:rPr>
      <w:b/>
      <w:bCs/>
    </w:rPr>
  </w:style>
  <w:style w:type="paragraph" w:customStyle="1" w:styleId="BulletNutrition">
    <w:name w:val="Bullet Nutrition"/>
    <w:basedOn w:val="BulletMedicine"/>
    <w:uiPriority w:val="5"/>
    <w:qFormat/>
    <w:rsid w:val="0037237F"/>
    <w:pPr>
      <w:numPr>
        <w:numId w:val="28"/>
      </w:numPr>
    </w:pPr>
  </w:style>
  <w:style w:type="paragraph" w:customStyle="1" w:styleId="ListParagraphNumbered">
    <w:name w:val="List Paragraph Numbered"/>
    <w:basedOn w:val="NoSpacing"/>
    <w:uiPriority w:val="2"/>
    <w:qFormat/>
    <w:rsid w:val="00220ABE"/>
    <w:pPr>
      <w:numPr>
        <w:numId w:val="37"/>
      </w:numPr>
    </w:pPr>
  </w:style>
  <w:style w:type="character" w:customStyle="1" w:styleId="EndnoteReference8">
    <w:name w:val="Endnote Reference 8"/>
    <w:basedOn w:val="DefaultParagraphFont"/>
    <w:uiPriority w:val="10"/>
    <w:rsid w:val="008D7E91"/>
    <w:rPr>
      <w:sz w:val="16"/>
      <w:vertAlign w:val="superscript"/>
    </w:rPr>
  </w:style>
  <w:style w:type="paragraph" w:styleId="Index1">
    <w:name w:val="index 1"/>
    <w:basedOn w:val="Normal"/>
    <w:next w:val="Normal"/>
    <w:autoRedefine/>
    <w:uiPriority w:val="99"/>
    <w:semiHidden/>
    <w:unhideWhenUsed/>
    <w:rsid w:val="008A18FE"/>
    <w:pPr>
      <w:spacing w:before="0" w:after="0"/>
      <w:ind w:left="180" w:hanging="180"/>
    </w:pPr>
  </w:style>
  <w:style w:type="paragraph" w:styleId="Index2">
    <w:name w:val="index 2"/>
    <w:basedOn w:val="Normal"/>
    <w:next w:val="Normal"/>
    <w:autoRedefine/>
    <w:uiPriority w:val="99"/>
    <w:semiHidden/>
    <w:unhideWhenUsed/>
    <w:rsid w:val="003D3FDA"/>
    <w:pPr>
      <w:spacing w:before="0" w:after="0"/>
      <w:ind w:left="360" w:hanging="1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oter" Target="footer2.xml"/></Relationships>
</file>

<file path=word/_rels/endnotes.xml.rels><?xml version="1.0" encoding="UTF-8" standalone="yes"?>
<Relationships xmlns="http://schemas.openxmlformats.org/package/2006/relationships"><Relationship Id="rId8" Type="http://schemas.openxmlformats.org/officeDocument/2006/relationships/hyperlink" Target="https://www.ncbi.nlm.nih.gov/pubmed/20693173" TargetMode="External"/><Relationship Id="rId13" Type="http://schemas.openxmlformats.org/officeDocument/2006/relationships/hyperlink" Target="http://apps.who.int/iris/bitstream/10665/249572/1/9789241549806-eng.pdf" TargetMode="External"/><Relationship Id="rId18" Type="http://schemas.openxmlformats.org/officeDocument/2006/relationships/hyperlink" Target="https://www.ncbi.nlm.nih.gov/pubmed/26568359" TargetMode="External"/><Relationship Id="rId26" Type="http://schemas.openxmlformats.org/officeDocument/2006/relationships/hyperlink" Target="https://www.cdc.gov/std/tg2015/" TargetMode="External"/><Relationship Id="rId3" Type="http://schemas.openxmlformats.org/officeDocument/2006/relationships/hyperlink" Target="https://www.ncbi.nlm.nih.gov/pubmed/15273147" TargetMode="External"/><Relationship Id="rId21" Type="http://schemas.openxmlformats.org/officeDocument/2006/relationships/hyperlink" Target="https://www.ncbi.nlm.nih.gov/pubmed/25829004" TargetMode="External"/><Relationship Id="rId7" Type="http://schemas.openxmlformats.org/officeDocument/2006/relationships/hyperlink" Target="https://www.ncbi.nlm.nih.gov/pubmed/19528266" TargetMode="External"/><Relationship Id="rId12" Type="http://schemas.openxmlformats.org/officeDocument/2006/relationships/hyperlink" Target="https://www.nicd.ac.za/wp-content/uploads/2017/03/3Final-25-April-2017_Revised-NAS_v5_NICD.pdf" TargetMode="External"/><Relationship Id="rId17" Type="http://schemas.openxmlformats.org/officeDocument/2006/relationships/hyperlink" Target="https://www.ncbi.nlm.nih.gov/pubmed/28658325" TargetMode="External"/><Relationship Id="rId25" Type="http://schemas.openxmlformats.org/officeDocument/2006/relationships/hyperlink" Target="http://www.health.gov.za/" TargetMode="External"/><Relationship Id="rId2" Type="http://schemas.openxmlformats.org/officeDocument/2006/relationships/hyperlink" Target="https://journals.co.za/content/mp_sajei/28/2/EJC138699" TargetMode="External"/><Relationship Id="rId16" Type="http://schemas.openxmlformats.org/officeDocument/2006/relationships/hyperlink" Target="https://www.ncbi.nlm.nih.gov/pubmed/26694983" TargetMode="External"/><Relationship Id="rId20" Type="http://schemas.openxmlformats.org/officeDocument/2006/relationships/hyperlink" Target="http://apps.who.int/iris/bitstream/10665/249572/1/9789241549806-eng.pdf" TargetMode="External"/><Relationship Id="rId1" Type="http://schemas.openxmlformats.org/officeDocument/2006/relationships/hyperlink" Target="https://www.ncbi.nlm.nih.gov/pubmed/23416957" TargetMode="External"/><Relationship Id="rId6" Type="http://schemas.openxmlformats.org/officeDocument/2006/relationships/hyperlink" Target="https://www.ncbi.nlm.nih.gov/pubmed/23231489" TargetMode="External"/><Relationship Id="rId11" Type="http://schemas.openxmlformats.org/officeDocument/2006/relationships/hyperlink" Target="https://www.nicd.ac.za/wp-content/uploads/2017/03/3Final-25-April-2017_Revised-NAS_v5_NICD.pdf" TargetMode="External"/><Relationship Id="rId24" Type="http://schemas.openxmlformats.org/officeDocument/2006/relationships/hyperlink" Target="https://www.ncbi.nlm.nih.gov/pubmed/25829004" TargetMode="External"/><Relationship Id="rId5" Type="http://schemas.openxmlformats.org/officeDocument/2006/relationships/hyperlink" Target="https://www.ncbi.nlm.nih.gov/pubmed/17953118" TargetMode="External"/><Relationship Id="rId15" Type="http://schemas.openxmlformats.org/officeDocument/2006/relationships/hyperlink" Target="http://www.health.gov.za" TargetMode="External"/><Relationship Id="rId23" Type="http://schemas.openxmlformats.org/officeDocument/2006/relationships/hyperlink" Target="http://apps.who.int/iris/bitstream/10665/249572/1/9789241549806-eng.pdf" TargetMode="External"/><Relationship Id="rId10" Type="http://schemas.openxmlformats.org/officeDocument/2006/relationships/hyperlink" Target="https://www.nicd.ac.za/wp-content/uploads/2017/03/3Final-25-April-2017_Revised-NAS_v5_NICD.pdf" TargetMode="External"/><Relationship Id="rId19" Type="http://schemas.openxmlformats.org/officeDocument/2006/relationships/hyperlink" Target="https://www.ncbi.nlm.nih.gov/pubmed/27795370" TargetMode="External"/><Relationship Id="rId4" Type="http://schemas.openxmlformats.org/officeDocument/2006/relationships/hyperlink" Target="https://www.ncbi.nlm.nih.gov/pubmed/11957125" TargetMode="External"/><Relationship Id="rId9" Type="http://schemas.openxmlformats.org/officeDocument/2006/relationships/hyperlink" Target="https://www.nicd.ac.za/wp-content/uploads/2017/03/3Final-25-April-2017_Revised-NAS_v5_NICD.pdf" TargetMode="External"/><Relationship Id="rId14" Type="http://schemas.openxmlformats.org/officeDocument/2006/relationships/hyperlink" Target="https://www.ncbi.nlm.nih.gov/pubmed/28658325" TargetMode="External"/><Relationship Id="rId22" Type="http://schemas.openxmlformats.org/officeDocument/2006/relationships/hyperlink" Target="http://www.health.gov.za/"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D:\OneDrive\1%20EML%20revisions\Document%20build%20-%20Andre\Template\PHC%20STG%20Template_Chapte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6CC316-E1D9-4167-A37A-A710A74CDF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PHC STG Template_Chapter</Template>
  <TotalTime>29</TotalTime>
  <Pages>20</Pages>
  <Words>2365</Words>
  <Characters>13484</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Chapter #</vt:lpstr>
    </vt:vector>
  </TitlesOfParts>
  <Company/>
  <LinksUpToDate>false</LinksUpToDate>
  <CharactersWithSpaces>15818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Chapter #</dc:title>
  <dc:subject>Chapter Description</dc:subject>
  <dc:creator>andre</dc:creator>
  <cp:keywords/>
  <dc:description/>
  <cp:lastModifiedBy>Maropeng Rapetsoa</cp:lastModifiedBy>
  <cp:revision>23</cp:revision>
  <dcterms:created xsi:type="dcterms:W3CDTF">2020-12-17T08:03:00Z</dcterms:created>
  <dcterms:modified xsi:type="dcterms:W3CDTF">2025-08-01T07:21:00Z</dcterms:modified>
</cp:coreProperties>
</file>