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0F0A" w14:textId="7F133A6B" w:rsidR="00580997" w:rsidRPr="0034231A" w:rsidRDefault="00211045" w:rsidP="00C33E4E">
      <w:pPr>
        <w:pStyle w:val="Heading1"/>
      </w:pPr>
      <w:r w:rsidRPr="00211045">
        <w:t>Endocrine conditions</w:t>
      </w:r>
    </w:p>
    <w:p w14:paraId="2FC93217" w14:textId="77777777" w:rsidR="00182A9B" w:rsidRDefault="001C7571">
      <w:pPr>
        <w:pStyle w:val="TOC7"/>
        <w:rPr>
          <w:rFonts w:asciiTheme="minorHAnsi" w:eastAsiaTheme="minorEastAsia" w:hAnsiTheme="minorHAnsi"/>
          <w:spacing w:val="0"/>
          <w:sz w:val="22"/>
          <w:szCs w:val="22"/>
          <w:lang w:val="en-ZA" w:eastAsia="en-ZA"/>
        </w:rPr>
      </w:pPr>
      <w:r>
        <w:fldChar w:fldCharType="begin"/>
      </w:r>
      <w:r>
        <w:instrText xml:space="preserve"> TOC \b Chapter9 \n \h \z \u \t "Heading 1A,6,Heading 2,7,Heading 3,8,Heading 4,9" </w:instrText>
      </w:r>
      <w:r>
        <w:fldChar w:fldCharType="separate"/>
      </w:r>
      <w:hyperlink w:anchor="_Toc56695558" w:history="1">
        <w:r w:rsidR="00182A9B" w:rsidRPr="00061A3B">
          <w:rPr>
            <w:rStyle w:val="Hyperlink"/>
          </w:rPr>
          <w:t>9.1</w:t>
        </w:r>
        <w:r w:rsidR="00182A9B">
          <w:rPr>
            <w:rFonts w:asciiTheme="minorHAnsi" w:eastAsiaTheme="minorEastAsia" w:hAnsiTheme="minorHAnsi"/>
            <w:spacing w:val="0"/>
            <w:sz w:val="22"/>
            <w:szCs w:val="22"/>
            <w:lang w:val="en-ZA" w:eastAsia="en-ZA"/>
          </w:rPr>
          <w:tab/>
        </w:r>
        <w:r w:rsidR="00182A9B" w:rsidRPr="00061A3B">
          <w:rPr>
            <w:rStyle w:val="Hyperlink"/>
          </w:rPr>
          <w:t>Type 1 diabetes mellitus</w:t>
        </w:r>
      </w:hyperlink>
    </w:p>
    <w:p w14:paraId="549356B9" w14:textId="77777777" w:rsidR="00182A9B" w:rsidRDefault="00182A9B">
      <w:pPr>
        <w:pStyle w:val="TOC8"/>
        <w:rPr>
          <w:rFonts w:asciiTheme="minorHAnsi" w:eastAsiaTheme="minorEastAsia" w:hAnsiTheme="minorHAnsi"/>
          <w:spacing w:val="0"/>
          <w:sz w:val="22"/>
          <w:szCs w:val="22"/>
          <w:lang w:val="en-ZA" w:eastAsia="en-ZA"/>
        </w:rPr>
      </w:pPr>
      <w:hyperlink w:anchor="_Toc56695559" w:history="1">
        <w:r w:rsidRPr="00061A3B">
          <w:rPr>
            <w:rStyle w:val="Hyperlink"/>
          </w:rPr>
          <w:t>9.1.1</w:t>
        </w:r>
        <w:r>
          <w:rPr>
            <w:rFonts w:asciiTheme="minorHAnsi" w:eastAsiaTheme="minorEastAsia" w:hAnsiTheme="minorHAnsi"/>
            <w:spacing w:val="0"/>
            <w:sz w:val="22"/>
            <w:szCs w:val="22"/>
            <w:lang w:val="en-ZA" w:eastAsia="en-ZA"/>
          </w:rPr>
          <w:tab/>
        </w:r>
        <w:r w:rsidRPr="00061A3B">
          <w:rPr>
            <w:rStyle w:val="Hyperlink"/>
          </w:rPr>
          <w:t>Type 1 diabetes mellitus, in children and adolescents</w:t>
        </w:r>
      </w:hyperlink>
    </w:p>
    <w:p w14:paraId="3372E427" w14:textId="77777777" w:rsidR="00182A9B" w:rsidRDefault="00182A9B">
      <w:pPr>
        <w:pStyle w:val="TOC8"/>
        <w:rPr>
          <w:rFonts w:asciiTheme="minorHAnsi" w:eastAsiaTheme="minorEastAsia" w:hAnsiTheme="minorHAnsi"/>
          <w:spacing w:val="0"/>
          <w:sz w:val="22"/>
          <w:szCs w:val="22"/>
          <w:lang w:val="en-ZA" w:eastAsia="en-ZA"/>
        </w:rPr>
      </w:pPr>
      <w:hyperlink w:anchor="_Toc56695560" w:history="1">
        <w:r w:rsidRPr="00061A3B">
          <w:rPr>
            <w:rStyle w:val="Hyperlink"/>
          </w:rPr>
          <w:t>9.1.2</w:t>
        </w:r>
        <w:r>
          <w:rPr>
            <w:rFonts w:asciiTheme="minorHAnsi" w:eastAsiaTheme="minorEastAsia" w:hAnsiTheme="minorHAnsi"/>
            <w:spacing w:val="0"/>
            <w:sz w:val="22"/>
            <w:szCs w:val="22"/>
            <w:lang w:val="en-ZA" w:eastAsia="en-ZA"/>
          </w:rPr>
          <w:tab/>
        </w:r>
        <w:r w:rsidRPr="00061A3B">
          <w:rPr>
            <w:rStyle w:val="Hyperlink"/>
          </w:rPr>
          <w:t>Type 1 diabetes mellitus, in adults</w:t>
        </w:r>
      </w:hyperlink>
    </w:p>
    <w:p w14:paraId="59A78A0D" w14:textId="77777777" w:rsidR="00182A9B" w:rsidRDefault="00182A9B">
      <w:pPr>
        <w:pStyle w:val="TOC7"/>
        <w:rPr>
          <w:rFonts w:asciiTheme="minorHAnsi" w:eastAsiaTheme="minorEastAsia" w:hAnsiTheme="minorHAnsi"/>
          <w:spacing w:val="0"/>
          <w:sz w:val="22"/>
          <w:szCs w:val="22"/>
          <w:lang w:val="en-ZA" w:eastAsia="en-ZA"/>
        </w:rPr>
      </w:pPr>
      <w:hyperlink w:anchor="_Toc56695561" w:history="1">
        <w:r w:rsidRPr="00061A3B">
          <w:rPr>
            <w:rStyle w:val="Hyperlink"/>
          </w:rPr>
          <w:t>9.2</w:t>
        </w:r>
        <w:r>
          <w:rPr>
            <w:rFonts w:asciiTheme="minorHAnsi" w:eastAsiaTheme="minorEastAsia" w:hAnsiTheme="minorHAnsi"/>
            <w:spacing w:val="0"/>
            <w:sz w:val="22"/>
            <w:szCs w:val="22"/>
            <w:lang w:val="en-ZA" w:eastAsia="en-ZA"/>
          </w:rPr>
          <w:tab/>
        </w:r>
        <w:r w:rsidRPr="00061A3B">
          <w:rPr>
            <w:rStyle w:val="Hyperlink"/>
          </w:rPr>
          <w:t>Type 2 diabetes mellitus</w:t>
        </w:r>
      </w:hyperlink>
    </w:p>
    <w:p w14:paraId="0B68056B" w14:textId="77777777" w:rsidR="00182A9B" w:rsidRDefault="00182A9B">
      <w:pPr>
        <w:pStyle w:val="TOC8"/>
        <w:rPr>
          <w:rFonts w:asciiTheme="minorHAnsi" w:eastAsiaTheme="minorEastAsia" w:hAnsiTheme="minorHAnsi"/>
          <w:spacing w:val="0"/>
          <w:sz w:val="22"/>
          <w:szCs w:val="22"/>
          <w:lang w:val="en-ZA" w:eastAsia="en-ZA"/>
        </w:rPr>
      </w:pPr>
      <w:hyperlink w:anchor="_Toc56695562" w:history="1">
        <w:r w:rsidRPr="00061A3B">
          <w:rPr>
            <w:rStyle w:val="Hyperlink"/>
          </w:rPr>
          <w:t>9.2.1</w:t>
        </w:r>
        <w:r>
          <w:rPr>
            <w:rFonts w:asciiTheme="minorHAnsi" w:eastAsiaTheme="minorEastAsia" w:hAnsiTheme="minorHAnsi"/>
            <w:spacing w:val="0"/>
            <w:sz w:val="22"/>
            <w:szCs w:val="22"/>
            <w:lang w:val="en-ZA" w:eastAsia="en-ZA"/>
          </w:rPr>
          <w:tab/>
        </w:r>
        <w:r w:rsidRPr="00061A3B">
          <w:rPr>
            <w:rStyle w:val="Hyperlink"/>
          </w:rPr>
          <w:t>Type 2 diabetes mellitus, in adolescents</w:t>
        </w:r>
      </w:hyperlink>
    </w:p>
    <w:p w14:paraId="30A4948B" w14:textId="77777777" w:rsidR="00182A9B" w:rsidRDefault="00182A9B">
      <w:pPr>
        <w:pStyle w:val="TOC8"/>
        <w:rPr>
          <w:rFonts w:asciiTheme="minorHAnsi" w:eastAsiaTheme="minorEastAsia" w:hAnsiTheme="minorHAnsi"/>
          <w:spacing w:val="0"/>
          <w:sz w:val="22"/>
          <w:szCs w:val="22"/>
          <w:lang w:val="en-ZA" w:eastAsia="en-ZA"/>
        </w:rPr>
      </w:pPr>
      <w:hyperlink w:anchor="_Toc56695563" w:history="1">
        <w:r w:rsidRPr="00061A3B">
          <w:rPr>
            <w:rStyle w:val="Hyperlink"/>
          </w:rPr>
          <w:t>9.2.2</w:t>
        </w:r>
        <w:r>
          <w:rPr>
            <w:rFonts w:asciiTheme="minorHAnsi" w:eastAsiaTheme="minorEastAsia" w:hAnsiTheme="minorHAnsi"/>
            <w:spacing w:val="0"/>
            <w:sz w:val="22"/>
            <w:szCs w:val="22"/>
            <w:lang w:val="en-ZA" w:eastAsia="en-ZA"/>
          </w:rPr>
          <w:tab/>
        </w:r>
        <w:r w:rsidRPr="00061A3B">
          <w:rPr>
            <w:rStyle w:val="Hyperlink"/>
          </w:rPr>
          <w:t>Type 2 diabetes mellitus, adults</w:t>
        </w:r>
      </w:hyperlink>
    </w:p>
    <w:p w14:paraId="34E35497" w14:textId="77777777" w:rsidR="00182A9B" w:rsidRDefault="00182A9B">
      <w:pPr>
        <w:pStyle w:val="TOC7"/>
        <w:rPr>
          <w:rFonts w:asciiTheme="minorHAnsi" w:eastAsiaTheme="minorEastAsia" w:hAnsiTheme="minorHAnsi"/>
          <w:spacing w:val="0"/>
          <w:sz w:val="22"/>
          <w:szCs w:val="22"/>
          <w:lang w:val="en-ZA" w:eastAsia="en-ZA"/>
        </w:rPr>
      </w:pPr>
      <w:hyperlink w:anchor="_Toc56695564" w:history="1">
        <w:r w:rsidRPr="00061A3B">
          <w:rPr>
            <w:rStyle w:val="Hyperlink"/>
          </w:rPr>
          <w:t>9.3</w:t>
        </w:r>
        <w:r>
          <w:rPr>
            <w:rFonts w:asciiTheme="minorHAnsi" w:eastAsiaTheme="minorEastAsia" w:hAnsiTheme="minorHAnsi"/>
            <w:spacing w:val="0"/>
            <w:sz w:val="22"/>
            <w:szCs w:val="22"/>
            <w:lang w:val="en-ZA" w:eastAsia="en-ZA"/>
          </w:rPr>
          <w:tab/>
        </w:r>
        <w:r w:rsidRPr="00061A3B">
          <w:rPr>
            <w:rStyle w:val="Hyperlink"/>
          </w:rPr>
          <w:t>Diabetic emergencies</w:t>
        </w:r>
      </w:hyperlink>
    </w:p>
    <w:p w14:paraId="1030F242" w14:textId="77777777" w:rsidR="00182A9B" w:rsidRDefault="00182A9B">
      <w:pPr>
        <w:pStyle w:val="TOC8"/>
        <w:rPr>
          <w:rFonts w:asciiTheme="minorHAnsi" w:eastAsiaTheme="minorEastAsia" w:hAnsiTheme="minorHAnsi"/>
          <w:spacing w:val="0"/>
          <w:sz w:val="22"/>
          <w:szCs w:val="22"/>
          <w:lang w:val="en-ZA" w:eastAsia="en-ZA"/>
        </w:rPr>
      </w:pPr>
      <w:hyperlink w:anchor="_Toc56695565" w:history="1">
        <w:r w:rsidRPr="00061A3B">
          <w:rPr>
            <w:rStyle w:val="Hyperlink"/>
          </w:rPr>
          <w:t>9.3.1</w:t>
        </w:r>
        <w:r>
          <w:rPr>
            <w:rFonts w:asciiTheme="minorHAnsi" w:eastAsiaTheme="minorEastAsia" w:hAnsiTheme="minorHAnsi"/>
            <w:spacing w:val="0"/>
            <w:sz w:val="22"/>
            <w:szCs w:val="22"/>
            <w:lang w:val="en-ZA" w:eastAsia="en-ZA"/>
          </w:rPr>
          <w:tab/>
        </w:r>
        <w:r w:rsidRPr="00061A3B">
          <w:rPr>
            <w:rStyle w:val="Hyperlink"/>
          </w:rPr>
          <w:t>Hypoglycaemia in diabetics</w:t>
        </w:r>
      </w:hyperlink>
    </w:p>
    <w:p w14:paraId="40CA99CE" w14:textId="77777777" w:rsidR="00182A9B" w:rsidRDefault="00182A9B">
      <w:pPr>
        <w:pStyle w:val="TOC8"/>
        <w:rPr>
          <w:rFonts w:asciiTheme="minorHAnsi" w:eastAsiaTheme="minorEastAsia" w:hAnsiTheme="minorHAnsi"/>
          <w:spacing w:val="0"/>
          <w:sz w:val="22"/>
          <w:szCs w:val="22"/>
          <w:lang w:val="en-ZA" w:eastAsia="en-ZA"/>
        </w:rPr>
      </w:pPr>
      <w:hyperlink w:anchor="_Toc56695566" w:history="1">
        <w:r w:rsidRPr="00061A3B">
          <w:rPr>
            <w:rStyle w:val="Hyperlink"/>
          </w:rPr>
          <w:t>9.3.2</w:t>
        </w:r>
        <w:r>
          <w:rPr>
            <w:rFonts w:asciiTheme="minorHAnsi" w:eastAsiaTheme="minorEastAsia" w:hAnsiTheme="minorHAnsi"/>
            <w:spacing w:val="0"/>
            <w:sz w:val="22"/>
            <w:szCs w:val="22"/>
            <w:lang w:val="en-ZA" w:eastAsia="en-ZA"/>
          </w:rPr>
          <w:tab/>
        </w:r>
        <w:r w:rsidRPr="00061A3B">
          <w:rPr>
            <w:rStyle w:val="Hyperlink"/>
          </w:rPr>
          <w:t>Severe hyperglycaemia (diabetic ketoacidosis (DKA) &amp; hyperosmolar hyperglycaemic state (HHS)</w:t>
        </w:r>
      </w:hyperlink>
    </w:p>
    <w:p w14:paraId="377B46C8" w14:textId="77777777" w:rsidR="00182A9B" w:rsidRDefault="00182A9B">
      <w:pPr>
        <w:pStyle w:val="TOC7"/>
        <w:rPr>
          <w:rFonts w:asciiTheme="minorHAnsi" w:eastAsiaTheme="minorEastAsia" w:hAnsiTheme="minorHAnsi"/>
          <w:spacing w:val="0"/>
          <w:sz w:val="22"/>
          <w:szCs w:val="22"/>
          <w:lang w:val="en-ZA" w:eastAsia="en-ZA"/>
        </w:rPr>
      </w:pPr>
      <w:hyperlink w:anchor="_Toc56695567" w:history="1">
        <w:r w:rsidRPr="00061A3B">
          <w:rPr>
            <w:rStyle w:val="Hyperlink"/>
          </w:rPr>
          <w:t>9.4</w:t>
        </w:r>
        <w:r>
          <w:rPr>
            <w:rFonts w:asciiTheme="minorHAnsi" w:eastAsiaTheme="minorEastAsia" w:hAnsiTheme="minorHAnsi"/>
            <w:spacing w:val="0"/>
            <w:sz w:val="22"/>
            <w:szCs w:val="22"/>
            <w:lang w:val="en-ZA" w:eastAsia="en-ZA"/>
          </w:rPr>
          <w:tab/>
        </w:r>
        <w:r w:rsidRPr="00061A3B">
          <w:rPr>
            <w:rStyle w:val="Hyperlink"/>
          </w:rPr>
          <w:t>Microvascular complications of diabetes</w:t>
        </w:r>
      </w:hyperlink>
    </w:p>
    <w:p w14:paraId="0F57436C" w14:textId="77777777" w:rsidR="00182A9B" w:rsidRDefault="00182A9B">
      <w:pPr>
        <w:pStyle w:val="TOC8"/>
        <w:rPr>
          <w:rFonts w:asciiTheme="minorHAnsi" w:eastAsiaTheme="minorEastAsia" w:hAnsiTheme="minorHAnsi"/>
          <w:spacing w:val="0"/>
          <w:sz w:val="22"/>
          <w:szCs w:val="22"/>
          <w:lang w:val="en-ZA" w:eastAsia="en-ZA"/>
        </w:rPr>
      </w:pPr>
      <w:hyperlink w:anchor="_Toc56695568" w:history="1">
        <w:r w:rsidRPr="00061A3B">
          <w:rPr>
            <w:rStyle w:val="Hyperlink"/>
          </w:rPr>
          <w:t>9.4.1</w:t>
        </w:r>
        <w:r>
          <w:rPr>
            <w:rFonts w:asciiTheme="minorHAnsi" w:eastAsiaTheme="minorEastAsia" w:hAnsiTheme="minorHAnsi"/>
            <w:spacing w:val="0"/>
            <w:sz w:val="22"/>
            <w:szCs w:val="22"/>
            <w:lang w:val="en-ZA" w:eastAsia="en-ZA"/>
          </w:rPr>
          <w:tab/>
        </w:r>
        <w:r w:rsidRPr="00061A3B">
          <w:rPr>
            <w:rStyle w:val="Hyperlink"/>
          </w:rPr>
          <w:t>Diabetic neuropathy</w:t>
        </w:r>
      </w:hyperlink>
    </w:p>
    <w:p w14:paraId="21C234C4" w14:textId="77777777" w:rsidR="00182A9B" w:rsidRDefault="00182A9B">
      <w:pPr>
        <w:pStyle w:val="TOC8"/>
        <w:rPr>
          <w:rFonts w:asciiTheme="minorHAnsi" w:eastAsiaTheme="minorEastAsia" w:hAnsiTheme="minorHAnsi"/>
          <w:spacing w:val="0"/>
          <w:sz w:val="22"/>
          <w:szCs w:val="22"/>
          <w:lang w:val="en-ZA" w:eastAsia="en-ZA"/>
        </w:rPr>
      </w:pPr>
      <w:hyperlink w:anchor="_Toc56695569" w:history="1">
        <w:r w:rsidRPr="00061A3B">
          <w:rPr>
            <w:rStyle w:val="Hyperlink"/>
          </w:rPr>
          <w:t>9.4.2</w:t>
        </w:r>
        <w:r>
          <w:rPr>
            <w:rFonts w:asciiTheme="minorHAnsi" w:eastAsiaTheme="minorEastAsia" w:hAnsiTheme="minorHAnsi"/>
            <w:spacing w:val="0"/>
            <w:sz w:val="22"/>
            <w:szCs w:val="22"/>
            <w:lang w:val="en-ZA" w:eastAsia="en-ZA"/>
          </w:rPr>
          <w:tab/>
        </w:r>
        <w:r w:rsidRPr="00061A3B">
          <w:rPr>
            <w:rStyle w:val="Hyperlink"/>
          </w:rPr>
          <w:t>Diabetic foot ulcers</w:t>
        </w:r>
      </w:hyperlink>
    </w:p>
    <w:p w14:paraId="326F1553" w14:textId="77777777" w:rsidR="00182A9B" w:rsidRDefault="00182A9B">
      <w:pPr>
        <w:pStyle w:val="TOC8"/>
        <w:rPr>
          <w:rFonts w:asciiTheme="minorHAnsi" w:eastAsiaTheme="minorEastAsia" w:hAnsiTheme="minorHAnsi"/>
          <w:spacing w:val="0"/>
          <w:sz w:val="22"/>
          <w:szCs w:val="22"/>
          <w:lang w:val="en-ZA" w:eastAsia="en-ZA"/>
        </w:rPr>
      </w:pPr>
      <w:hyperlink w:anchor="_Toc56695570" w:history="1">
        <w:r w:rsidRPr="00061A3B">
          <w:rPr>
            <w:rStyle w:val="Hyperlink"/>
          </w:rPr>
          <w:t>9.4.3</w:t>
        </w:r>
        <w:r>
          <w:rPr>
            <w:rFonts w:asciiTheme="minorHAnsi" w:eastAsiaTheme="minorEastAsia" w:hAnsiTheme="minorHAnsi"/>
            <w:spacing w:val="0"/>
            <w:sz w:val="22"/>
            <w:szCs w:val="22"/>
            <w:lang w:val="en-ZA" w:eastAsia="en-ZA"/>
          </w:rPr>
          <w:tab/>
        </w:r>
        <w:r w:rsidRPr="00061A3B">
          <w:rPr>
            <w:rStyle w:val="Hyperlink"/>
          </w:rPr>
          <w:t>Diabetic nephropathy</w:t>
        </w:r>
      </w:hyperlink>
    </w:p>
    <w:p w14:paraId="6A91EDFC" w14:textId="77777777" w:rsidR="00182A9B" w:rsidRDefault="00182A9B">
      <w:pPr>
        <w:pStyle w:val="TOC7"/>
        <w:rPr>
          <w:rFonts w:asciiTheme="minorHAnsi" w:eastAsiaTheme="minorEastAsia" w:hAnsiTheme="minorHAnsi"/>
          <w:spacing w:val="0"/>
          <w:sz w:val="22"/>
          <w:szCs w:val="22"/>
          <w:lang w:val="en-ZA" w:eastAsia="en-ZA"/>
        </w:rPr>
      </w:pPr>
      <w:hyperlink w:anchor="_Toc56695571" w:history="1">
        <w:r w:rsidRPr="00061A3B">
          <w:rPr>
            <w:rStyle w:val="Hyperlink"/>
          </w:rPr>
          <w:t>9.5</w:t>
        </w:r>
        <w:r>
          <w:rPr>
            <w:rFonts w:asciiTheme="minorHAnsi" w:eastAsiaTheme="minorEastAsia" w:hAnsiTheme="minorHAnsi"/>
            <w:spacing w:val="0"/>
            <w:sz w:val="22"/>
            <w:szCs w:val="22"/>
            <w:lang w:val="en-ZA" w:eastAsia="en-ZA"/>
          </w:rPr>
          <w:tab/>
        </w:r>
        <w:r w:rsidRPr="00061A3B">
          <w:rPr>
            <w:rStyle w:val="Hyperlink"/>
          </w:rPr>
          <w:t>Cardiovascular risk in diabetes</w:t>
        </w:r>
      </w:hyperlink>
    </w:p>
    <w:p w14:paraId="7B63DEC5" w14:textId="77777777" w:rsidR="00182A9B" w:rsidRDefault="00182A9B">
      <w:pPr>
        <w:pStyle w:val="TOC8"/>
        <w:rPr>
          <w:rFonts w:asciiTheme="minorHAnsi" w:eastAsiaTheme="minorEastAsia" w:hAnsiTheme="minorHAnsi"/>
          <w:spacing w:val="0"/>
          <w:sz w:val="22"/>
          <w:szCs w:val="22"/>
          <w:lang w:val="en-ZA" w:eastAsia="en-ZA"/>
        </w:rPr>
      </w:pPr>
      <w:hyperlink w:anchor="_Toc56695572" w:history="1">
        <w:r w:rsidRPr="00061A3B">
          <w:rPr>
            <w:rStyle w:val="Hyperlink"/>
          </w:rPr>
          <w:t>9.5.1</w:t>
        </w:r>
        <w:r>
          <w:rPr>
            <w:rFonts w:asciiTheme="minorHAnsi" w:eastAsiaTheme="minorEastAsia" w:hAnsiTheme="minorHAnsi"/>
            <w:spacing w:val="0"/>
            <w:sz w:val="22"/>
            <w:szCs w:val="22"/>
            <w:lang w:val="en-ZA" w:eastAsia="en-ZA"/>
          </w:rPr>
          <w:tab/>
        </w:r>
        <w:r w:rsidRPr="00061A3B">
          <w:rPr>
            <w:rStyle w:val="Hyperlink"/>
          </w:rPr>
          <w:t>Obesity in diabetes</w:t>
        </w:r>
      </w:hyperlink>
    </w:p>
    <w:p w14:paraId="41661FEE" w14:textId="77777777" w:rsidR="00182A9B" w:rsidRDefault="00182A9B">
      <w:pPr>
        <w:pStyle w:val="TOC8"/>
        <w:rPr>
          <w:rFonts w:asciiTheme="minorHAnsi" w:eastAsiaTheme="minorEastAsia" w:hAnsiTheme="minorHAnsi"/>
          <w:spacing w:val="0"/>
          <w:sz w:val="22"/>
          <w:szCs w:val="22"/>
          <w:lang w:val="en-ZA" w:eastAsia="en-ZA"/>
        </w:rPr>
      </w:pPr>
      <w:hyperlink w:anchor="_Toc56695573" w:history="1">
        <w:r w:rsidRPr="00061A3B">
          <w:rPr>
            <w:rStyle w:val="Hyperlink"/>
          </w:rPr>
          <w:t>9.5.2</w:t>
        </w:r>
        <w:r>
          <w:rPr>
            <w:rFonts w:asciiTheme="minorHAnsi" w:eastAsiaTheme="minorEastAsia" w:hAnsiTheme="minorHAnsi"/>
            <w:spacing w:val="0"/>
            <w:sz w:val="22"/>
            <w:szCs w:val="22"/>
            <w:lang w:val="en-ZA" w:eastAsia="en-ZA"/>
          </w:rPr>
          <w:tab/>
        </w:r>
        <w:r w:rsidRPr="00061A3B">
          <w:rPr>
            <w:rStyle w:val="Hyperlink"/>
          </w:rPr>
          <w:t>Dyslipidaemia in diabetes</w:t>
        </w:r>
      </w:hyperlink>
    </w:p>
    <w:p w14:paraId="05E3CAC0" w14:textId="77777777" w:rsidR="00182A9B" w:rsidRDefault="00182A9B">
      <w:pPr>
        <w:pStyle w:val="TOC8"/>
        <w:rPr>
          <w:rFonts w:asciiTheme="minorHAnsi" w:eastAsiaTheme="minorEastAsia" w:hAnsiTheme="minorHAnsi"/>
          <w:spacing w:val="0"/>
          <w:sz w:val="22"/>
          <w:szCs w:val="22"/>
          <w:lang w:val="en-ZA" w:eastAsia="en-ZA"/>
        </w:rPr>
      </w:pPr>
      <w:hyperlink w:anchor="_Toc56695574" w:history="1">
        <w:r w:rsidRPr="00061A3B">
          <w:rPr>
            <w:rStyle w:val="Hyperlink"/>
          </w:rPr>
          <w:t>9.5.3</w:t>
        </w:r>
        <w:r>
          <w:rPr>
            <w:rFonts w:asciiTheme="minorHAnsi" w:eastAsiaTheme="minorEastAsia" w:hAnsiTheme="minorHAnsi"/>
            <w:spacing w:val="0"/>
            <w:sz w:val="22"/>
            <w:szCs w:val="22"/>
            <w:lang w:val="en-ZA" w:eastAsia="en-ZA"/>
          </w:rPr>
          <w:tab/>
        </w:r>
        <w:r w:rsidRPr="00061A3B">
          <w:rPr>
            <w:rStyle w:val="Hyperlink"/>
          </w:rPr>
          <w:t>Hypertension in diabetes</w:t>
        </w:r>
      </w:hyperlink>
    </w:p>
    <w:p w14:paraId="0EE5E0B3" w14:textId="77777777" w:rsidR="00182A9B" w:rsidRDefault="00182A9B">
      <w:pPr>
        <w:pStyle w:val="TOC7"/>
        <w:rPr>
          <w:rFonts w:asciiTheme="minorHAnsi" w:eastAsiaTheme="minorEastAsia" w:hAnsiTheme="minorHAnsi"/>
          <w:spacing w:val="0"/>
          <w:sz w:val="22"/>
          <w:szCs w:val="22"/>
          <w:lang w:val="en-ZA" w:eastAsia="en-ZA"/>
        </w:rPr>
      </w:pPr>
      <w:hyperlink w:anchor="_Toc56695575" w:history="1">
        <w:r w:rsidRPr="00061A3B">
          <w:rPr>
            <w:rStyle w:val="Hyperlink"/>
          </w:rPr>
          <w:t>9.6</w:t>
        </w:r>
        <w:r>
          <w:rPr>
            <w:rFonts w:asciiTheme="minorHAnsi" w:eastAsiaTheme="minorEastAsia" w:hAnsiTheme="minorHAnsi"/>
            <w:spacing w:val="0"/>
            <w:sz w:val="22"/>
            <w:szCs w:val="22"/>
            <w:lang w:val="en-ZA" w:eastAsia="en-ZA"/>
          </w:rPr>
          <w:tab/>
        </w:r>
        <w:r w:rsidRPr="00061A3B">
          <w:rPr>
            <w:rStyle w:val="Hyperlink"/>
          </w:rPr>
          <w:t>Hypothyroidism</w:t>
        </w:r>
      </w:hyperlink>
    </w:p>
    <w:p w14:paraId="23E9E84E" w14:textId="77777777" w:rsidR="00182A9B" w:rsidRDefault="00182A9B">
      <w:pPr>
        <w:pStyle w:val="TOC8"/>
        <w:rPr>
          <w:rFonts w:asciiTheme="minorHAnsi" w:eastAsiaTheme="minorEastAsia" w:hAnsiTheme="minorHAnsi"/>
          <w:spacing w:val="0"/>
          <w:sz w:val="22"/>
          <w:szCs w:val="22"/>
          <w:lang w:val="en-ZA" w:eastAsia="en-ZA"/>
        </w:rPr>
      </w:pPr>
      <w:hyperlink w:anchor="_Toc56695576" w:history="1">
        <w:r w:rsidRPr="00061A3B">
          <w:rPr>
            <w:rStyle w:val="Hyperlink"/>
          </w:rPr>
          <w:t>9.6.1</w:t>
        </w:r>
        <w:r>
          <w:rPr>
            <w:rFonts w:asciiTheme="minorHAnsi" w:eastAsiaTheme="minorEastAsia" w:hAnsiTheme="minorHAnsi"/>
            <w:spacing w:val="0"/>
            <w:sz w:val="22"/>
            <w:szCs w:val="22"/>
            <w:lang w:val="en-ZA" w:eastAsia="en-ZA"/>
          </w:rPr>
          <w:tab/>
        </w:r>
        <w:r w:rsidRPr="00061A3B">
          <w:rPr>
            <w:rStyle w:val="Hyperlink"/>
          </w:rPr>
          <w:t>Hypothyroidism in neonates</w:t>
        </w:r>
      </w:hyperlink>
    </w:p>
    <w:p w14:paraId="5F81B16E" w14:textId="77777777" w:rsidR="00182A9B" w:rsidRDefault="00182A9B">
      <w:pPr>
        <w:pStyle w:val="TOC8"/>
        <w:rPr>
          <w:rFonts w:asciiTheme="minorHAnsi" w:eastAsiaTheme="minorEastAsia" w:hAnsiTheme="minorHAnsi"/>
          <w:spacing w:val="0"/>
          <w:sz w:val="22"/>
          <w:szCs w:val="22"/>
          <w:lang w:val="en-ZA" w:eastAsia="en-ZA"/>
        </w:rPr>
      </w:pPr>
      <w:hyperlink w:anchor="_Toc56695577" w:history="1">
        <w:r w:rsidRPr="00061A3B">
          <w:rPr>
            <w:rStyle w:val="Hyperlink"/>
          </w:rPr>
          <w:t>9.6.2</w:t>
        </w:r>
        <w:r>
          <w:rPr>
            <w:rFonts w:asciiTheme="minorHAnsi" w:eastAsiaTheme="minorEastAsia" w:hAnsiTheme="minorHAnsi"/>
            <w:spacing w:val="0"/>
            <w:sz w:val="22"/>
            <w:szCs w:val="22"/>
            <w:lang w:val="en-ZA" w:eastAsia="en-ZA"/>
          </w:rPr>
          <w:tab/>
        </w:r>
        <w:r w:rsidRPr="00061A3B">
          <w:rPr>
            <w:rStyle w:val="Hyperlink"/>
          </w:rPr>
          <w:t>Hypothyroidism in children and adolescents</w:t>
        </w:r>
      </w:hyperlink>
    </w:p>
    <w:p w14:paraId="0D80B28A" w14:textId="77777777" w:rsidR="00182A9B" w:rsidRDefault="00182A9B">
      <w:pPr>
        <w:pStyle w:val="TOC8"/>
        <w:rPr>
          <w:rFonts w:asciiTheme="minorHAnsi" w:eastAsiaTheme="minorEastAsia" w:hAnsiTheme="minorHAnsi"/>
          <w:spacing w:val="0"/>
          <w:sz w:val="22"/>
          <w:szCs w:val="22"/>
          <w:lang w:val="en-ZA" w:eastAsia="en-ZA"/>
        </w:rPr>
      </w:pPr>
      <w:hyperlink w:anchor="_Toc56695578" w:history="1">
        <w:r w:rsidRPr="00061A3B">
          <w:rPr>
            <w:rStyle w:val="Hyperlink"/>
          </w:rPr>
          <w:t>9.6.3</w:t>
        </w:r>
        <w:r>
          <w:rPr>
            <w:rFonts w:asciiTheme="minorHAnsi" w:eastAsiaTheme="minorEastAsia" w:hAnsiTheme="minorHAnsi"/>
            <w:spacing w:val="0"/>
            <w:sz w:val="22"/>
            <w:szCs w:val="22"/>
            <w:lang w:val="en-ZA" w:eastAsia="en-ZA"/>
          </w:rPr>
          <w:tab/>
        </w:r>
        <w:r w:rsidRPr="00061A3B">
          <w:rPr>
            <w:rStyle w:val="Hyperlink"/>
          </w:rPr>
          <w:t>Hypothyroidism in adults</w:t>
        </w:r>
      </w:hyperlink>
    </w:p>
    <w:p w14:paraId="1D4E08FD" w14:textId="77777777" w:rsidR="00182A9B" w:rsidRDefault="00182A9B">
      <w:pPr>
        <w:pStyle w:val="TOC7"/>
        <w:rPr>
          <w:rFonts w:asciiTheme="minorHAnsi" w:eastAsiaTheme="minorEastAsia" w:hAnsiTheme="minorHAnsi"/>
          <w:spacing w:val="0"/>
          <w:sz w:val="22"/>
          <w:szCs w:val="22"/>
          <w:lang w:val="en-ZA" w:eastAsia="en-ZA"/>
        </w:rPr>
      </w:pPr>
      <w:hyperlink w:anchor="_Toc56695579" w:history="1">
        <w:r w:rsidRPr="00061A3B">
          <w:rPr>
            <w:rStyle w:val="Hyperlink"/>
          </w:rPr>
          <w:t>9.7</w:t>
        </w:r>
        <w:r>
          <w:rPr>
            <w:rFonts w:asciiTheme="minorHAnsi" w:eastAsiaTheme="minorEastAsia" w:hAnsiTheme="minorHAnsi"/>
            <w:spacing w:val="0"/>
            <w:sz w:val="22"/>
            <w:szCs w:val="22"/>
            <w:lang w:val="en-ZA" w:eastAsia="en-ZA"/>
          </w:rPr>
          <w:tab/>
        </w:r>
        <w:r w:rsidRPr="00061A3B">
          <w:rPr>
            <w:rStyle w:val="Hyperlink"/>
          </w:rPr>
          <w:t>Hyperthyroidism</w:t>
        </w:r>
      </w:hyperlink>
    </w:p>
    <w:p w14:paraId="55BB95DE" w14:textId="77777777" w:rsidR="00182A9B" w:rsidRDefault="00182A9B">
      <w:pPr>
        <w:pStyle w:val="TOC8"/>
        <w:rPr>
          <w:rFonts w:asciiTheme="minorHAnsi" w:eastAsiaTheme="minorEastAsia" w:hAnsiTheme="minorHAnsi"/>
          <w:spacing w:val="0"/>
          <w:sz w:val="22"/>
          <w:szCs w:val="22"/>
          <w:lang w:val="en-ZA" w:eastAsia="en-ZA"/>
        </w:rPr>
      </w:pPr>
      <w:hyperlink w:anchor="_Toc56695580" w:history="1">
        <w:r w:rsidRPr="00061A3B">
          <w:rPr>
            <w:rStyle w:val="Hyperlink"/>
          </w:rPr>
          <w:t>9.7.1</w:t>
        </w:r>
        <w:r>
          <w:rPr>
            <w:rFonts w:asciiTheme="minorHAnsi" w:eastAsiaTheme="minorEastAsia" w:hAnsiTheme="minorHAnsi"/>
            <w:spacing w:val="0"/>
            <w:sz w:val="22"/>
            <w:szCs w:val="22"/>
            <w:lang w:val="en-ZA" w:eastAsia="en-ZA"/>
          </w:rPr>
          <w:tab/>
        </w:r>
        <w:r w:rsidRPr="00061A3B">
          <w:rPr>
            <w:rStyle w:val="Hyperlink"/>
          </w:rPr>
          <w:t>Hyperthyroidism in children and adolescents</w:t>
        </w:r>
      </w:hyperlink>
    </w:p>
    <w:p w14:paraId="18715C30" w14:textId="77777777" w:rsidR="00182A9B" w:rsidRDefault="00182A9B">
      <w:pPr>
        <w:pStyle w:val="TOC8"/>
        <w:rPr>
          <w:rFonts w:asciiTheme="minorHAnsi" w:eastAsiaTheme="minorEastAsia" w:hAnsiTheme="minorHAnsi"/>
          <w:spacing w:val="0"/>
          <w:sz w:val="22"/>
          <w:szCs w:val="22"/>
          <w:lang w:val="en-ZA" w:eastAsia="en-ZA"/>
        </w:rPr>
      </w:pPr>
      <w:hyperlink w:anchor="_Toc56695581" w:history="1">
        <w:r w:rsidRPr="00061A3B">
          <w:rPr>
            <w:rStyle w:val="Hyperlink"/>
          </w:rPr>
          <w:t>9.7.2</w:t>
        </w:r>
        <w:r>
          <w:rPr>
            <w:rFonts w:asciiTheme="minorHAnsi" w:eastAsiaTheme="minorEastAsia" w:hAnsiTheme="minorHAnsi"/>
            <w:spacing w:val="0"/>
            <w:sz w:val="22"/>
            <w:szCs w:val="22"/>
            <w:lang w:val="en-ZA" w:eastAsia="en-ZA"/>
          </w:rPr>
          <w:tab/>
        </w:r>
        <w:r w:rsidRPr="00061A3B">
          <w:rPr>
            <w:rStyle w:val="Hyperlink"/>
          </w:rPr>
          <w:t>Hyperthyroidism in adults</w:t>
        </w:r>
      </w:hyperlink>
    </w:p>
    <w:p w14:paraId="17953E38" w14:textId="72F8EAAF" w:rsidR="00D14DAC" w:rsidRDefault="001C7571" w:rsidP="00CE5E2F">
      <w:pPr>
        <w:pStyle w:val="NoSpacing"/>
        <w:rPr>
          <w:noProof/>
        </w:rPr>
      </w:pPr>
      <w:r>
        <w:rPr>
          <w:noProof/>
        </w:rPr>
        <w:fldChar w:fldCharType="end"/>
      </w:r>
      <w:r w:rsidR="00D14DAC">
        <w:rPr>
          <w:noProof/>
        </w:rPr>
        <w:br w:type="page"/>
      </w:r>
    </w:p>
    <w:p w14:paraId="447D492D" w14:textId="7165FADD" w:rsidR="00FC0494" w:rsidRPr="008056BF" w:rsidRDefault="008056BF" w:rsidP="008056BF">
      <w:pPr>
        <w:pStyle w:val="Heading2"/>
      </w:pPr>
      <w:bookmarkStart w:id="0" w:name="_Toc56695558"/>
      <w:bookmarkStart w:id="1" w:name="_Toc50580094"/>
      <w:bookmarkStart w:id="2" w:name="Chapter9"/>
      <w:r w:rsidRPr="008056BF">
        <w:lastRenderedPageBreak/>
        <w:t>Type 1</w:t>
      </w:r>
      <w:r w:rsidR="00FC0494" w:rsidRPr="008056BF">
        <w:t xml:space="preserve"> </w:t>
      </w:r>
      <w:r w:rsidRPr="008056BF">
        <w:t>diabetes mellitus</w:t>
      </w:r>
      <w:bookmarkEnd w:id="0"/>
      <w:r w:rsidR="001D0DFE">
        <w:fldChar w:fldCharType="begin"/>
      </w:r>
      <w:r w:rsidR="001D0DFE">
        <w:instrText xml:space="preserve"> XE "</w:instrText>
      </w:r>
      <w:r w:rsidR="001D0DFE" w:rsidRPr="00ED0C31">
        <w:instrText>Type 1 diabetes mellitus</w:instrText>
      </w:r>
      <w:r w:rsidR="001D0DFE">
        <w:instrText xml:space="preserve">" </w:instrText>
      </w:r>
      <w:r w:rsidR="001D0DFE" w:rsidRPr="001D0DFE">
        <w:instrText>\f “c”</w:instrText>
      </w:r>
      <w:r w:rsidR="001D0DFE">
        <w:fldChar w:fldCharType="end"/>
      </w:r>
    </w:p>
    <w:p w14:paraId="14A3FC05" w14:textId="77777777" w:rsidR="00FC0494" w:rsidRPr="000B75E4" w:rsidRDefault="00FC0494" w:rsidP="00375534">
      <w:pPr>
        <w:pStyle w:val="Heading5"/>
      </w:pPr>
      <w:r w:rsidRPr="000B75E4">
        <w:t>DESCRIPTION</w:t>
      </w:r>
    </w:p>
    <w:p w14:paraId="72080702" w14:textId="77777777" w:rsidR="00FC0494" w:rsidRPr="000B75E4" w:rsidRDefault="00FC0494" w:rsidP="00FC0494">
      <w:pPr>
        <w:pStyle w:val="NoSpacing"/>
      </w:pPr>
      <w:r w:rsidRPr="000B75E4">
        <w:t>Type 1 diabetes mellitus, previously known as juvenile onset diabetes mellitus and as insulin-dependent diabetes mellitus (IDDM), occurs because of a lack of insulin. The result is an increase in blood glucose concentration.</w:t>
      </w:r>
    </w:p>
    <w:p w14:paraId="13DFF894" w14:textId="77777777" w:rsidR="00FC0494" w:rsidRPr="000B75E4" w:rsidRDefault="00FC0494" w:rsidP="00375534">
      <w:pPr>
        <w:pStyle w:val="Heading5"/>
      </w:pPr>
      <w:r w:rsidRPr="000B75E4">
        <w:t>CLINICAL PRESENTATION</w:t>
      </w:r>
    </w:p>
    <w:tbl>
      <w:tblPr>
        <w:tblW w:w="5000" w:type="pct"/>
        <w:tblLook w:val="0000" w:firstRow="0" w:lastRow="0" w:firstColumn="0" w:lastColumn="0" w:noHBand="0" w:noVBand="0"/>
      </w:tblPr>
      <w:tblGrid>
        <w:gridCol w:w="3229"/>
        <w:gridCol w:w="3460"/>
      </w:tblGrid>
      <w:tr w:rsidR="00FC0494" w:rsidRPr="000B75E4" w14:paraId="02A99D02" w14:textId="77777777" w:rsidTr="007B5A6A">
        <w:tc>
          <w:tcPr>
            <w:tcW w:w="2414" w:type="pct"/>
          </w:tcPr>
          <w:p w14:paraId="124FF4D3" w14:textId="77777777" w:rsidR="00FC0494" w:rsidRPr="000B75E4" w:rsidRDefault="00FC0494" w:rsidP="00375534">
            <w:pPr>
              <w:pStyle w:val="ListParagraph"/>
            </w:pPr>
            <w:r w:rsidRPr="000B75E4">
              <w:t>hunger</w:t>
            </w:r>
          </w:p>
        </w:tc>
        <w:tc>
          <w:tcPr>
            <w:tcW w:w="2586" w:type="pct"/>
          </w:tcPr>
          <w:p w14:paraId="206FF8D4" w14:textId="77777777" w:rsidR="00FC0494" w:rsidRPr="000B75E4" w:rsidRDefault="00FC0494" w:rsidP="00375534">
            <w:pPr>
              <w:pStyle w:val="ListParagraph"/>
            </w:pPr>
            <w:r w:rsidRPr="000B75E4">
              <w:t>thirst</w:t>
            </w:r>
          </w:p>
        </w:tc>
      </w:tr>
      <w:tr w:rsidR="00FC0494" w:rsidRPr="000B75E4" w14:paraId="0301E6EE" w14:textId="77777777" w:rsidTr="007B5A6A">
        <w:tc>
          <w:tcPr>
            <w:tcW w:w="2414" w:type="pct"/>
          </w:tcPr>
          <w:p w14:paraId="3FF90DD9" w14:textId="77777777" w:rsidR="00FC0494" w:rsidRPr="000B75E4" w:rsidRDefault="00FC0494" w:rsidP="00375534">
            <w:pPr>
              <w:pStyle w:val="ListParagraph"/>
            </w:pPr>
            <w:r w:rsidRPr="000B75E4">
              <w:t>polyuria</w:t>
            </w:r>
          </w:p>
        </w:tc>
        <w:tc>
          <w:tcPr>
            <w:tcW w:w="2586" w:type="pct"/>
          </w:tcPr>
          <w:p w14:paraId="5095198C" w14:textId="77777777" w:rsidR="00FC0494" w:rsidRPr="000B75E4" w:rsidRDefault="00FC0494" w:rsidP="00375534">
            <w:pPr>
              <w:pStyle w:val="ListParagraph"/>
            </w:pPr>
            <w:r w:rsidRPr="000B75E4">
              <w:t>unexplained weight loss</w:t>
            </w:r>
          </w:p>
        </w:tc>
      </w:tr>
      <w:tr w:rsidR="00FC0494" w:rsidRPr="000B75E4" w14:paraId="6C4C23AB" w14:textId="77777777" w:rsidTr="007B5A6A">
        <w:tc>
          <w:tcPr>
            <w:tcW w:w="2414" w:type="pct"/>
          </w:tcPr>
          <w:p w14:paraId="7B04EE7B" w14:textId="77777777" w:rsidR="00FC0494" w:rsidRPr="000B75E4" w:rsidRDefault="00FC0494" w:rsidP="00375534">
            <w:pPr>
              <w:pStyle w:val="ListParagraph"/>
            </w:pPr>
            <w:r w:rsidRPr="000B75E4">
              <w:t>ketoacidosis</w:t>
            </w:r>
          </w:p>
        </w:tc>
        <w:tc>
          <w:tcPr>
            <w:tcW w:w="2586" w:type="pct"/>
          </w:tcPr>
          <w:p w14:paraId="073DE378" w14:textId="77777777" w:rsidR="00FC0494" w:rsidRPr="000B75E4" w:rsidRDefault="00FC0494" w:rsidP="00375534">
            <w:pPr>
              <w:pStyle w:val="ListParagraph"/>
            </w:pPr>
            <w:r w:rsidRPr="000B75E4">
              <w:t>tiredness</w:t>
            </w:r>
          </w:p>
        </w:tc>
      </w:tr>
    </w:tbl>
    <w:p w14:paraId="0E5A7EA9" w14:textId="77777777" w:rsidR="00FC0494" w:rsidRPr="000B75E4" w:rsidRDefault="00FC0494" w:rsidP="00375534">
      <w:pPr>
        <w:pStyle w:val="Heading5"/>
      </w:pPr>
      <w:r w:rsidRPr="000B75E4">
        <w:t>DIAGNOSIS</w:t>
      </w:r>
    </w:p>
    <w:p w14:paraId="40B9C334" w14:textId="77777777" w:rsidR="00FC0494" w:rsidRPr="000B75E4" w:rsidRDefault="00FC0494" w:rsidP="00FC0494">
      <w:pPr>
        <w:pStyle w:val="NoSpacing"/>
      </w:pPr>
      <w:r w:rsidRPr="000B75E4">
        <w:t>Type 1 diabetes mellitus is diagnosed when the classic symptoms of polyuria and polydipsia are associated with hyperglycaemia:</w:t>
      </w:r>
    </w:p>
    <w:p w14:paraId="3182895E" w14:textId="77777777" w:rsidR="00FC0494" w:rsidRPr="000B75E4" w:rsidRDefault="00FC0494" w:rsidP="00375534">
      <w:pPr>
        <w:pStyle w:val="ListParagraph"/>
      </w:pPr>
      <w:r w:rsidRPr="000B75E4">
        <w:t>Random blood glucose ≥ 11.1 mmol/L.</w:t>
      </w:r>
    </w:p>
    <w:p w14:paraId="77DCAF11" w14:textId="77777777" w:rsidR="00FC0494" w:rsidRPr="000B75E4" w:rsidRDefault="00FC0494" w:rsidP="00375534">
      <w:pPr>
        <w:pStyle w:val="ListParagraph"/>
      </w:pPr>
      <w:r w:rsidRPr="000B75E4">
        <w:t>Random is defined as any time of day without regard to time since last meal.</w:t>
      </w:r>
    </w:p>
    <w:p w14:paraId="683509CC" w14:textId="77777777" w:rsidR="00FC0494" w:rsidRPr="00375534" w:rsidRDefault="00FC0494" w:rsidP="00FC0494">
      <w:pPr>
        <w:pStyle w:val="NoSpacing"/>
        <w:rPr>
          <w:rStyle w:val="Strong"/>
        </w:rPr>
      </w:pPr>
      <w:r w:rsidRPr="00375534">
        <w:rPr>
          <w:rStyle w:val="Strong"/>
        </w:rPr>
        <w:t>OR</w:t>
      </w:r>
    </w:p>
    <w:p w14:paraId="55C5C33B" w14:textId="77777777" w:rsidR="00FC0494" w:rsidRPr="000B75E4" w:rsidRDefault="00FC0494" w:rsidP="00375534">
      <w:pPr>
        <w:pStyle w:val="ListParagraph"/>
      </w:pPr>
      <w:r w:rsidRPr="000B75E4">
        <w:t xml:space="preserve">Fasting blood glucose ≥ 7.0 mmol/L. </w:t>
      </w:r>
    </w:p>
    <w:p w14:paraId="1EDF8C65" w14:textId="77777777" w:rsidR="00FC0494" w:rsidRPr="000B75E4" w:rsidRDefault="00FC0494" w:rsidP="00375534">
      <w:pPr>
        <w:pStyle w:val="ListParagraph"/>
      </w:pPr>
      <w:r w:rsidRPr="000B75E4">
        <w:t>Fasting is defined as no caloric intake for ≥ 8 hours.</w:t>
      </w:r>
    </w:p>
    <w:p w14:paraId="0119CFFE" w14:textId="77777777" w:rsidR="00FC0494" w:rsidRPr="00375534" w:rsidRDefault="00FC0494" w:rsidP="00FC0494">
      <w:pPr>
        <w:pStyle w:val="NoSpacing"/>
        <w:rPr>
          <w:rStyle w:val="Strong"/>
        </w:rPr>
      </w:pPr>
      <w:bookmarkStart w:id="3" w:name="_Hlk53388998"/>
      <w:r w:rsidRPr="00375534">
        <w:rPr>
          <w:rStyle w:val="Strong"/>
        </w:rPr>
        <w:t>OR</w:t>
      </w:r>
    </w:p>
    <w:tbl>
      <w:tblPr>
        <w:tblpPr w:leftFromText="180" w:rightFromText="180" w:vertAnchor="text" w:horzAnchor="margin" w:tblpXSpec="right" w:tblpY="8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B91F65" w:rsidRPr="000B75E4" w14:paraId="3FF2074F" w14:textId="77777777" w:rsidTr="00B91F65">
        <w:tc>
          <w:tcPr>
            <w:tcW w:w="1134" w:type="dxa"/>
            <w:shd w:val="clear" w:color="auto" w:fill="auto"/>
          </w:tcPr>
          <w:p w14:paraId="07681B75" w14:textId="77777777" w:rsidR="00B91F65" w:rsidRPr="000B75E4" w:rsidRDefault="00B91F65" w:rsidP="00B91F65">
            <w:pPr>
              <w:pStyle w:val="LoEText"/>
              <w:framePr w:hSpace="0" w:wrap="auto" w:vAnchor="margin" w:hAnchor="text" w:xAlign="left" w:yAlign="inline"/>
              <w:suppressOverlap w:val="0"/>
            </w:pPr>
            <w:proofErr w:type="spellStart"/>
            <w:proofErr w:type="gramStart"/>
            <w:r w:rsidRPr="000B75E4">
              <w:t>LoE:III</w:t>
            </w:r>
            <w:proofErr w:type="spellEnd"/>
            <w:proofErr w:type="gramEnd"/>
            <w:r w:rsidRPr="000E2D88">
              <w:rPr>
                <w:rStyle w:val="EndnoteReference"/>
                <w:sz w:val="16"/>
                <w:szCs w:val="16"/>
              </w:rPr>
              <w:endnoteReference w:id="2"/>
            </w:r>
          </w:p>
        </w:tc>
      </w:tr>
    </w:tbl>
    <w:p w14:paraId="564CF9D2" w14:textId="54F58F8A" w:rsidR="00FC0494" w:rsidRPr="000B75E4" w:rsidRDefault="00FC0494" w:rsidP="00375534">
      <w:pPr>
        <w:pStyle w:val="ListParagraph"/>
      </w:pPr>
      <w:r w:rsidRPr="000B75E4">
        <w:t>2-hour plasma glucose in a 75 g oral glucose tolerance test ≥</w:t>
      </w:r>
      <w:r w:rsidR="0027427C">
        <w:t xml:space="preserve"> </w:t>
      </w:r>
      <w:r w:rsidRPr="000B75E4">
        <w:t xml:space="preserve">11.1 mmol/l. </w:t>
      </w:r>
    </w:p>
    <w:bookmarkEnd w:id="3"/>
    <w:p w14:paraId="3C48C900" w14:textId="77777777" w:rsidR="00FC0494" w:rsidRPr="000B75E4" w:rsidRDefault="00FC0494" w:rsidP="00375534">
      <w:pPr>
        <w:pStyle w:val="Heading5"/>
      </w:pPr>
      <w:r w:rsidRPr="000B75E4">
        <w:t>GENERAL MEASURES</w:t>
      </w:r>
    </w:p>
    <w:p w14:paraId="4F53CAAF" w14:textId="77777777" w:rsidR="00FC0494" w:rsidRPr="000B75E4" w:rsidRDefault="00FC0494" w:rsidP="00375534">
      <w:pPr>
        <w:pStyle w:val="ListParagraph"/>
      </w:pPr>
      <w:r w:rsidRPr="000B75E4">
        <w:t>Education regarding diabetes and its complications.</w:t>
      </w:r>
    </w:p>
    <w:p w14:paraId="5C937291" w14:textId="77777777" w:rsidR="00FC0494" w:rsidRPr="000B75E4" w:rsidRDefault="00FC0494" w:rsidP="00375534">
      <w:pPr>
        <w:pStyle w:val="ListParagraph"/>
      </w:pPr>
      <w:r w:rsidRPr="000B75E4">
        <w:t>Even and regular meal consumption.</w:t>
      </w:r>
    </w:p>
    <w:p w14:paraId="1F9EFA19" w14:textId="77777777" w:rsidR="00FC0494" w:rsidRPr="000B75E4" w:rsidRDefault="00FC0494" w:rsidP="00375534">
      <w:pPr>
        <w:pStyle w:val="ListParagraph"/>
      </w:pPr>
      <w:r w:rsidRPr="000B75E4">
        <w:t>Dietary emphasis should be on regulating carbohydrate, fibre and fat intake (See Section 9.2.2: Type 2 Diabetes mellitus, in adults for recommended diet plan).</w:t>
      </w:r>
    </w:p>
    <w:p w14:paraId="30ED4742" w14:textId="77777777" w:rsidR="00FC0494" w:rsidRPr="000B75E4" w:rsidRDefault="00FC0494" w:rsidP="00375534">
      <w:pPr>
        <w:pStyle w:val="ListParagraph"/>
      </w:pPr>
      <w:r w:rsidRPr="000B75E4">
        <w:t>Increased physical activity: aim for 30 minutes 5 times a week.</w:t>
      </w:r>
    </w:p>
    <w:p w14:paraId="19D36EF8" w14:textId="77777777" w:rsidR="00FC0494" w:rsidRPr="000B75E4" w:rsidRDefault="00FC0494" w:rsidP="00375534">
      <w:pPr>
        <w:pStyle w:val="ListParagraph"/>
      </w:pPr>
      <w:r w:rsidRPr="000B75E4">
        <w:t>Appropriate weight loss if body mass index &gt; 25 kg/m2.</w:t>
      </w:r>
    </w:p>
    <w:p w14:paraId="5F54D837" w14:textId="77777777" w:rsidR="00FC0494" w:rsidRPr="000B75E4" w:rsidRDefault="00FC0494" w:rsidP="00375534">
      <w:pPr>
        <w:pStyle w:val="ListParagraph"/>
      </w:pPr>
      <w:r w:rsidRPr="000B75E4">
        <w:t>Education about foot care.</w:t>
      </w:r>
    </w:p>
    <w:p w14:paraId="54F791B1" w14:textId="77777777" w:rsidR="00FC0494" w:rsidRPr="000B75E4" w:rsidRDefault="00FC0494" w:rsidP="00375534">
      <w:pPr>
        <w:pStyle w:val="ListParagraph"/>
      </w:pPr>
      <w:r w:rsidRPr="000B75E4">
        <w:t>Monitor for development of depression.</w:t>
      </w:r>
    </w:p>
    <w:p w14:paraId="389D19BB" w14:textId="77777777" w:rsidR="00FC0494" w:rsidRPr="000B75E4" w:rsidRDefault="00FC0494" w:rsidP="00375534">
      <w:pPr>
        <w:pStyle w:val="ListParagraph"/>
      </w:pPr>
      <w:r w:rsidRPr="000B75E4">
        <w:t>All patients should wear a notification bracelet.</w:t>
      </w:r>
    </w:p>
    <w:p w14:paraId="1BE8EFC6" w14:textId="77777777" w:rsidR="00FC0494" w:rsidRPr="000B75E4" w:rsidRDefault="00FC0494" w:rsidP="00375534">
      <w:pPr>
        <w:pStyle w:val="Heading5"/>
      </w:pPr>
      <w:r w:rsidRPr="000B75E4">
        <w:t>REFERRAL</w:t>
      </w:r>
    </w:p>
    <w:p w14:paraId="52433F71" w14:textId="77777777" w:rsidR="00FC0494" w:rsidRPr="000B75E4" w:rsidRDefault="00FC0494" w:rsidP="00FC0494">
      <w:pPr>
        <w:pStyle w:val="NoSpacing"/>
      </w:pPr>
      <w:r w:rsidRPr="000B75E4">
        <w:t>All patients.</w:t>
      </w:r>
    </w:p>
    <w:p w14:paraId="78E5BAF2" w14:textId="77777777" w:rsidR="00FC0494" w:rsidRPr="000B75E4" w:rsidRDefault="00FC0494" w:rsidP="00FC0494">
      <w:pPr>
        <w:pStyle w:val="NoSpacing"/>
      </w:pPr>
    </w:p>
    <w:p w14:paraId="2041E182" w14:textId="26D6BA00" w:rsidR="00FC0494" w:rsidRPr="00227F61" w:rsidRDefault="00227F61" w:rsidP="00227F61">
      <w:pPr>
        <w:pStyle w:val="Heading3"/>
      </w:pPr>
      <w:bookmarkStart w:id="4" w:name="_Toc56695559"/>
      <w:r w:rsidRPr="00227F61">
        <w:t>Type 1</w:t>
      </w:r>
      <w:r w:rsidR="00FC0494" w:rsidRPr="00227F61">
        <w:t xml:space="preserve"> </w:t>
      </w:r>
      <w:r w:rsidRPr="00227F61">
        <w:t>diabetes mellitus, in children and adolescents</w:t>
      </w:r>
      <w:bookmarkEnd w:id="4"/>
      <w:r w:rsidR="001D0DFE">
        <w:fldChar w:fldCharType="begin"/>
      </w:r>
      <w:r w:rsidR="001D0DFE">
        <w:instrText xml:space="preserve"> XE "</w:instrText>
      </w:r>
      <w:r w:rsidR="001D0DFE" w:rsidRPr="00ED0C31">
        <w:instrText>Type 1 diabetes mellitus, in children and adolescents</w:instrText>
      </w:r>
      <w:r w:rsidR="001D0DFE">
        <w:instrText xml:space="preserve">" </w:instrText>
      </w:r>
      <w:r w:rsidR="001D0DFE" w:rsidRPr="001D0DFE">
        <w:instrText>\f “c”</w:instrText>
      </w:r>
      <w:r w:rsidR="001D0DFE">
        <w:fldChar w:fldCharType="end"/>
      </w:r>
    </w:p>
    <w:p w14:paraId="1A74FAFE" w14:textId="77777777" w:rsidR="00FC0494" w:rsidRPr="000B75E4" w:rsidRDefault="00FC0494" w:rsidP="00375534">
      <w:pPr>
        <w:pStyle w:val="ICD10"/>
      </w:pPr>
      <w:r w:rsidRPr="000B75E4">
        <w:t>E10.9</w:t>
      </w:r>
    </w:p>
    <w:p w14:paraId="2D0DE2E6" w14:textId="77777777" w:rsidR="00FC0494" w:rsidRPr="000B75E4" w:rsidRDefault="00FC0494" w:rsidP="00375534">
      <w:pPr>
        <w:pStyle w:val="Heading5"/>
      </w:pPr>
      <w:r w:rsidRPr="000B75E4">
        <w:t>MEDICINE TREATMENT</w:t>
      </w:r>
    </w:p>
    <w:p w14:paraId="08C65F7C" w14:textId="77777777" w:rsidR="00FC0494" w:rsidRPr="000B75E4" w:rsidRDefault="00FC0494" w:rsidP="00FC0494">
      <w:pPr>
        <w:pStyle w:val="NoSpacing"/>
      </w:pPr>
      <w:r w:rsidRPr="000B75E4">
        <w:t>Oral anti-diabetic medicines should not be used to treat children with type 1 diabetes mellitus.</w:t>
      </w:r>
    </w:p>
    <w:p w14:paraId="5287AB8F" w14:textId="77777777" w:rsidR="00FC0494" w:rsidRPr="000B75E4" w:rsidRDefault="00FC0494" w:rsidP="00375534">
      <w:pPr>
        <w:pStyle w:val="Heading5"/>
      </w:pPr>
      <w:r w:rsidRPr="000B75E4">
        <w:lastRenderedPageBreak/>
        <w:t>REFERRAL</w:t>
      </w:r>
    </w:p>
    <w:p w14:paraId="39CD6C55" w14:textId="77777777" w:rsidR="00FC0494" w:rsidRPr="000B75E4" w:rsidRDefault="00FC0494" w:rsidP="00FC0494">
      <w:pPr>
        <w:pStyle w:val="NoSpacing"/>
      </w:pPr>
      <w:r w:rsidRPr="000B75E4">
        <w:t>All children with confirmed or suspected type 1 diabetes mellitus must be referred to a hospital immediately for management.</w:t>
      </w:r>
    </w:p>
    <w:p w14:paraId="600DFF62" w14:textId="470A81DC" w:rsidR="00FC0494" w:rsidRPr="00227F61" w:rsidRDefault="00227F61" w:rsidP="00227F61">
      <w:pPr>
        <w:pStyle w:val="Heading3"/>
      </w:pPr>
      <w:bookmarkStart w:id="5" w:name="_Toc56695560"/>
      <w:r w:rsidRPr="00227F61">
        <w:t>Type 1</w:t>
      </w:r>
      <w:r w:rsidR="00FC0494" w:rsidRPr="00227F61">
        <w:t xml:space="preserve"> </w:t>
      </w:r>
      <w:r w:rsidRPr="00227F61">
        <w:t>diabetes mellitus, in adults</w:t>
      </w:r>
      <w:bookmarkEnd w:id="5"/>
      <w:r w:rsidR="001D0DFE">
        <w:fldChar w:fldCharType="begin"/>
      </w:r>
      <w:r w:rsidR="001D0DFE">
        <w:instrText xml:space="preserve"> XE "</w:instrText>
      </w:r>
      <w:r w:rsidR="001D0DFE" w:rsidRPr="00ED0C31">
        <w:instrText>Type 1 diabetes mellitus, in adults</w:instrText>
      </w:r>
      <w:r w:rsidR="001D0DFE">
        <w:instrText xml:space="preserve">" </w:instrText>
      </w:r>
      <w:r w:rsidR="001D0DFE" w:rsidRPr="001D0DFE">
        <w:instrText>\f “c”</w:instrText>
      </w:r>
      <w:r w:rsidR="001D0DFE">
        <w:fldChar w:fldCharType="end"/>
      </w:r>
    </w:p>
    <w:p w14:paraId="140B3C8E" w14:textId="77777777" w:rsidR="00FC0494" w:rsidRPr="000B75E4" w:rsidRDefault="00FC0494" w:rsidP="000E2D88">
      <w:pPr>
        <w:pStyle w:val="ICD10"/>
      </w:pPr>
      <w:r w:rsidRPr="000B75E4">
        <w:t>E10.9</w:t>
      </w:r>
    </w:p>
    <w:p w14:paraId="4CDBCD17" w14:textId="77777777" w:rsidR="00FC0494" w:rsidRPr="000B75E4" w:rsidRDefault="00FC0494" w:rsidP="000E2D88">
      <w:r w:rsidRPr="000B75E4">
        <w:t>Type 1 diabetes mellitus is a rare condition and should be diagnosed and monitored at hospital level. Only stable patients may be down referred for chronic medicines.</w:t>
      </w:r>
    </w:p>
    <w:p w14:paraId="6C09EE49" w14:textId="77777777" w:rsidR="00FC0494" w:rsidRPr="000B75E4" w:rsidRDefault="00FC0494" w:rsidP="000E2D88">
      <w:pPr>
        <w:pStyle w:val="Heading5"/>
      </w:pPr>
      <w:r w:rsidRPr="000B75E4">
        <w:t>MONITORING FOLLOWING DOWN REFERRAL</w:t>
      </w:r>
    </w:p>
    <w:p w14:paraId="54074680" w14:textId="77777777" w:rsidR="00FC0494" w:rsidRPr="000B75E4" w:rsidRDefault="00FC0494" w:rsidP="00B91F65">
      <w:pPr>
        <w:pStyle w:val="Heading7"/>
      </w:pPr>
      <w:r w:rsidRPr="000B75E4">
        <w:t>At every visit:</w:t>
      </w:r>
    </w:p>
    <w:p w14:paraId="36289091" w14:textId="77777777" w:rsidR="00FC0494" w:rsidRPr="000B75E4" w:rsidRDefault="00FC0494" w:rsidP="00B91F65">
      <w:pPr>
        <w:pStyle w:val="ListParagraph"/>
      </w:pPr>
      <w:r w:rsidRPr="000B75E4">
        <w:t>Finger-prick blood glucose.</w:t>
      </w:r>
    </w:p>
    <w:p w14:paraId="4D3ECC03" w14:textId="77777777" w:rsidR="00FC0494" w:rsidRPr="000B75E4" w:rsidRDefault="00FC0494" w:rsidP="00B91F65">
      <w:pPr>
        <w:pStyle w:val="ListParagraph"/>
      </w:pPr>
      <w:r w:rsidRPr="000B75E4">
        <w:t>Weight.</w:t>
      </w:r>
    </w:p>
    <w:p w14:paraId="7D2577E9" w14:textId="77777777" w:rsidR="00FC0494" w:rsidRPr="000B75E4" w:rsidRDefault="00FC0494" w:rsidP="00B91F65">
      <w:pPr>
        <w:pStyle w:val="ListParagraph"/>
      </w:pPr>
      <w:r w:rsidRPr="000B75E4">
        <w:t>Blood pressure.</w:t>
      </w:r>
    </w:p>
    <w:p w14:paraId="4D406006" w14:textId="77777777" w:rsidR="00FC0494" w:rsidRPr="000B75E4" w:rsidRDefault="00FC0494" w:rsidP="00B91F65">
      <w:pPr>
        <w:pStyle w:val="Heading7"/>
      </w:pPr>
      <w:r w:rsidRPr="000B75E4">
        <w:t>Annually:</w:t>
      </w:r>
    </w:p>
    <w:p w14:paraId="39B0A08B" w14:textId="77777777" w:rsidR="00FC0494" w:rsidRPr="000B75E4" w:rsidRDefault="00FC0494" w:rsidP="00B91F65">
      <w:pPr>
        <w:pStyle w:val="ListParagraph"/>
      </w:pPr>
      <w:r w:rsidRPr="000B75E4">
        <w:t xml:space="preserve">HbA1c, one month before next hospital appointment. </w:t>
      </w:r>
    </w:p>
    <w:p w14:paraId="084DC70A" w14:textId="77777777" w:rsidR="00FC0494" w:rsidRPr="000B75E4" w:rsidRDefault="00FC0494" w:rsidP="000E2D88">
      <w:pPr>
        <w:pStyle w:val="Heading5"/>
      </w:pPr>
      <w:r w:rsidRPr="000B75E4">
        <w:t>TARGETS FOR CONTROL</w:t>
      </w:r>
    </w:p>
    <w:p w14:paraId="2AD9751E" w14:textId="77777777" w:rsidR="00FC0494" w:rsidRPr="000B75E4" w:rsidRDefault="00FC0494" w:rsidP="00B91F65">
      <w:pPr>
        <w:pStyle w:val="Heading6"/>
      </w:pPr>
      <w:r w:rsidRPr="000B75E4">
        <w:t>Glycaemic targets for control:</w:t>
      </w:r>
    </w:p>
    <w:tbl>
      <w:tblPr>
        <w:tblStyle w:val="SamplePHCTable"/>
        <w:tblW w:w="5000" w:type="pct"/>
        <w:tblLook w:val="04A0" w:firstRow="1" w:lastRow="0" w:firstColumn="1" w:lastColumn="0" w:noHBand="0" w:noVBand="1"/>
      </w:tblPr>
      <w:tblGrid>
        <w:gridCol w:w="2105"/>
        <w:gridCol w:w="1233"/>
        <w:gridCol w:w="1612"/>
        <w:gridCol w:w="1729"/>
      </w:tblGrid>
      <w:tr w:rsidR="00FC0494" w:rsidRPr="000B75E4" w14:paraId="12B431EB" w14:textId="77777777" w:rsidTr="000E059C">
        <w:trPr>
          <w:cnfStyle w:val="100000000000" w:firstRow="1" w:lastRow="0" w:firstColumn="0" w:lastColumn="0" w:oddVBand="0" w:evenVBand="0" w:oddHBand="0" w:evenHBand="0" w:firstRowFirstColumn="0" w:firstRowLastColumn="0" w:lastRowFirstColumn="0" w:lastRowLastColumn="0"/>
        </w:trPr>
        <w:tc>
          <w:tcPr>
            <w:tcW w:w="1576" w:type="pct"/>
          </w:tcPr>
          <w:p w14:paraId="736ED95C" w14:textId="77777777" w:rsidR="00FC0494" w:rsidRPr="000B75E4" w:rsidRDefault="00FC0494" w:rsidP="007B5A6A">
            <w:pPr>
              <w:pStyle w:val="NoSpacing"/>
            </w:pPr>
            <w:r w:rsidRPr="000B75E4">
              <w:t>Patient type</w:t>
            </w:r>
          </w:p>
        </w:tc>
        <w:tc>
          <w:tcPr>
            <w:tcW w:w="923" w:type="pct"/>
          </w:tcPr>
          <w:p w14:paraId="7E9599FA" w14:textId="77777777" w:rsidR="00FC0494" w:rsidRPr="000B75E4" w:rsidRDefault="00FC0494" w:rsidP="007B5A6A">
            <w:pPr>
              <w:pStyle w:val="NoSpacing"/>
            </w:pPr>
            <w:r w:rsidRPr="000B75E4">
              <w:t>Target HbA1c</w:t>
            </w:r>
          </w:p>
        </w:tc>
        <w:tc>
          <w:tcPr>
            <w:tcW w:w="1207" w:type="pct"/>
          </w:tcPr>
          <w:p w14:paraId="4C40F9E4" w14:textId="77777777" w:rsidR="00FC0494" w:rsidRPr="000B75E4" w:rsidRDefault="00FC0494" w:rsidP="007B5A6A">
            <w:pPr>
              <w:pStyle w:val="NoSpacing"/>
            </w:pPr>
            <w:r w:rsidRPr="000B75E4">
              <w:t>Target FBG*</w:t>
            </w:r>
          </w:p>
        </w:tc>
        <w:tc>
          <w:tcPr>
            <w:tcW w:w="1295" w:type="pct"/>
          </w:tcPr>
          <w:p w14:paraId="73BF7338" w14:textId="77777777" w:rsidR="00FC0494" w:rsidRPr="000B75E4" w:rsidRDefault="00FC0494" w:rsidP="007B5A6A">
            <w:pPr>
              <w:pStyle w:val="NoSpacing"/>
            </w:pPr>
            <w:r w:rsidRPr="000B75E4">
              <w:t>Target PPG*</w:t>
            </w:r>
          </w:p>
        </w:tc>
      </w:tr>
      <w:tr w:rsidR="00FC0494" w:rsidRPr="000B75E4" w14:paraId="07933ED5" w14:textId="77777777" w:rsidTr="003F2F1D">
        <w:tc>
          <w:tcPr>
            <w:tcW w:w="1576" w:type="pct"/>
          </w:tcPr>
          <w:p w14:paraId="25EBC08A" w14:textId="77777777" w:rsidR="00FC0494" w:rsidRPr="000B75E4" w:rsidRDefault="00FC0494" w:rsidP="003F3DEB">
            <w:pPr>
              <w:pStyle w:val="ListParagraph"/>
              <w:jc w:val="left"/>
            </w:pPr>
            <w:r w:rsidRPr="000B75E4">
              <w:t>Young, low risk</w:t>
            </w:r>
          </w:p>
          <w:p w14:paraId="60464280" w14:textId="77777777" w:rsidR="00FC0494" w:rsidRPr="000B75E4" w:rsidRDefault="00FC0494" w:rsidP="003F3DEB">
            <w:pPr>
              <w:pStyle w:val="ListParagraph"/>
              <w:jc w:val="left"/>
            </w:pPr>
            <w:r w:rsidRPr="000B75E4">
              <w:t>Newly diagnosed</w:t>
            </w:r>
          </w:p>
          <w:p w14:paraId="02721693" w14:textId="77777777" w:rsidR="00FC0494" w:rsidRPr="000B75E4" w:rsidRDefault="00FC0494" w:rsidP="003F3DEB">
            <w:pPr>
              <w:pStyle w:val="ListParagraph"/>
              <w:jc w:val="left"/>
            </w:pPr>
            <w:r w:rsidRPr="000B75E4">
              <w:t>No CVS disease</w:t>
            </w:r>
          </w:p>
        </w:tc>
        <w:tc>
          <w:tcPr>
            <w:tcW w:w="923" w:type="pct"/>
            <w:vAlign w:val="center"/>
          </w:tcPr>
          <w:p w14:paraId="706CED0C" w14:textId="7C22FA20" w:rsidR="00FC0494" w:rsidRPr="000B75E4" w:rsidRDefault="00FC0494" w:rsidP="003F2F1D">
            <w:pPr>
              <w:pStyle w:val="NoSpacing"/>
              <w:jc w:val="left"/>
            </w:pPr>
            <w:r w:rsidRPr="000B75E4">
              <w:t>&lt; 6.5%</w:t>
            </w:r>
          </w:p>
        </w:tc>
        <w:tc>
          <w:tcPr>
            <w:tcW w:w="1207" w:type="pct"/>
            <w:vAlign w:val="center"/>
          </w:tcPr>
          <w:p w14:paraId="230D90B9" w14:textId="77777777" w:rsidR="00FC0494" w:rsidRPr="000B75E4" w:rsidRDefault="00FC0494" w:rsidP="003F2F1D">
            <w:pPr>
              <w:pStyle w:val="NoSpacing"/>
              <w:jc w:val="left"/>
            </w:pPr>
            <w:r w:rsidRPr="000B75E4">
              <w:t>4.0–7.0 mmol/L</w:t>
            </w:r>
          </w:p>
        </w:tc>
        <w:tc>
          <w:tcPr>
            <w:tcW w:w="1295" w:type="pct"/>
            <w:vAlign w:val="center"/>
          </w:tcPr>
          <w:p w14:paraId="73EDDF0F" w14:textId="77777777" w:rsidR="00FC0494" w:rsidRPr="000B75E4" w:rsidRDefault="00FC0494" w:rsidP="003F2F1D">
            <w:pPr>
              <w:pStyle w:val="NoSpacing"/>
              <w:jc w:val="left"/>
            </w:pPr>
            <w:r w:rsidRPr="000B75E4">
              <w:t>4.4–7.8 mmol/L</w:t>
            </w:r>
          </w:p>
        </w:tc>
      </w:tr>
      <w:tr w:rsidR="00FC0494" w:rsidRPr="000B75E4" w14:paraId="4DC5F962" w14:textId="77777777" w:rsidTr="003F2F1D">
        <w:tc>
          <w:tcPr>
            <w:tcW w:w="1576" w:type="pct"/>
          </w:tcPr>
          <w:p w14:paraId="36DE38F0" w14:textId="77777777" w:rsidR="00FC0494" w:rsidRPr="000B75E4" w:rsidRDefault="00FC0494" w:rsidP="003F3DEB">
            <w:pPr>
              <w:pStyle w:val="ListParagraph"/>
              <w:jc w:val="left"/>
            </w:pPr>
            <w:r w:rsidRPr="000B75E4">
              <w:t>Majority of patients</w:t>
            </w:r>
          </w:p>
        </w:tc>
        <w:tc>
          <w:tcPr>
            <w:tcW w:w="923" w:type="pct"/>
            <w:vAlign w:val="center"/>
          </w:tcPr>
          <w:p w14:paraId="063B1493" w14:textId="77777777" w:rsidR="00FC0494" w:rsidRPr="000B75E4" w:rsidRDefault="00FC0494" w:rsidP="003F2F1D">
            <w:pPr>
              <w:pStyle w:val="NoSpacing"/>
              <w:jc w:val="left"/>
            </w:pPr>
            <w:r w:rsidRPr="000B75E4">
              <w:t>&lt; 7.0%</w:t>
            </w:r>
          </w:p>
        </w:tc>
        <w:tc>
          <w:tcPr>
            <w:tcW w:w="1207" w:type="pct"/>
            <w:vAlign w:val="center"/>
          </w:tcPr>
          <w:p w14:paraId="23910686" w14:textId="77777777" w:rsidR="00FC0494" w:rsidRPr="000B75E4" w:rsidRDefault="00FC0494" w:rsidP="003F2F1D">
            <w:pPr>
              <w:pStyle w:val="NoSpacing"/>
              <w:jc w:val="left"/>
            </w:pPr>
            <w:r w:rsidRPr="000B75E4">
              <w:t>4.0–7.0 mmol/L</w:t>
            </w:r>
          </w:p>
        </w:tc>
        <w:tc>
          <w:tcPr>
            <w:tcW w:w="1295" w:type="pct"/>
            <w:vAlign w:val="center"/>
          </w:tcPr>
          <w:p w14:paraId="0DB40239" w14:textId="77777777" w:rsidR="00FC0494" w:rsidRPr="000B75E4" w:rsidRDefault="00FC0494" w:rsidP="003F2F1D">
            <w:pPr>
              <w:pStyle w:val="NoSpacing"/>
              <w:jc w:val="left"/>
            </w:pPr>
            <w:r w:rsidRPr="000B75E4">
              <w:t>5.0–10.0 mmol/L</w:t>
            </w:r>
          </w:p>
        </w:tc>
      </w:tr>
      <w:tr w:rsidR="00FC0494" w:rsidRPr="000B75E4" w14:paraId="58C67ACB" w14:textId="77777777" w:rsidTr="003F2F1D">
        <w:tc>
          <w:tcPr>
            <w:tcW w:w="1576" w:type="pct"/>
          </w:tcPr>
          <w:p w14:paraId="3EFCF2AD" w14:textId="77777777" w:rsidR="00FC0494" w:rsidRPr="000B75E4" w:rsidRDefault="00FC0494" w:rsidP="003F3DEB">
            <w:pPr>
              <w:pStyle w:val="ListParagraph"/>
              <w:jc w:val="left"/>
            </w:pPr>
            <w:r w:rsidRPr="000B75E4">
              <w:t>Elderly</w:t>
            </w:r>
          </w:p>
          <w:p w14:paraId="08F6BB08" w14:textId="77777777" w:rsidR="00FC0494" w:rsidRPr="000B75E4" w:rsidRDefault="00FC0494" w:rsidP="003F3DEB">
            <w:pPr>
              <w:pStyle w:val="ListParagraph"/>
              <w:jc w:val="left"/>
            </w:pPr>
            <w:r w:rsidRPr="000B75E4">
              <w:t>High risk</w:t>
            </w:r>
          </w:p>
          <w:p w14:paraId="7C71CFC2" w14:textId="77777777" w:rsidR="00FC0494" w:rsidRPr="000B75E4" w:rsidRDefault="00FC0494" w:rsidP="003F3DEB">
            <w:pPr>
              <w:pStyle w:val="ListParagraph"/>
              <w:jc w:val="left"/>
            </w:pPr>
            <w:r w:rsidRPr="000B75E4">
              <w:t>Hypoglycaemic unawareness</w:t>
            </w:r>
          </w:p>
          <w:p w14:paraId="353C4BF9" w14:textId="77777777" w:rsidR="00FC0494" w:rsidRPr="000B75E4" w:rsidRDefault="00FC0494" w:rsidP="003F3DEB">
            <w:pPr>
              <w:pStyle w:val="ListParagraph"/>
              <w:jc w:val="left"/>
            </w:pPr>
            <w:r w:rsidRPr="000B75E4">
              <w:t>Poor short-term prognosis</w:t>
            </w:r>
          </w:p>
        </w:tc>
        <w:tc>
          <w:tcPr>
            <w:tcW w:w="923" w:type="pct"/>
            <w:vAlign w:val="center"/>
          </w:tcPr>
          <w:p w14:paraId="108542ED" w14:textId="1C56858D" w:rsidR="00FC0494" w:rsidRPr="000B75E4" w:rsidRDefault="00FC0494" w:rsidP="003F2F1D">
            <w:pPr>
              <w:pStyle w:val="NoSpacing"/>
              <w:jc w:val="left"/>
            </w:pPr>
            <w:r w:rsidRPr="000B75E4">
              <w:t>&lt; 7.5%</w:t>
            </w:r>
          </w:p>
        </w:tc>
        <w:tc>
          <w:tcPr>
            <w:tcW w:w="1207" w:type="pct"/>
            <w:vAlign w:val="center"/>
          </w:tcPr>
          <w:p w14:paraId="3BC70A9A" w14:textId="77777777" w:rsidR="00FC0494" w:rsidRPr="000B75E4" w:rsidRDefault="00FC0494" w:rsidP="003F2F1D">
            <w:pPr>
              <w:pStyle w:val="NoSpacing"/>
              <w:jc w:val="left"/>
            </w:pPr>
            <w:r w:rsidRPr="000B75E4">
              <w:t>4.0–7.0 mmol/L</w:t>
            </w:r>
          </w:p>
        </w:tc>
        <w:tc>
          <w:tcPr>
            <w:tcW w:w="1295" w:type="pct"/>
            <w:vAlign w:val="center"/>
          </w:tcPr>
          <w:p w14:paraId="229C1460" w14:textId="77777777" w:rsidR="00FC0494" w:rsidRPr="000B75E4" w:rsidRDefault="00FC0494" w:rsidP="003F2F1D">
            <w:pPr>
              <w:pStyle w:val="NoSpacing"/>
              <w:jc w:val="left"/>
            </w:pPr>
            <w:r w:rsidRPr="000B75E4">
              <w:t>&lt; 12.0 mmol/L</w:t>
            </w:r>
          </w:p>
        </w:tc>
      </w:tr>
    </w:tbl>
    <w:p w14:paraId="5161A85E" w14:textId="77777777" w:rsidR="00FC0494" w:rsidRPr="00B91F65" w:rsidRDefault="00FC0494" w:rsidP="00FC0494">
      <w:pPr>
        <w:pStyle w:val="NoSpacing"/>
        <w:rPr>
          <w:rStyle w:val="Strong"/>
        </w:rPr>
      </w:pPr>
      <w:r w:rsidRPr="00B91F65">
        <w:rPr>
          <w:rStyle w:val="Strong"/>
        </w:rPr>
        <w:t>*FBG: fasting blood glucose; PPG: post-prandial blood glucose.</w:t>
      </w:r>
    </w:p>
    <w:p w14:paraId="4CE4F728" w14:textId="77777777" w:rsidR="00FC0494" w:rsidRPr="000B75E4" w:rsidRDefault="00FC0494" w:rsidP="00B91F65">
      <w:pPr>
        <w:pStyle w:val="Heading6"/>
      </w:pPr>
      <w:r w:rsidRPr="000B75E4">
        <w:t>Non-glycaemic targets:</w:t>
      </w:r>
    </w:p>
    <w:p w14:paraId="06EA8EF4" w14:textId="77777777" w:rsidR="00FC0494" w:rsidRPr="000B75E4" w:rsidRDefault="00FC0494" w:rsidP="00CE48A6">
      <w:pPr>
        <w:pStyle w:val="ListParagraph"/>
      </w:pPr>
      <w:r w:rsidRPr="000B75E4">
        <w:t>Body mass index ≤ 25 kg/m2.</w:t>
      </w:r>
    </w:p>
    <w:p w14:paraId="6F7ADCD0" w14:textId="77777777" w:rsidR="00FC0494" w:rsidRPr="000B75E4" w:rsidRDefault="00FC0494" w:rsidP="00CE48A6">
      <w:pPr>
        <w:pStyle w:val="ListParagraph"/>
      </w:pPr>
      <w:r w:rsidRPr="000B75E4">
        <w:t>BP &lt; 140/90 mmHg.</w:t>
      </w:r>
    </w:p>
    <w:p w14:paraId="5775FDEA" w14:textId="77777777" w:rsidR="00FC0494" w:rsidRPr="000B75E4" w:rsidRDefault="00FC0494" w:rsidP="00FC0494">
      <w:pPr>
        <w:pStyle w:val="NoSpacing"/>
      </w:pPr>
      <w:r w:rsidRPr="000B75E4">
        <w:t>The increased risk of hypoglycaemia must always be weighed against the potential benefit of reducing microvascular and macrovascular complications.</w:t>
      </w:r>
    </w:p>
    <w:p w14:paraId="2375F53B" w14:textId="77777777" w:rsidR="00FC0494" w:rsidRPr="000B75E4" w:rsidRDefault="00FC0494" w:rsidP="000E2D88">
      <w:pPr>
        <w:pStyle w:val="Heading5"/>
      </w:pPr>
      <w:r w:rsidRPr="000B75E4">
        <w:t>MEDICINE TREATMENT</w:t>
      </w:r>
    </w:p>
    <w:p w14:paraId="7F4D9040" w14:textId="77777777" w:rsidR="00FC0494" w:rsidRPr="000B75E4" w:rsidRDefault="00FC0494" w:rsidP="00FC0494">
      <w:pPr>
        <w:pStyle w:val="NoSpacing"/>
      </w:pPr>
      <w:r w:rsidRPr="000B75E4">
        <w:t>As type 1 diabetes mellitus usually presents with diabetic ketoacidosis, treatment is usually initiated with insulin and the patient is stabilised at hospital level. Oral anti-diabetic medicines should not be used to treat type 1 diabetics.</w:t>
      </w:r>
    </w:p>
    <w:p w14:paraId="5DA3F3D0" w14:textId="11247334" w:rsidR="00FC0494" w:rsidRDefault="00FC0494" w:rsidP="00FC0494">
      <w:pPr>
        <w:pStyle w:val="NoSpacing"/>
        <w:rPr>
          <w:rStyle w:val="Strong"/>
        </w:rPr>
      </w:pPr>
      <w:r w:rsidRPr="00CE48A6">
        <w:rPr>
          <w:rStyle w:val="Strong"/>
        </w:rPr>
        <w:t>Insulin dose requirements will decrease as kidney disease progresses.</w:t>
      </w:r>
    </w:p>
    <w:p w14:paraId="3E6449DD" w14:textId="77777777" w:rsidR="00CE48A6" w:rsidRPr="00CE48A6" w:rsidRDefault="00CE48A6" w:rsidP="00FC0494">
      <w:pPr>
        <w:pStyle w:val="NoSpacing"/>
      </w:pPr>
    </w:p>
    <w:p w14:paraId="64542AE9" w14:textId="77777777" w:rsidR="00FC0494" w:rsidRPr="000B75E4" w:rsidRDefault="00FC0494" w:rsidP="00CE48A6">
      <w:pPr>
        <w:pStyle w:val="Heading6"/>
      </w:pPr>
      <w:r w:rsidRPr="000B75E4">
        <w:lastRenderedPageBreak/>
        <w:t>Types of insulin</w:t>
      </w:r>
    </w:p>
    <w:p w14:paraId="0BFF127A" w14:textId="2C660D1A" w:rsidR="00FC0494" w:rsidRPr="000B75E4" w:rsidRDefault="00FC0494" w:rsidP="0014762E">
      <w:pPr>
        <w:pStyle w:val="BulletMedicine"/>
      </w:pPr>
      <w:r w:rsidRPr="000B75E4">
        <w:t>Insulin, short acting</w:t>
      </w:r>
      <w:r w:rsidR="00B82F62">
        <w:fldChar w:fldCharType="begin"/>
      </w:r>
      <w:r w:rsidR="00B82F62">
        <w:instrText xml:space="preserve"> XE "Insulin, short acting" \f "m" </w:instrText>
      </w:r>
      <w:r w:rsidR="00B82F62">
        <w:fldChar w:fldCharType="end"/>
      </w:r>
      <w:r w:rsidRPr="000B75E4">
        <w:t>, SC, three times daily, 30 minutes before meals.</w:t>
      </w:r>
    </w:p>
    <w:p w14:paraId="53748007" w14:textId="77777777" w:rsidR="00FC0494" w:rsidRPr="000B75E4" w:rsidRDefault="00FC0494" w:rsidP="005658AC">
      <w:pPr>
        <w:pStyle w:val="BulletDirectionsInstructions"/>
      </w:pPr>
      <w:r w:rsidRPr="000B75E4">
        <w:t>Regular human insulin.</w:t>
      </w:r>
    </w:p>
    <w:p w14:paraId="37605EBD" w14:textId="77777777" w:rsidR="00FC0494" w:rsidRPr="000B75E4" w:rsidRDefault="00FC0494" w:rsidP="005658AC">
      <w:pPr>
        <w:pStyle w:val="BulletDirectionsInstructions"/>
      </w:pPr>
      <w:r w:rsidRPr="000B75E4">
        <w:t>Onset of action: 30 minutes.</w:t>
      </w:r>
    </w:p>
    <w:p w14:paraId="071F5C78" w14:textId="77777777" w:rsidR="00FC0494" w:rsidRPr="000B75E4" w:rsidRDefault="00FC0494" w:rsidP="005658AC">
      <w:pPr>
        <w:pStyle w:val="BulletDirectionsInstructions"/>
      </w:pPr>
      <w:r w:rsidRPr="000B75E4">
        <w:t>Peak action: 2–5 hours.</w:t>
      </w:r>
    </w:p>
    <w:p w14:paraId="592B18F8" w14:textId="77777777" w:rsidR="00FC0494" w:rsidRPr="000B75E4" w:rsidRDefault="00FC0494" w:rsidP="005658AC">
      <w:pPr>
        <w:pStyle w:val="BulletDirectionsInstructions"/>
      </w:pPr>
      <w:r w:rsidRPr="000B75E4">
        <w:t>Duration of action: 5–8 hours.</w:t>
      </w:r>
    </w:p>
    <w:p w14:paraId="28638312" w14:textId="1977D746" w:rsidR="00FC0494" w:rsidRPr="00DA2AE7" w:rsidRDefault="00FC0494" w:rsidP="0063457B">
      <w:pPr>
        <w:pStyle w:val="BulletMedicine"/>
      </w:pPr>
      <w:r w:rsidRPr="00DA2AE7">
        <w:t>Insulin, intermediate acting, SC</w:t>
      </w:r>
      <w:r w:rsidR="00B20FEC">
        <w:fldChar w:fldCharType="begin"/>
      </w:r>
      <w:r w:rsidR="00B82F62">
        <w:instrText xml:space="preserve"> XE "Insulin, intermediate acting" \f "m"</w:instrText>
      </w:r>
      <w:r w:rsidR="00B20FEC">
        <w:instrText xml:space="preserve"> </w:instrText>
      </w:r>
      <w:r w:rsidR="00B20FEC">
        <w:fldChar w:fldCharType="end"/>
      </w:r>
      <w:r w:rsidRPr="00DA2AE7">
        <w:t>, once or twice daily usually at night at bedtime, approximately 8 hours before breakfast.</w:t>
      </w:r>
    </w:p>
    <w:p w14:paraId="0CA80D47" w14:textId="77777777" w:rsidR="00FC0494" w:rsidRPr="000B75E4" w:rsidRDefault="00FC0494" w:rsidP="005658AC">
      <w:pPr>
        <w:pStyle w:val="BulletDirectionsInstructions"/>
      </w:pPr>
      <w:r w:rsidRPr="000B75E4">
        <w:t>Intermediate acting insulin.</w:t>
      </w:r>
    </w:p>
    <w:p w14:paraId="26121810" w14:textId="77777777" w:rsidR="00FC0494" w:rsidRPr="000B75E4" w:rsidRDefault="00FC0494" w:rsidP="005658AC">
      <w:pPr>
        <w:pStyle w:val="BulletDirectionsInstructions"/>
      </w:pPr>
      <w:r w:rsidRPr="000B75E4">
        <w:t>Onset of action: 1–3 hours.</w:t>
      </w:r>
    </w:p>
    <w:p w14:paraId="1F31EB4A" w14:textId="77777777" w:rsidR="00FC0494" w:rsidRPr="000B75E4" w:rsidRDefault="00FC0494" w:rsidP="005658AC">
      <w:pPr>
        <w:pStyle w:val="BulletDirectionsInstructions"/>
      </w:pPr>
      <w:r w:rsidRPr="000B75E4">
        <w:t>Peak action: 6–12 hours.</w:t>
      </w:r>
    </w:p>
    <w:p w14:paraId="591C48AD" w14:textId="77777777" w:rsidR="00FC0494" w:rsidRPr="000B75E4" w:rsidRDefault="00FC0494" w:rsidP="005658AC">
      <w:pPr>
        <w:pStyle w:val="BulletDirectionsInstructions"/>
      </w:pPr>
      <w:r w:rsidRPr="000B75E4">
        <w:t>Duration of action: 16–24 hours.</w:t>
      </w:r>
    </w:p>
    <w:p w14:paraId="4E16D868" w14:textId="1F23F7F7" w:rsidR="00FC0494" w:rsidRPr="000B75E4" w:rsidRDefault="00FC0494" w:rsidP="005658AC">
      <w:pPr>
        <w:pStyle w:val="BulletMedicine"/>
      </w:pPr>
      <w:r w:rsidRPr="000B75E4">
        <w:t>Insulin, biphasic, SC</w:t>
      </w:r>
      <w:r w:rsidR="00B20FEC">
        <w:fldChar w:fldCharType="begin"/>
      </w:r>
      <w:r w:rsidR="00B82F62">
        <w:instrText xml:space="preserve"> XE "Insulin, biphasic" \f "m"</w:instrText>
      </w:r>
      <w:r w:rsidR="00B20FEC">
        <w:instrText xml:space="preserve"> </w:instrText>
      </w:r>
      <w:r w:rsidR="00B20FEC">
        <w:fldChar w:fldCharType="end"/>
      </w:r>
      <w:r w:rsidRPr="000B75E4">
        <w:t>, once or twice daily.</w:t>
      </w:r>
    </w:p>
    <w:p w14:paraId="5D78DF27" w14:textId="77777777" w:rsidR="00FC0494" w:rsidRPr="000B75E4" w:rsidRDefault="00FC0494" w:rsidP="005658AC">
      <w:pPr>
        <w:pStyle w:val="BulletDirectionsInstructions"/>
      </w:pPr>
      <w:r w:rsidRPr="000B75E4">
        <w:t>Mixtures of regular human insulin and intermediate acting insulin in different proportions, e.g.  30/70 (30% regular insulin and 70% intermediate acting insulin).</w:t>
      </w:r>
    </w:p>
    <w:p w14:paraId="0115BF0D" w14:textId="77777777" w:rsidR="00FC0494" w:rsidRPr="000B75E4" w:rsidRDefault="00FC0494" w:rsidP="005658AC">
      <w:pPr>
        <w:pStyle w:val="BulletDirectionsInstructions"/>
      </w:pPr>
      <w:r w:rsidRPr="000B75E4">
        <w:t>Onset of action: 30 minutes.</w:t>
      </w:r>
    </w:p>
    <w:p w14:paraId="3A4F0E12" w14:textId="77777777" w:rsidR="00FC0494" w:rsidRPr="000B75E4" w:rsidRDefault="00FC0494" w:rsidP="005658AC">
      <w:pPr>
        <w:pStyle w:val="BulletDirectionsInstructions"/>
      </w:pPr>
      <w:r w:rsidRPr="000B75E4">
        <w:t>Peak action: 2–12 hours.</w:t>
      </w:r>
    </w:p>
    <w:p w14:paraId="05DB92CC" w14:textId="77777777" w:rsidR="00FC0494" w:rsidRPr="000B75E4" w:rsidRDefault="00FC0494" w:rsidP="005658AC">
      <w:pPr>
        <w:pStyle w:val="BulletDirectionsInstructions"/>
      </w:pPr>
      <w:r w:rsidRPr="000B75E4">
        <w:t>Duration of action: 16–24 hours.</w:t>
      </w:r>
    </w:p>
    <w:p w14:paraId="0A096AFE" w14:textId="77777777" w:rsidR="00FC0494" w:rsidRPr="000B75E4" w:rsidRDefault="00FC0494" w:rsidP="005658AC">
      <w:pPr>
        <w:pStyle w:val="Heading6"/>
      </w:pPr>
      <w:r w:rsidRPr="000B75E4">
        <w:t>Insulin regimens</w:t>
      </w:r>
    </w:p>
    <w:p w14:paraId="265A4E98" w14:textId="77777777" w:rsidR="00FC0494" w:rsidRPr="000B75E4" w:rsidRDefault="00FC0494" w:rsidP="005658AC">
      <w:pPr>
        <w:pStyle w:val="Heading7"/>
      </w:pPr>
      <w:r w:rsidRPr="000B75E4">
        <w:t>Basal bolus regimen</w:t>
      </w:r>
    </w:p>
    <w:p w14:paraId="7185D929" w14:textId="77777777" w:rsidR="00FC0494" w:rsidRPr="000B75E4" w:rsidRDefault="00FC0494" w:rsidP="00FC0494">
      <w:pPr>
        <w:pStyle w:val="NoSpacing"/>
      </w:pPr>
      <w:r w:rsidRPr="000B75E4">
        <w:t>All type 1 diabetics should preferentially be managed with the “basal bolus regimen” i.e. combined intermediate acting (basal) and short acting insulin (bolus). This consists of pre-meal, short acting insulin and bedtime intermediate acting insulin not later than 22h00.</w:t>
      </w:r>
    </w:p>
    <w:p w14:paraId="1EDB905B" w14:textId="77777777" w:rsidR="00FC0494" w:rsidRPr="000B75E4" w:rsidRDefault="00FC0494" w:rsidP="00EE3E69">
      <w:r w:rsidRPr="000B75E4">
        <w:t>The initial total daily insulin dose:</w:t>
      </w:r>
    </w:p>
    <w:p w14:paraId="683DA5DC" w14:textId="77777777" w:rsidR="00FC0494" w:rsidRPr="000B75E4" w:rsidRDefault="00FC0494" w:rsidP="00EE3E69">
      <w:pPr>
        <w:pStyle w:val="BulletDirectionsInstructions"/>
      </w:pPr>
      <w:r w:rsidRPr="000B75E4">
        <w:t>0.6 units/kg body weight.</w:t>
      </w:r>
    </w:p>
    <w:p w14:paraId="3EECBA6D" w14:textId="77777777" w:rsidR="00FC0494" w:rsidRPr="000B75E4" w:rsidRDefault="00FC0494" w:rsidP="00EE3E69">
      <w:r w:rsidRPr="000B75E4">
        <w:t>The total dose is divided into:</w:t>
      </w:r>
    </w:p>
    <w:p w14:paraId="1AB8B274" w14:textId="77777777" w:rsidR="00FC0494" w:rsidRPr="000B75E4" w:rsidRDefault="00FC0494" w:rsidP="00EE3E69">
      <w:pPr>
        <w:pStyle w:val="BulletDirectionsInstructions"/>
      </w:pPr>
      <w:r w:rsidRPr="000B75E4">
        <w:t>40–50% basal insulin</w:t>
      </w:r>
    </w:p>
    <w:p w14:paraId="3AA2D13A" w14:textId="77777777" w:rsidR="00FC0494" w:rsidRPr="000B75E4" w:rsidRDefault="00FC0494" w:rsidP="00EE3E69">
      <w:pPr>
        <w:pStyle w:val="BulletDirectionsInstructions"/>
      </w:pPr>
      <w:r w:rsidRPr="000B75E4">
        <w:t>The rest as bolus insulin, split equally before each meal.</w:t>
      </w:r>
    </w:p>
    <w:p w14:paraId="4E99DA3C" w14:textId="77777777" w:rsidR="00FC0494" w:rsidRPr="000B75E4" w:rsidRDefault="00FC0494" w:rsidP="00F735F6">
      <w:r w:rsidRPr="000B75E4">
        <w:t>Adjust dose on an individual basis.</w:t>
      </w:r>
    </w:p>
    <w:p w14:paraId="22B10468" w14:textId="77777777" w:rsidR="00FC0494" w:rsidRPr="000B75E4" w:rsidRDefault="00FC0494" w:rsidP="005658AC">
      <w:pPr>
        <w:pStyle w:val="Heading7"/>
      </w:pPr>
      <w:r w:rsidRPr="000B75E4">
        <w:t>Pre-mixed insulin</w:t>
      </w:r>
    </w:p>
    <w:p w14:paraId="7C02CD70" w14:textId="6EF51B17" w:rsidR="00FC0494" w:rsidRPr="000B75E4" w:rsidRDefault="00FC0494" w:rsidP="00FC0494">
      <w:pPr>
        <w:pStyle w:val="NoSpacing"/>
      </w:pPr>
      <w:r w:rsidRPr="000B75E4">
        <w:t>Twice daily pre-mixed insulin, i.e. a mixture of intermediate- or short acting insulin provides adequate control when used with at least daily blood glucose monitoring. It is a practical option for patients who cannot monitor blood glucose frequently.</w:t>
      </w:r>
    </w:p>
    <w:p w14:paraId="435C383A" w14:textId="77777777" w:rsidR="00FC0494" w:rsidRPr="000B75E4" w:rsidRDefault="00FC0494" w:rsidP="00245061">
      <w:pPr>
        <w:pStyle w:val="Heading6"/>
      </w:pPr>
      <w:r w:rsidRPr="000B75E4">
        <w:t xml:space="preserve">Education related to insulin therapy </w:t>
      </w:r>
    </w:p>
    <w:p w14:paraId="43E5E96E" w14:textId="77777777" w:rsidR="00FC0494" w:rsidRPr="000B75E4" w:rsidRDefault="00FC0494" w:rsidP="00310305">
      <w:pPr>
        <w:pStyle w:val="ListParagraph"/>
      </w:pPr>
      <w:r w:rsidRPr="000B75E4">
        <w:t>Types of insulin.</w:t>
      </w:r>
    </w:p>
    <w:p w14:paraId="6638EB10" w14:textId="77777777" w:rsidR="00FC0494" w:rsidRPr="000B75E4" w:rsidRDefault="00FC0494" w:rsidP="00310305">
      <w:pPr>
        <w:pStyle w:val="ListParagraph"/>
      </w:pPr>
      <w:r w:rsidRPr="000B75E4">
        <w:t>Injection technique and sites of injection.</w:t>
      </w:r>
    </w:p>
    <w:p w14:paraId="309EB74E" w14:textId="77777777" w:rsidR="00FC0494" w:rsidRPr="000B75E4" w:rsidRDefault="00FC0494" w:rsidP="00310305">
      <w:pPr>
        <w:pStyle w:val="ListParagraph"/>
      </w:pPr>
      <w:r w:rsidRPr="000B75E4">
        <w:t>Insulin storage.</w:t>
      </w:r>
    </w:p>
    <w:p w14:paraId="53EAF3CA" w14:textId="77777777" w:rsidR="00FC0494" w:rsidRPr="000B75E4" w:rsidRDefault="00FC0494" w:rsidP="00310305">
      <w:pPr>
        <w:pStyle w:val="ListParagraph"/>
      </w:pPr>
      <w:r w:rsidRPr="000B75E4">
        <w:t>Recognition and treatment of acute complications, e.g. hypoglycaemia and hyperglycaemia.</w:t>
      </w:r>
    </w:p>
    <w:p w14:paraId="77977F05" w14:textId="77777777" w:rsidR="00FC0494" w:rsidRPr="000B75E4" w:rsidRDefault="00FC0494" w:rsidP="00310305">
      <w:pPr>
        <w:pStyle w:val="ListParagraph"/>
      </w:pPr>
      <w:r w:rsidRPr="000B75E4">
        <w:t>Diet:</w:t>
      </w:r>
    </w:p>
    <w:p w14:paraId="09F0DF93" w14:textId="77777777" w:rsidR="00FC0494" w:rsidRPr="000B75E4" w:rsidRDefault="00FC0494" w:rsidP="00807BB6">
      <w:pPr>
        <w:pStyle w:val="ListParagraph"/>
        <w:numPr>
          <w:ilvl w:val="1"/>
          <w:numId w:val="5"/>
        </w:numPr>
      </w:pPr>
      <w:r w:rsidRPr="000B75E4">
        <w:lastRenderedPageBreak/>
        <w:t>Meal frequency, as this varies according to the type and frequency of insulin, e.g. patients may need a snack at night, about 3–4 hours after the evening meal.</w:t>
      </w:r>
    </w:p>
    <w:p w14:paraId="78BDCE82" w14:textId="77777777" w:rsidR="00FC0494" w:rsidRPr="000B75E4" w:rsidRDefault="00FC0494" w:rsidP="00807BB6">
      <w:pPr>
        <w:pStyle w:val="ListParagraph"/>
        <w:numPr>
          <w:ilvl w:val="1"/>
          <w:numId w:val="5"/>
        </w:numPr>
      </w:pPr>
      <w:r w:rsidRPr="000B75E4">
        <w:t>Consistent carbohydrate intake for patient receiving fixed mealtime doses of insulin.</w:t>
      </w:r>
    </w:p>
    <w:p w14:paraId="24A855B4" w14:textId="77777777" w:rsidR="00FC0494" w:rsidRPr="000B75E4" w:rsidRDefault="00FC0494" w:rsidP="00310305">
      <w:pPr>
        <w:pStyle w:val="ListParagraph"/>
      </w:pPr>
      <w:r w:rsidRPr="000B75E4">
        <w:t>Self-monitoring of blood glucose and how to self-adjust insulin doses.</w:t>
      </w:r>
    </w:p>
    <w:p w14:paraId="56DA4602" w14:textId="77777777" w:rsidR="00FC0494" w:rsidRPr="000B75E4" w:rsidRDefault="00FC0494" w:rsidP="00807BB6">
      <w:pPr>
        <w:pStyle w:val="Heading7"/>
      </w:pPr>
      <w:r w:rsidRPr="000B75E4">
        <w:t>Drawing up insulin from vials</w:t>
      </w:r>
    </w:p>
    <w:p w14:paraId="0EBC9E4F" w14:textId="77777777" w:rsidR="00FC0494" w:rsidRPr="000B75E4" w:rsidRDefault="00FC0494" w:rsidP="004052AA">
      <w:pPr>
        <w:pStyle w:val="ListParagraph"/>
      </w:pPr>
      <w:r w:rsidRPr="000B75E4">
        <w:t>Clean the top of the insulin bottle with an antiseptic swab.</w:t>
      </w:r>
    </w:p>
    <w:p w14:paraId="7511FF88" w14:textId="77777777" w:rsidR="00FC0494" w:rsidRPr="000B75E4" w:rsidRDefault="00FC0494" w:rsidP="004052AA">
      <w:pPr>
        <w:pStyle w:val="ListParagraph"/>
      </w:pPr>
      <w:r w:rsidRPr="000B75E4">
        <w:t>Draw air into the syringe to the number of marks of insulin required and inject this into the bottle; then draw the required dose of insulin into the syringe.</w:t>
      </w:r>
    </w:p>
    <w:p w14:paraId="4E850582" w14:textId="77777777" w:rsidR="00FC0494" w:rsidRPr="000B75E4" w:rsidRDefault="00FC0494" w:rsidP="004052AA">
      <w:pPr>
        <w:pStyle w:val="ListParagraph"/>
      </w:pPr>
      <w:r w:rsidRPr="000B75E4">
        <w:t>Before withdrawing the needle from the insulin bottle, expel the air bubble if one has formed.</w:t>
      </w:r>
    </w:p>
    <w:p w14:paraId="58602DEA" w14:textId="77777777" w:rsidR="00FC0494" w:rsidRPr="000B75E4" w:rsidRDefault="00FC0494" w:rsidP="00807BB6">
      <w:pPr>
        <w:pStyle w:val="Heading7"/>
      </w:pPr>
      <w:r w:rsidRPr="000B75E4">
        <w:t>Injection technique</w:t>
      </w:r>
    </w:p>
    <w:p w14:paraId="7CCE5EF8" w14:textId="77777777" w:rsidR="00FC0494" w:rsidRPr="000B75E4" w:rsidRDefault="00FC0494" w:rsidP="004052AA">
      <w:pPr>
        <w:pStyle w:val="ListParagraph"/>
      </w:pPr>
      <w:r w:rsidRPr="000B75E4">
        <w:t xml:space="preserve">The skin need not be specially cleaned. </w:t>
      </w:r>
    </w:p>
    <w:p w14:paraId="141E3EB1" w14:textId="77777777" w:rsidR="00FC0494" w:rsidRPr="000B75E4" w:rsidRDefault="00FC0494" w:rsidP="004052AA">
      <w:pPr>
        <w:pStyle w:val="ListParagraph"/>
      </w:pPr>
      <w:r w:rsidRPr="000B75E4">
        <w:t xml:space="preserve">Repeated application of antiseptics hardens the skin. </w:t>
      </w:r>
    </w:p>
    <w:p w14:paraId="6757C3AC" w14:textId="5EED3402" w:rsidR="00FC0494" w:rsidRPr="000B75E4" w:rsidRDefault="00FC0494" w:rsidP="004052AA">
      <w:pPr>
        <w:pStyle w:val="ListParagraph"/>
      </w:pPr>
      <w:r w:rsidRPr="000B75E4">
        <w:t>Stretching the skin at the injection site is the best way to obtain a painless injection. In thin people</w:t>
      </w:r>
      <w:r w:rsidR="009018F3">
        <w:t>,</w:t>
      </w:r>
      <w:r w:rsidRPr="000B75E4">
        <w:t xml:space="preserve"> it may be necessary to pinch the skin between thumb and forefinger of one hand.</w:t>
      </w:r>
    </w:p>
    <w:p w14:paraId="2CFA803E" w14:textId="77777777" w:rsidR="00FC0494" w:rsidRPr="000B75E4" w:rsidRDefault="00FC0494" w:rsidP="004052AA">
      <w:pPr>
        <w:pStyle w:val="ListParagraph"/>
      </w:pPr>
      <w:r w:rsidRPr="000B75E4">
        <w:t>The needle should be inserted briskly at almost 90</w:t>
      </w:r>
      <w:r w:rsidRPr="000B75E4">
        <w:t> to the skin to almost its whole length (needles are usually 0.6–1.2 cm long).</w:t>
      </w:r>
    </w:p>
    <w:p w14:paraId="21168D70" w14:textId="77777777" w:rsidR="00FC0494" w:rsidRPr="000B75E4" w:rsidRDefault="00FC0494" w:rsidP="004052AA">
      <w:pPr>
        <w:pStyle w:val="ListParagraph"/>
      </w:pPr>
      <w:r w:rsidRPr="000B75E4">
        <w:t>Inject the insulin.</w:t>
      </w:r>
    </w:p>
    <w:p w14:paraId="793CBD07" w14:textId="77777777" w:rsidR="00FC0494" w:rsidRPr="000B75E4" w:rsidRDefault="00FC0494" w:rsidP="004052AA">
      <w:pPr>
        <w:pStyle w:val="ListParagraph"/>
      </w:pPr>
      <w:r w:rsidRPr="000B75E4">
        <w:t>To avoid insulin leakage, wait 5–10 seconds before withdrawing the needle.</w:t>
      </w:r>
    </w:p>
    <w:p w14:paraId="2A2CB05A" w14:textId="77777777" w:rsidR="00FC0494" w:rsidRPr="000B75E4" w:rsidRDefault="00FC0494" w:rsidP="004052AA">
      <w:pPr>
        <w:pStyle w:val="ListParagraph"/>
      </w:pPr>
      <w:r w:rsidRPr="000B75E4">
        <w:t xml:space="preserve">Injection sites must be rotated to avoid </w:t>
      </w:r>
      <w:proofErr w:type="spellStart"/>
      <w:r w:rsidRPr="000B75E4">
        <w:t>lipohypertrophy</w:t>
      </w:r>
      <w:proofErr w:type="spellEnd"/>
      <w:r w:rsidRPr="000B75E4">
        <w:t>.</w:t>
      </w:r>
    </w:p>
    <w:p w14:paraId="45D35A95" w14:textId="77777777" w:rsidR="00FC0494" w:rsidRPr="000B75E4" w:rsidRDefault="00FC0494" w:rsidP="00807BB6">
      <w:pPr>
        <w:pStyle w:val="Heading7"/>
      </w:pPr>
      <w:r w:rsidRPr="000B75E4">
        <w:t>Prefilled pens and cartridges</w:t>
      </w:r>
    </w:p>
    <w:p w14:paraId="5846DB9F" w14:textId="77777777" w:rsidR="00FC0494" w:rsidRPr="000B75E4" w:rsidRDefault="00FC0494" w:rsidP="00FC0494">
      <w:pPr>
        <w:pStyle w:val="NoSpacing"/>
      </w:pPr>
      <w:r w:rsidRPr="000B75E4">
        <w:t>In visually impaired patients and arthritic patients, prefilled pens and cartridges may be used.</w:t>
      </w:r>
    </w:p>
    <w:p w14:paraId="6EE880EE" w14:textId="77777777" w:rsidR="00FC0494" w:rsidRPr="000B75E4" w:rsidRDefault="00FC0494" w:rsidP="00807BB6">
      <w:pPr>
        <w:pStyle w:val="Heading7"/>
      </w:pPr>
      <w:r w:rsidRPr="000B75E4">
        <w:t>Home blood glucose monitoring</w:t>
      </w:r>
    </w:p>
    <w:p w14:paraId="68A72FAE" w14:textId="77777777" w:rsidR="00FC0494" w:rsidRPr="000B75E4" w:rsidRDefault="00FC0494" w:rsidP="00FC0494">
      <w:pPr>
        <w:pStyle w:val="NoSpacing"/>
      </w:pPr>
      <w:r w:rsidRPr="000B75E4">
        <w:t xml:space="preserve">Patients on basal/bolus insulin should measure glucose 3-4 times daily. </w:t>
      </w:r>
    </w:p>
    <w:tbl>
      <w:tblPr>
        <w:tblpPr w:leftFromText="180" w:rightFromText="180" w:vertAnchor="text" w:horzAnchor="margin" w:tblpXSpec="right" w:tblpY="40"/>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4052AA" w:rsidRPr="000B75E4" w14:paraId="3BEA56D4" w14:textId="77777777" w:rsidTr="004052AA">
        <w:tc>
          <w:tcPr>
            <w:tcW w:w="1134" w:type="dxa"/>
            <w:shd w:val="clear" w:color="auto" w:fill="auto"/>
          </w:tcPr>
          <w:p w14:paraId="6B231505" w14:textId="77777777" w:rsidR="004052AA" w:rsidRPr="000B75E4" w:rsidRDefault="004052AA" w:rsidP="004052AA">
            <w:pPr>
              <w:pStyle w:val="LoEText"/>
              <w:framePr w:hSpace="0" w:wrap="auto" w:vAnchor="margin" w:hAnchor="text" w:xAlign="left" w:yAlign="inline"/>
              <w:suppressOverlap w:val="0"/>
            </w:pPr>
            <w:proofErr w:type="spellStart"/>
            <w:proofErr w:type="gramStart"/>
            <w:r w:rsidRPr="000B75E4">
              <w:t>LoE:III</w:t>
            </w:r>
            <w:proofErr w:type="spellEnd"/>
            <w:proofErr w:type="gramEnd"/>
          </w:p>
        </w:tc>
      </w:tr>
    </w:tbl>
    <w:p w14:paraId="70DD24E9" w14:textId="77777777" w:rsidR="00FC0494" w:rsidRPr="000B75E4" w:rsidRDefault="00FC0494" w:rsidP="00FC0494">
      <w:pPr>
        <w:pStyle w:val="NoSpacing"/>
      </w:pPr>
      <w:r w:rsidRPr="000B75E4">
        <w:t>Once patient is stable, reduce the frequency of monitoring.</w:t>
      </w:r>
    </w:p>
    <w:p w14:paraId="09943183" w14:textId="77777777" w:rsidR="00FC0494" w:rsidRPr="000B75E4" w:rsidRDefault="00FC0494" w:rsidP="000E2D88">
      <w:pPr>
        <w:pStyle w:val="Heading5"/>
      </w:pPr>
      <w:r w:rsidRPr="000B75E4">
        <w:t>REFERRAL</w:t>
      </w:r>
    </w:p>
    <w:p w14:paraId="153C2D4F" w14:textId="77777777" w:rsidR="00FC0494" w:rsidRPr="000B75E4" w:rsidRDefault="00FC0494" w:rsidP="00FC0494">
      <w:pPr>
        <w:pStyle w:val="NoSpacing"/>
      </w:pPr>
      <w:r w:rsidRPr="000B75E4">
        <w:t>All patients.</w:t>
      </w:r>
    </w:p>
    <w:p w14:paraId="4422E4D2" w14:textId="77777777" w:rsidR="00FC0494" w:rsidRPr="000B75E4" w:rsidRDefault="00FC0494" w:rsidP="00FC0494">
      <w:pPr>
        <w:pStyle w:val="NoSpacing"/>
      </w:pPr>
    </w:p>
    <w:p w14:paraId="09B12C5A" w14:textId="5A62EE08" w:rsidR="00FC0494" w:rsidRPr="008056BF" w:rsidRDefault="008056BF" w:rsidP="008056BF">
      <w:pPr>
        <w:pStyle w:val="Heading2"/>
      </w:pPr>
      <w:bookmarkStart w:id="6" w:name="_Toc56695561"/>
      <w:r w:rsidRPr="008056BF">
        <w:t>Type 2 diabetes mellitus</w:t>
      </w:r>
      <w:bookmarkEnd w:id="6"/>
      <w:r w:rsidR="001D0DFE">
        <w:fldChar w:fldCharType="begin"/>
      </w:r>
      <w:r w:rsidR="001D0DFE">
        <w:instrText xml:space="preserve"> XE "</w:instrText>
      </w:r>
      <w:r w:rsidR="001D0DFE" w:rsidRPr="00ED0C31">
        <w:instrText>Type 2 diabetes mellitus</w:instrText>
      </w:r>
      <w:r w:rsidR="001D0DFE">
        <w:instrText xml:space="preserve">" </w:instrText>
      </w:r>
      <w:r w:rsidR="001D0DFE" w:rsidRPr="001D0DFE">
        <w:instrText>\f “c”</w:instrText>
      </w:r>
      <w:r w:rsidR="001D0DFE">
        <w:fldChar w:fldCharType="end"/>
      </w:r>
    </w:p>
    <w:p w14:paraId="6CFF26EC" w14:textId="77777777" w:rsidR="00FC0494" w:rsidRPr="000B75E4" w:rsidRDefault="00FC0494" w:rsidP="00FC0494">
      <w:pPr>
        <w:pStyle w:val="NoSpacing"/>
      </w:pPr>
    </w:p>
    <w:p w14:paraId="13852EB6" w14:textId="31DD1662" w:rsidR="00FC0494" w:rsidRPr="008056BF" w:rsidRDefault="008056BF" w:rsidP="008056BF">
      <w:pPr>
        <w:pStyle w:val="Heading3"/>
      </w:pPr>
      <w:bookmarkStart w:id="7" w:name="_Toc56695562"/>
      <w:r w:rsidRPr="008056BF">
        <w:t>Type 2</w:t>
      </w:r>
      <w:r w:rsidR="00FC0494" w:rsidRPr="008056BF">
        <w:t xml:space="preserve"> </w:t>
      </w:r>
      <w:r w:rsidRPr="008056BF">
        <w:t>diabetes mellitus, in adolescents</w:t>
      </w:r>
      <w:bookmarkEnd w:id="7"/>
      <w:r w:rsidR="001D0DFE">
        <w:fldChar w:fldCharType="begin"/>
      </w:r>
      <w:r w:rsidR="001D0DFE">
        <w:instrText xml:space="preserve"> XE "</w:instrText>
      </w:r>
      <w:r w:rsidR="001D0DFE" w:rsidRPr="00ED0C31">
        <w:instrText>Type 2 diabetes mellitus, in adolescents</w:instrText>
      </w:r>
      <w:r w:rsidR="001D0DFE">
        <w:instrText xml:space="preserve">" </w:instrText>
      </w:r>
      <w:r w:rsidR="001D0DFE" w:rsidRPr="001D0DFE">
        <w:instrText>\f “c”</w:instrText>
      </w:r>
      <w:r w:rsidR="001D0DFE">
        <w:fldChar w:fldCharType="end"/>
      </w:r>
    </w:p>
    <w:p w14:paraId="775DC312" w14:textId="77777777" w:rsidR="00FC0494" w:rsidRPr="000B75E4" w:rsidRDefault="00FC0494" w:rsidP="004A3D83">
      <w:pPr>
        <w:pStyle w:val="ICD10"/>
      </w:pPr>
      <w:r w:rsidRPr="000B75E4">
        <w:t>E11.9</w:t>
      </w:r>
    </w:p>
    <w:p w14:paraId="32F22EF1" w14:textId="77777777" w:rsidR="00FC0494" w:rsidRPr="000B75E4" w:rsidRDefault="00FC0494" w:rsidP="004A3D83">
      <w:pPr>
        <w:pStyle w:val="Heading5"/>
      </w:pPr>
      <w:r w:rsidRPr="000B75E4">
        <w:t>DESCRIPTION</w:t>
      </w:r>
    </w:p>
    <w:p w14:paraId="0FFF9E08" w14:textId="77777777" w:rsidR="00FC0494" w:rsidRPr="000B75E4" w:rsidRDefault="00FC0494" w:rsidP="00FC0494">
      <w:pPr>
        <w:pStyle w:val="NoSpacing"/>
      </w:pPr>
      <w:proofErr w:type="gramStart"/>
      <w:r w:rsidRPr="000B75E4">
        <w:t>The majority of</w:t>
      </w:r>
      <w:proofErr w:type="gramEnd"/>
      <w:r w:rsidRPr="000B75E4">
        <w:t xml:space="preserve"> adolescent diabetics are of type 1. However, an increasing number of adolescents are being diagnosed with type 2 diabetes mellitus. </w:t>
      </w:r>
    </w:p>
    <w:p w14:paraId="2BCFB8CE" w14:textId="77777777" w:rsidR="00FC0494" w:rsidRPr="000B75E4" w:rsidRDefault="00FC0494" w:rsidP="00F87451">
      <w:pPr>
        <w:pStyle w:val="Heading6"/>
      </w:pPr>
      <w:r w:rsidRPr="000B75E4">
        <w:t xml:space="preserve">Criteria for screening for diabetes in children </w:t>
      </w:r>
    </w:p>
    <w:p w14:paraId="5AF184FC" w14:textId="77777777" w:rsidR="00FC0494" w:rsidRPr="000B75E4" w:rsidRDefault="00FC0494" w:rsidP="00F87451">
      <w:pPr>
        <w:pStyle w:val="ListParagraph"/>
      </w:pPr>
      <w:r w:rsidRPr="000B75E4">
        <w:t>Body mass index &gt; 85th percentile for age and sex.</w:t>
      </w:r>
    </w:p>
    <w:p w14:paraId="7E87A2B1" w14:textId="77777777" w:rsidR="00FC0494" w:rsidRPr="000B75E4" w:rsidRDefault="00FC0494" w:rsidP="00F87451">
      <w:pPr>
        <w:pStyle w:val="ListParagraph"/>
      </w:pPr>
      <w:r w:rsidRPr="000B75E4">
        <w:lastRenderedPageBreak/>
        <w:t>Family history of type 2 diabetes mellitus.</w:t>
      </w:r>
    </w:p>
    <w:p w14:paraId="347956C3" w14:textId="77777777" w:rsidR="00FC0494" w:rsidRPr="000B75E4" w:rsidRDefault="00FC0494" w:rsidP="00F87451">
      <w:pPr>
        <w:pStyle w:val="ListParagraph"/>
      </w:pPr>
      <w:r w:rsidRPr="000B75E4">
        <w:t>Presence of hyperlipidaemia, hypertension or polycystic ovarian syndrome.</w:t>
      </w:r>
    </w:p>
    <w:p w14:paraId="2E02576D" w14:textId="77777777" w:rsidR="00FC0494" w:rsidRPr="00911B2B" w:rsidRDefault="00FC0494" w:rsidP="00FC0494">
      <w:pPr>
        <w:pStyle w:val="NoSpacing"/>
        <w:rPr>
          <w:rStyle w:val="Strong"/>
        </w:rPr>
      </w:pPr>
      <w:r w:rsidRPr="00911B2B">
        <w:rPr>
          <w:rStyle w:val="Strong"/>
        </w:rPr>
        <w:t>AND</w:t>
      </w:r>
    </w:p>
    <w:p w14:paraId="2AE0A93F" w14:textId="77777777" w:rsidR="00FC0494" w:rsidRPr="000B75E4" w:rsidRDefault="00FC0494" w:rsidP="00F87451">
      <w:pPr>
        <w:pStyle w:val="ListParagraph"/>
      </w:pPr>
      <w:r w:rsidRPr="000B75E4">
        <w:t>Physical signs of puberty or age &gt; 10 years of age.</w:t>
      </w:r>
    </w:p>
    <w:p w14:paraId="5B7EF13F" w14:textId="77777777" w:rsidR="00FC0494" w:rsidRPr="000B75E4" w:rsidRDefault="00FC0494" w:rsidP="004A3D83">
      <w:pPr>
        <w:pStyle w:val="Heading5"/>
      </w:pPr>
      <w:r w:rsidRPr="000B75E4">
        <w:t>DIAGNOSIS</w:t>
      </w:r>
    </w:p>
    <w:p w14:paraId="2FF9E5F7" w14:textId="77777777" w:rsidR="00FC0494" w:rsidRPr="000B75E4" w:rsidRDefault="00FC0494" w:rsidP="00F87451">
      <w:pPr>
        <w:pStyle w:val="ListParagraph"/>
      </w:pPr>
      <w:r w:rsidRPr="000B75E4">
        <w:t>Symptoms of diabetes plus a random blood glucose ≥ 11.1 mmol/L.</w:t>
      </w:r>
    </w:p>
    <w:p w14:paraId="20F7F3AC" w14:textId="77777777" w:rsidR="00FC0494" w:rsidRPr="000B75E4" w:rsidRDefault="00FC0494" w:rsidP="00911B2B">
      <w:pPr>
        <w:pStyle w:val="ListParagraph"/>
        <w:numPr>
          <w:ilvl w:val="1"/>
          <w:numId w:val="5"/>
        </w:numPr>
      </w:pPr>
      <w:r w:rsidRPr="000B75E4">
        <w:t>Random is defined as any time of day without regard to time since last meal.</w:t>
      </w:r>
    </w:p>
    <w:p w14:paraId="634BD723" w14:textId="4CF11A00" w:rsidR="00FC0494" w:rsidRPr="000B75E4" w:rsidRDefault="00FC0494" w:rsidP="00911B2B">
      <w:pPr>
        <w:pStyle w:val="ListParagraph"/>
        <w:numPr>
          <w:ilvl w:val="1"/>
          <w:numId w:val="5"/>
        </w:numPr>
      </w:pPr>
      <w:r w:rsidRPr="000B75E4">
        <w:t>Classic symptoms of diabetes mellitus include polyphagia, polyuria, polydipsia.</w:t>
      </w:r>
    </w:p>
    <w:p w14:paraId="6F8948C2" w14:textId="77777777" w:rsidR="00FC0494" w:rsidRPr="00911B2B" w:rsidRDefault="00FC0494" w:rsidP="00FC0494">
      <w:pPr>
        <w:pStyle w:val="NoSpacing"/>
        <w:rPr>
          <w:rStyle w:val="Strong"/>
        </w:rPr>
      </w:pPr>
      <w:r w:rsidRPr="00911B2B">
        <w:rPr>
          <w:rStyle w:val="Strong"/>
        </w:rPr>
        <w:t>OR</w:t>
      </w:r>
    </w:p>
    <w:p w14:paraId="00B91BAA" w14:textId="77777777" w:rsidR="00FC0494" w:rsidRPr="000B75E4" w:rsidRDefault="00FC0494" w:rsidP="00F87451">
      <w:pPr>
        <w:pStyle w:val="ListParagraph"/>
      </w:pPr>
      <w:r w:rsidRPr="000B75E4">
        <w:t xml:space="preserve">Fasting blood glucose ≥ 7.0 mmol/L. </w:t>
      </w:r>
    </w:p>
    <w:p w14:paraId="5866EC7F" w14:textId="77777777" w:rsidR="00FC0494" w:rsidRPr="000B75E4" w:rsidRDefault="00FC0494" w:rsidP="00911B2B">
      <w:pPr>
        <w:pStyle w:val="ListParagraph"/>
        <w:numPr>
          <w:ilvl w:val="1"/>
          <w:numId w:val="5"/>
        </w:numPr>
      </w:pPr>
      <w:r w:rsidRPr="000B75E4">
        <w:t>Fasting is defined as no caloric intake for ≥ 8 hours.</w:t>
      </w:r>
    </w:p>
    <w:p w14:paraId="7F8BB6A0" w14:textId="77777777" w:rsidR="00FC0494" w:rsidRPr="00911B2B" w:rsidRDefault="00FC0494" w:rsidP="00FC0494">
      <w:pPr>
        <w:pStyle w:val="NoSpacing"/>
        <w:rPr>
          <w:rStyle w:val="Strong"/>
        </w:rPr>
      </w:pPr>
      <w:r w:rsidRPr="00911B2B">
        <w:rPr>
          <w:rStyle w:val="Strong"/>
        </w:rPr>
        <w:t>OR</w:t>
      </w:r>
    </w:p>
    <w:tbl>
      <w:tblPr>
        <w:tblpPr w:leftFromText="180" w:rightFromText="180" w:vertAnchor="text" w:horzAnchor="margin" w:tblpXSpec="right" w:tblpY="3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911B2B" w:rsidRPr="000B75E4" w14:paraId="11E27CEE" w14:textId="77777777" w:rsidTr="00911B2B">
        <w:tc>
          <w:tcPr>
            <w:tcW w:w="1134" w:type="dxa"/>
            <w:shd w:val="clear" w:color="auto" w:fill="auto"/>
          </w:tcPr>
          <w:p w14:paraId="451A0299" w14:textId="77777777" w:rsidR="00911B2B" w:rsidRPr="000B75E4" w:rsidRDefault="00911B2B" w:rsidP="00911B2B">
            <w:pPr>
              <w:pStyle w:val="LoEText"/>
              <w:framePr w:hSpace="0" w:wrap="auto" w:vAnchor="margin" w:hAnchor="text" w:xAlign="left" w:yAlign="inline"/>
              <w:suppressOverlap w:val="0"/>
            </w:pPr>
            <w:proofErr w:type="spellStart"/>
            <w:proofErr w:type="gramStart"/>
            <w:r w:rsidRPr="000B75E4">
              <w:t>LoE:III</w:t>
            </w:r>
            <w:proofErr w:type="spellEnd"/>
            <w:proofErr w:type="gramEnd"/>
            <w:r w:rsidRPr="00911B2B">
              <w:rPr>
                <w:rStyle w:val="EndnoteReference"/>
                <w:sz w:val="16"/>
                <w:szCs w:val="16"/>
              </w:rPr>
              <w:endnoteReference w:id="3"/>
            </w:r>
          </w:p>
        </w:tc>
      </w:tr>
    </w:tbl>
    <w:p w14:paraId="2DEA1269" w14:textId="62F01F7C" w:rsidR="00FC0494" w:rsidRPr="000B75E4" w:rsidRDefault="00FC0494" w:rsidP="00F87451">
      <w:pPr>
        <w:pStyle w:val="ListParagraph"/>
      </w:pPr>
      <w:r w:rsidRPr="000B75E4">
        <w:t>2-hour plasma glucose in a 75 g oral glucose tolerance test ≥</w:t>
      </w:r>
      <w:r w:rsidR="009018F3">
        <w:t xml:space="preserve"> </w:t>
      </w:r>
      <w:r w:rsidRPr="000B75E4">
        <w:t xml:space="preserve">11.1 mmol/l. </w:t>
      </w:r>
    </w:p>
    <w:p w14:paraId="55198133" w14:textId="77777777" w:rsidR="00FC0494" w:rsidRPr="000B75E4" w:rsidRDefault="00FC0494" w:rsidP="00911B2B">
      <w:r w:rsidRPr="000B75E4">
        <w:t>It is difficult to distinguish type 2 from type 1 diabetes mellitus, as many type 1 diabetics may be overweight, or have a family history of type 2 diabetes mellitus, given the increasing prevalence of both obesity and type 2 diabetes mellitus. The diagnosis of type 2 diabetes mellitus in adolescents should be made in consultation with a specialist.</w:t>
      </w:r>
    </w:p>
    <w:p w14:paraId="61F6C623" w14:textId="77777777" w:rsidR="00FC0494" w:rsidRPr="000B75E4" w:rsidRDefault="00FC0494" w:rsidP="004A3D83">
      <w:pPr>
        <w:pStyle w:val="Heading5"/>
      </w:pPr>
      <w:r w:rsidRPr="000B75E4">
        <w:t>REFERRAL</w:t>
      </w:r>
    </w:p>
    <w:p w14:paraId="531C0B93" w14:textId="77777777" w:rsidR="00FC0494" w:rsidRPr="000B75E4" w:rsidRDefault="00FC0494" w:rsidP="00FC0494">
      <w:pPr>
        <w:pStyle w:val="NoSpacing"/>
      </w:pPr>
      <w:r w:rsidRPr="000B75E4">
        <w:t>All patients.</w:t>
      </w:r>
    </w:p>
    <w:p w14:paraId="75F4DE97" w14:textId="77777777" w:rsidR="00FC0494" w:rsidRPr="000B75E4" w:rsidRDefault="00FC0494" w:rsidP="00FC0494">
      <w:pPr>
        <w:pStyle w:val="NoSpacing"/>
      </w:pPr>
    </w:p>
    <w:p w14:paraId="4E0C3F0A" w14:textId="35D11F89" w:rsidR="00FC0494" w:rsidRPr="00B705E8" w:rsidRDefault="00B705E8" w:rsidP="00B705E8">
      <w:pPr>
        <w:pStyle w:val="Heading3"/>
      </w:pPr>
      <w:bookmarkStart w:id="8" w:name="_Toc56695563"/>
      <w:r w:rsidRPr="00B705E8">
        <w:t>Type 2</w:t>
      </w:r>
      <w:r w:rsidR="00FC0494" w:rsidRPr="00B705E8">
        <w:t xml:space="preserve"> </w:t>
      </w:r>
      <w:r w:rsidRPr="00B705E8">
        <w:t>diabetes mellitus, adults</w:t>
      </w:r>
      <w:bookmarkEnd w:id="8"/>
      <w:r w:rsidR="001D0DFE">
        <w:fldChar w:fldCharType="begin"/>
      </w:r>
      <w:r w:rsidR="001D0DFE">
        <w:instrText xml:space="preserve"> XE "</w:instrText>
      </w:r>
      <w:r w:rsidR="001D0DFE" w:rsidRPr="00ED0C31">
        <w:instrText>Type 2 diabetes mellitus, adults</w:instrText>
      </w:r>
      <w:r w:rsidR="001D0DFE">
        <w:instrText xml:space="preserve">" </w:instrText>
      </w:r>
      <w:r w:rsidR="001D0DFE" w:rsidRPr="001D0DFE">
        <w:instrText>\f “c”</w:instrText>
      </w:r>
      <w:r w:rsidR="001D0DFE">
        <w:fldChar w:fldCharType="end"/>
      </w:r>
    </w:p>
    <w:p w14:paraId="65B12859" w14:textId="24D85448" w:rsidR="00FC0494" w:rsidRPr="000B75E4" w:rsidRDefault="00FC0494" w:rsidP="00E00D3A">
      <w:pPr>
        <w:pStyle w:val="ICD10"/>
      </w:pPr>
      <w:r w:rsidRPr="000B75E4">
        <w:t>E11.9</w:t>
      </w:r>
    </w:p>
    <w:p w14:paraId="5865D132" w14:textId="77777777" w:rsidR="00FC0494" w:rsidRPr="000B75E4" w:rsidRDefault="00FC0494" w:rsidP="00013D84">
      <w:pPr>
        <w:pStyle w:val="Heading5"/>
      </w:pPr>
      <w:r w:rsidRPr="000B75E4">
        <w:t>DESCRIPTION</w:t>
      </w:r>
    </w:p>
    <w:p w14:paraId="55175676" w14:textId="77777777" w:rsidR="00FC0494" w:rsidRPr="000B75E4" w:rsidRDefault="00FC0494" w:rsidP="00FC0494">
      <w:pPr>
        <w:pStyle w:val="NoSpacing"/>
      </w:pPr>
      <w:r w:rsidRPr="000B75E4">
        <w:t>Type 2 diabetes mellitus is a chronic debilitating metabolic disease characterised by hyperglycaemia with serious acute and chronic complications. It is an important component of the metabolic syndrome (see Section 9.5.1: Obesity in diabetes).</w:t>
      </w:r>
    </w:p>
    <w:p w14:paraId="7B5CCAE6" w14:textId="77777777" w:rsidR="00FC0494" w:rsidRPr="000B75E4" w:rsidRDefault="00FC0494" w:rsidP="00FC0494">
      <w:pPr>
        <w:pStyle w:val="NoSpacing"/>
      </w:pPr>
      <w:r w:rsidRPr="000B75E4">
        <w:t>Most type 2 diabetes mellitus adults are overweight with a high waist to hip ratio.</w:t>
      </w:r>
    </w:p>
    <w:p w14:paraId="31E0D82F" w14:textId="6CBBD225" w:rsidR="00FC0494" w:rsidRPr="000B75E4" w:rsidRDefault="00FC0494" w:rsidP="00FC0494">
      <w:pPr>
        <w:pStyle w:val="NoSpacing"/>
      </w:pPr>
      <w:r w:rsidRPr="000B75E4">
        <w:t>In adults</w:t>
      </w:r>
      <w:r w:rsidR="00A919DA">
        <w:t>,</w:t>
      </w:r>
      <w:r w:rsidRPr="000B75E4">
        <w:t xml:space="preserve"> the condition might be diagnosed when presenting with complications, e.g.:</w:t>
      </w:r>
    </w:p>
    <w:tbl>
      <w:tblPr>
        <w:tblW w:w="0" w:type="auto"/>
        <w:tblLook w:val="04A0" w:firstRow="1" w:lastRow="0" w:firstColumn="1" w:lastColumn="0" w:noHBand="0" w:noVBand="1"/>
      </w:tblPr>
      <w:tblGrid>
        <w:gridCol w:w="3340"/>
        <w:gridCol w:w="3349"/>
      </w:tblGrid>
      <w:tr w:rsidR="00FC0494" w:rsidRPr="000B75E4" w14:paraId="23E14BEA" w14:textId="77777777" w:rsidTr="007B5A6A">
        <w:tc>
          <w:tcPr>
            <w:tcW w:w="3453" w:type="dxa"/>
          </w:tcPr>
          <w:p w14:paraId="19D25C04" w14:textId="77777777" w:rsidR="00FC0494" w:rsidRPr="000B75E4" w:rsidRDefault="00FC0494" w:rsidP="00A65D9D">
            <w:pPr>
              <w:pStyle w:val="ListParagraph"/>
            </w:pPr>
            <w:r w:rsidRPr="000B75E4">
              <w:t>ischaemic heart disease</w:t>
            </w:r>
          </w:p>
        </w:tc>
        <w:tc>
          <w:tcPr>
            <w:tcW w:w="3453" w:type="dxa"/>
          </w:tcPr>
          <w:p w14:paraId="3620D03C" w14:textId="77777777" w:rsidR="00FC0494" w:rsidRPr="000B75E4" w:rsidRDefault="00FC0494" w:rsidP="00A65D9D">
            <w:pPr>
              <w:pStyle w:val="ListParagraph"/>
            </w:pPr>
            <w:r w:rsidRPr="000B75E4">
              <w:t>deteriorating eyesight</w:t>
            </w:r>
          </w:p>
        </w:tc>
      </w:tr>
      <w:tr w:rsidR="00FC0494" w:rsidRPr="000B75E4" w14:paraId="6D98AEC2" w14:textId="77777777" w:rsidTr="007B5A6A">
        <w:tc>
          <w:tcPr>
            <w:tcW w:w="3453" w:type="dxa"/>
          </w:tcPr>
          <w:p w14:paraId="152A19BD" w14:textId="77777777" w:rsidR="00FC0494" w:rsidRPr="000B75E4" w:rsidRDefault="00FC0494" w:rsidP="00A65D9D">
            <w:pPr>
              <w:pStyle w:val="ListParagraph"/>
            </w:pPr>
            <w:r w:rsidRPr="000B75E4">
              <w:t>peripheral artery disease</w:t>
            </w:r>
          </w:p>
        </w:tc>
        <w:tc>
          <w:tcPr>
            <w:tcW w:w="3453" w:type="dxa"/>
          </w:tcPr>
          <w:p w14:paraId="0B2A3750" w14:textId="77777777" w:rsidR="00FC0494" w:rsidRPr="000B75E4" w:rsidRDefault="00FC0494" w:rsidP="00A65D9D">
            <w:pPr>
              <w:pStyle w:val="ListParagraph"/>
            </w:pPr>
            <w:r w:rsidRPr="000B75E4">
              <w:t>foot ulcers</w:t>
            </w:r>
          </w:p>
        </w:tc>
      </w:tr>
      <w:tr w:rsidR="00FC0494" w:rsidRPr="000B75E4" w14:paraId="28BEBDE3" w14:textId="77777777" w:rsidTr="007B5A6A">
        <w:tc>
          <w:tcPr>
            <w:tcW w:w="3453" w:type="dxa"/>
          </w:tcPr>
          <w:p w14:paraId="1575393F" w14:textId="77777777" w:rsidR="00FC0494" w:rsidRPr="000B75E4" w:rsidRDefault="00FC0494" w:rsidP="00A65D9D">
            <w:pPr>
              <w:pStyle w:val="ListParagraph"/>
            </w:pPr>
            <w:r w:rsidRPr="000B75E4">
              <w:t>stroke</w:t>
            </w:r>
          </w:p>
        </w:tc>
        <w:tc>
          <w:tcPr>
            <w:tcW w:w="3453" w:type="dxa"/>
          </w:tcPr>
          <w:p w14:paraId="4D21E799" w14:textId="77777777" w:rsidR="00FC0494" w:rsidRPr="000B75E4" w:rsidRDefault="00FC0494" w:rsidP="00A65D9D">
            <w:pPr>
              <w:pStyle w:val="ListParagraph"/>
            </w:pPr>
            <w:r w:rsidRPr="000B75E4">
              <w:t>erectile dysfunction</w:t>
            </w:r>
          </w:p>
        </w:tc>
      </w:tr>
    </w:tbl>
    <w:p w14:paraId="3FF1A8F1" w14:textId="77777777" w:rsidR="00FC0494" w:rsidRPr="000B75E4" w:rsidRDefault="00FC0494" w:rsidP="00013D84">
      <w:pPr>
        <w:pStyle w:val="Heading5"/>
      </w:pPr>
      <w:r w:rsidRPr="000B75E4">
        <w:t>CLINICAL PRESENTATION</w:t>
      </w:r>
    </w:p>
    <w:p w14:paraId="34EB06BC" w14:textId="77777777" w:rsidR="00FC0494" w:rsidRPr="000B75E4" w:rsidRDefault="00FC0494" w:rsidP="00FC0494">
      <w:pPr>
        <w:pStyle w:val="NoSpacing"/>
      </w:pPr>
      <w:r w:rsidRPr="000B75E4">
        <w:t>Symptoms of hyperglycaemia are:</w:t>
      </w:r>
    </w:p>
    <w:p w14:paraId="376E2454" w14:textId="77777777" w:rsidR="00FC0494" w:rsidRPr="000B75E4" w:rsidRDefault="00FC0494" w:rsidP="00A65D9D">
      <w:pPr>
        <w:pStyle w:val="ListParagraph"/>
      </w:pPr>
      <w:r w:rsidRPr="000B75E4">
        <w:t>thirst, especially noticed at night</w:t>
      </w:r>
    </w:p>
    <w:p w14:paraId="17746FAD" w14:textId="77777777" w:rsidR="00FC0494" w:rsidRPr="000B75E4" w:rsidRDefault="00FC0494" w:rsidP="00A65D9D">
      <w:pPr>
        <w:pStyle w:val="ListParagraph"/>
      </w:pPr>
      <w:r w:rsidRPr="000B75E4">
        <w:t>polyuria</w:t>
      </w:r>
    </w:p>
    <w:p w14:paraId="68ED0C6C" w14:textId="77777777" w:rsidR="00FC0494" w:rsidRPr="000B75E4" w:rsidRDefault="00FC0494" w:rsidP="00A65D9D">
      <w:pPr>
        <w:pStyle w:val="ListParagraph"/>
      </w:pPr>
      <w:r w:rsidRPr="000B75E4">
        <w:t xml:space="preserve">tiredness </w:t>
      </w:r>
    </w:p>
    <w:p w14:paraId="69027D7F" w14:textId="77777777" w:rsidR="00FC0494" w:rsidRPr="000B75E4" w:rsidRDefault="00FC0494" w:rsidP="00A65D9D">
      <w:pPr>
        <w:pStyle w:val="ListParagraph"/>
      </w:pPr>
      <w:r w:rsidRPr="000B75E4">
        <w:t>periodic changes in vision due to fluctuations in blood glucose concentration</w:t>
      </w:r>
    </w:p>
    <w:p w14:paraId="1F95716B" w14:textId="77777777" w:rsidR="00FC0494" w:rsidRPr="000B75E4" w:rsidRDefault="00FC0494" w:rsidP="00A65D9D">
      <w:pPr>
        <w:pStyle w:val="ListParagraph"/>
      </w:pPr>
      <w:r w:rsidRPr="000B75E4">
        <w:t>susceptibility to infections, especially of the urinary tract, respiratory tract and skin</w:t>
      </w:r>
    </w:p>
    <w:p w14:paraId="432CC826" w14:textId="77777777" w:rsidR="00FC0494" w:rsidRPr="000B75E4" w:rsidRDefault="00FC0494" w:rsidP="00FC0494">
      <w:pPr>
        <w:pStyle w:val="NoSpacing"/>
      </w:pPr>
      <w:r w:rsidRPr="00A65D9D">
        <w:rPr>
          <w:rStyle w:val="Strong"/>
        </w:rPr>
        <w:t>Note:</w:t>
      </w:r>
      <w:r w:rsidRPr="000B75E4">
        <w:t xml:space="preserve"> It is important to distinguish type 2 diabetes mellitus from type 1diabetes mellitus.</w:t>
      </w:r>
    </w:p>
    <w:p w14:paraId="28072F13" w14:textId="77777777" w:rsidR="00FC0494" w:rsidRPr="000B75E4" w:rsidRDefault="00FC0494" w:rsidP="00FC0494">
      <w:pPr>
        <w:pStyle w:val="NoSpacing"/>
      </w:pPr>
      <w:r w:rsidRPr="000B75E4">
        <w:t>Suspect type 1 diabetes mellitus among younger patients with excessive weight loss and/or ketoacidosis.</w:t>
      </w:r>
    </w:p>
    <w:p w14:paraId="0EF0AF19" w14:textId="77777777" w:rsidR="00FC0494" w:rsidRPr="000B75E4" w:rsidRDefault="00FC0494" w:rsidP="00013D84">
      <w:pPr>
        <w:pStyle w:val="Heading5"/>
      </w:pPr>
      <w:r w:rsidRPr="000B75E4">
        <w:lastRenderedPageBreak/>
        <w:t>DIAGNOSIS</w:t>
      </w:r>
    </w:p>
    <w:p w14:paraId="427A0974" w14:textId="77777777" w:rsidR="00FC0494" w:rsidRPr="000B75E4" w:rsidRDefault="00FC0494" w:rsidP="00CC309C">
      <w:pPr>
        <w:pStyle w:val="ListParagraph"/>
      </w:pPr>
      <w:r w:rsidRPr="000B75E4">
        <w:t>Symptoms of diabetes plus a random blood glucose ≥ 11.1 mmol/L.</w:t>
      </w:r>
    </w:p>
    <w:p w14:paraId="5EC989E5" w14:textId="77777777" w:rsidR="00FC0494" w:rsidRPr="000B75E4" w:rsidRDefault="00FC0494" w:rsidP="00CC309C">
      <w:pPr>
        <w:pStyle w:val="ListParagraph"/>
        <w:numPr>
          <w:ilvl w:val="1"/>
          <w:numId w:val="5"/>
        </w:numPr>
      </w:pPr>
      <w:r w:rsidRPr="000B75E4">
        <w:t>Random is defined as any time of day without regard to time since last meal.</w:t>
      </w:r>
    </w:p>
    <w:p w14:paraId="74BBFF76" w14:textId="77777777" w:rsidR="00FC0494" w:rsidRPr="00857F45" w:rsidRDefault="00FC0494" w:rsidP="00FC0494">
      <w:pPr>
        <w:pStyle w:val="NoSpacing"/>
        <w:rPr>
          <w:rStyle w:val="Strong"/>
        </w:rPr>
      </w:pPr>
      <w:r w:rsidRPr="00857F45">
        <w:rPr>
          <w:rStyle w:val="Strong"/>
        </w:rPr>
        <w:t>OR</w:t>
      </w:r>
    </w:p>
    <w:p w14:paraId="6B4459EF" w14:textId="77777777" w:rsidR="00FC0494" w:rsidRPr="000B75E4" w:rsidRDefault="00FC0494" w:rsidP="00CC309C">
      <w:pPr>
        <w:pStyle w:val="ListParagraph"/>
      </w:pPr>
      <w:r w:rsidRPr="000B75E4">
        <w:t xml:space="preserve">Fasting blood glucose ≥ 7.0 mmol/L. </w:t>
      </w:r>
    </w:p>
    <w:p w14:paraId="383B20A2" w14:textId="77777777" w:rsidR="00FC0494" w:rsidRPr="000B75E4" w:rsidRDefault="00FC0494" w:rsidP="00CC309C">
      <w:pPr>
        <w:pStyle w:val="ListParagraph"/>
        <w:numPr>
          <w:ilvl w:val="1"/>
          <w:numId w:val="5"/>
        </w:numPr>
      </w:pPr>
      <w:r w:rsidRPr="000B75E4">
        <w:t>Fasting is defined as no caloric intake for ≥ 8 hours.</w:t>
      </w:r>
    </w:p>
    <w:p w14:paraId="4F5FB59A" w14:textId="77777777" w:rsidR="00FC0494" w:rsidRPr="00857F45" w:rsidRDefault="00FC0494" w:rsidP="00FC0494">
      <w:pPr>
        <w:pStyle w:val="NoSpacing"/>
        <w:rPr>
          <w:rStyle w:val="Strong"/>
        </w:rPr>
      </w:pPr>
      <w:r w:rsidRPr="00857F45">
        <w:rPr>
          <w:rStyle w:val="Strong"/>
        </w:rPr>
        <w:t>OR</w:t>
      </w:r>
    </w:p>
    <w:p w14:paraId="25C6AB1D" w14:textId="7C79C47B" w:rsidR="00FC0494" w:rsidRPr="000B75E4" w:rsidRDefault="00FC0494" w:rsidP="00CC309C">
      <w:pPr>
        <w:pStyle w:val="ListParagraph"/>
      </w:pPr>
      <w:r w:rsidRPr="000B75E4">
        <w:t>2-hour plasma glucose in a 75 g oral glucose tolerance test ≥</w:t>
      </w:r>
      <w:r w:rsidR="00A919DA">
        <w:t xml:space="preserve"> </w:t>
      </w:r>
      <w:r w:rsidRPr="000B75E4">
        <w:t>11.1 mmol/l.</w:t>
      </w:r>
    </w:p>
    <w:tbl>
      <w:tblPr>
        <w:tblpPr w:leftFromText="180" w:rightFromText="180" w:vertAnchor="text" w:horzAnchor="margin" w:tblpXSpec="right" w:tblpY="22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857F45" w:rsidRPr="000B75E4" w14:paraId="1512425D" w14:textId="77777777" w:rsidTr="00857F45">
        <w:tc>
          <w:tcPr>
            <w:tcW w:w="1134" w:type="dxa"/>
            <w:shd w:val="clear" w:color="auto" w:fill="auto"/>
          </w:tcPr>
          <w:p w14:paraId="3B505D26" w14:textId="77777777" w:rsidR="00857F45" w:rsidRPr="000B75E4" w:rsidRDefault="00857F45" w:rsidP="00857F45">
            <w:pPr>
              <w:pStyle w:val="LoEText"/>
              <w:framePr w:hSpace="0" w:wrap="auto" w:vAnchor="margin" w:hAnchor="text" w:xAlign="left" w:yAlign="inline"/>
              <w:suppressOverlap w:val="0"/>
            </w:pPr>
            <w:proofErr w:type="spellStart"/>
            <w:proofErr w:type="gramStart"/>
            <w:r w:rsidRPr="000B75E4">
              <w:t>LoE:III</w:t>
            </w:r>
            <w:proofErr w:type="spellEnd"/>
            <w:proofErr w:type="gramEnd"/>
            <w:r w:rsidRPr="00857F45">
              <w:rPr>
                <w:rStyle w:val="EndnoteReference"/>
                <w:sz w:val="16"/>
                <w:szCs w:val="16"/>
              </w:rPr>
              <w:endnoteReference w:id="4"/>
            </w:r>
          </w:p>
        </w:tc>
      </w:tr>
    </w:tbl>
    <w:p w14:paraId="519F4D07" w14:textId="77777777" w:rsidR="00FC0494" w:rsidRPr="000B75E4" w:rsidRDefault="00FC0494" w:rsidP="00FC0494">
      <w:pPr>
        <w:pStyle w:val="NoSpacing"/>
      </w:pPr>
      <w:r w:rsidRPr="00857F45">
        <w:rPr>
          <w:rStyle w:val="Strong"/>
        </w:rPr>
        <w:t>Note:</w:t>
      </w:r>
      <w:r w:rsidRPr="000B75E4">
        <w:t xml:space="preserve"> If screening and not symptomatic: 2 positive tests done on separate days are required for diagnosis. </w:t>
      </w:r>
    </w:p>
    <w:p w14:paraId="38B292AC" w14:textId="77777777" w:rsidR="00FC0494" w:rsidRPr="000B75E4" w:rsidRDefault="00FC0494" w:rsidP="00013D84">
      <w:pPr>
        <w:pStyle w:val="Heading5"/>
      </w:pPr>
      <w:r w:rsidRPr="000B75E4">
        <w:t>MONITORING</w:t>
      </w:r>
    </w:p>
    <w:p w14:paraId="35B1A24F" w14:textId="77777777" w:rsidR="00FC0494" w:rsidRPr="000B75E4" w:rsidRDefault="00FC0494" w:rsidP="00086387">
      <w:pPr>
        <w:pStyle w:val="Heading7"/>
      </w:pPr>
      <w:r w:rsidRPr="000B75E4">
        <w:t>At every visit:</w:t>
      </w:r>
    </w:p>
    <w:p w14:paraId="7AAC71A9" w14:textId="77777777" w:rsidR="00FC0494" w:rsidRPr="000B75E4" w:rsidRDefault="00FC0494" w:rsidP="00086387">
      <w:pPr>
        <w:pStyle w:val="ListParagraph"/>
      </w:pPr>
      <w:r w:rsidRPr="000B75E4">
        <w:t>Finger-prick blood glucose.</w:t>
      </w:r>
    </w:p>
    <w:p w14:paraId="44914CBE" w14:textId="77777777" w:rsidR="00FC0494" w:rsidRPr="000B75E4" w:rsidRDefault="00FC0494" w:rsidP="00086387">
      <w:pPr>
        <w:pStyle w:val="ListParagraph"/>
      </w:pPr>
      <w:r w:rsidRPr="000B75E4">
        <w:t>Weight.</w:t>
      </w:r>
    </w:p>
    <w:p w14:paraId="1539E1AE" w14:textId="77777777" w:rsidR="00FC0494" w:rsidRPr="000B75E4" w:rsidRDefault="00FC0494" w:rsidP="00086387">
      <w:pPr>
        <w:pStyle w:val="ListParagraph"/>
      </w:pPr>
      <w:r w:rsidRPr="000B75E4">
        <w:t>Blood pressure.</w:t>
      </w:r>
    </w:p>
    <w:p w14:paraId="7D2474A2" w14:textId="77777777" w:rsidR="00FC0494" w:rsidRPr="000B75E4" w:rsidRDefault="00FC0494" w:rsidP="00086387">
      <w:pPr>
        <w:pStyle w:val="Heading7"/>
      </w:pPr>
      <w:r w:rsidRPr="000B75E4">
        <w:t>Baseline:</w:t>
      </w:r>
    </w:p>
    <w:p w14:paraId="7A9B6A3A" w14:textId="77777777" w:rsidR="00FC0494" w:rsidRPr="000B75E4" w:rsidRDefault="00FC0494" w:rsidP="00086387">
      <w:pPr>
        <w:pStyle w:val="ListParagraph"/>
      </w:pPr>
      <w:r w:rsidRPr="000B75E4">
        <w:t>Serum creatinine concentration (and calculate eGFR).</w:t>
      </w:r>
    </w:p>
    <w:p w14:paraId="37472B2E" w14:textId="2D1AAD5F" w:rsidR="00FC0494" w:rsidRPr="000B75E4" w:rsidRDefault="00FC0494" w:rsidP="00086387">
      <w:pPr>
        <w:pStyle w:val="ListParagraph"/>
      </w:pPr>
      <w:r w:rsidRPr="000B75E4">
        <w:t>Serum potassium concentration, if on ACE-inhibitor</w:t>
      </w:r>
      <w:r w:rsidR="00572DA9">
        <w:fldChar w:fldCharType="begin"/>
      </w:r>
      <w:r w:rsidR="001D0DFE">
        <w:instrText xml:space="preserve"> XE "ACE-inhibitor" \f "m"</w:instrText>
      </w:r>
      <w:r w:rsidR="00572DA9">
        <w:instrText xml:space="preserve"> </w:instrText>
      </w:r>
      <w:r w:rsidR="00572DA9">
        <w:fldChar w:fldCharType="end"/>
      </w:r>
      <w:r w:rsidRPr="000B75E4">
        <w:t xml:space="preserve"> or eGFR &lt; 30 mL/min.</w:t>
      </w:r>
    </w:p>
    <w:p w14:paraId="40506425" w14:textId="77777777" w:rsidR="00FC0494" w:rsidRPr="000B75E4" w:rsidRDefault="00FC0494" w:rsidP="00086387">
      <w:pPr>
        <w:pStyle w:val="ListParagraph"/>
      </w:pPr>
      <w:r w:rsidRPr="000B75E4">
        <w:t xml:space="preserve">Urine protein by </w:t>
      </w:r>
      <w:proofErr w:type="spellStart"/>
      <w:r w:rsidRPr="000B75E4">
        <w:t>dipstix</w:t>
      </w:r>
      <w:proofErr w:type="spellEnd"/>
      <w:r w:rsidRPr="000B75E4">
        <w:t>.</w:t>
      </w:r>
    </w:p>
    <w:p w14:paraId="671EB083" w14:textId="27C082CB" w:rsidR="00FC0494" w:rsidRPr="000B75E4" w:rsidRDefault="00FC0494" w:rsidP="00D46B6E">
      <w:pPr>
        <w:pStyle w:val="ListParagraph"/>
        <w:numPr>
          <w:ilvl w:val="1"/>
          <w:numId w:val="5"/>
        </w:numPr>
      </w:pPr>
      <w:r w:rsidRPr="000B75E4">
        <w:t xml:space="preserve">If </w:t>
      </w:r>
      <w:proofErr w:type="spellStart"/>
      <w:r w:rsidRPr="000B75E4">
        <w:t>dipstix</w:t>
      </w:r>
      <w:proofErr w:type="spellEnd"/>
      <w:r w:rsidRPr="000B75E4">
        <w:t xml:space="preserve"> negative, send urine to laboratory for albumin: creatinine ratio, unless already on an ACE-inhibitor</w:t>
      </w:r>
      <w:r w:rsidR="00572DA9">
        <w:fldChar w:fldCharType="begin"/>
      </w:r>
      <w:r w:rsidR="001D0DFE">
        <w:instrText xml:space="preserve"> XE "ACE-inhibitor" \f "m"</w:instrText>
      </w:r>
      <w:r w:rsidR="00572DA9">
        <w:instrText xml:space="preserve"> </w:instrText>
      </w:r>
      <w:r w:rsidR="00572DA9">
        <w:fldChar w:fldCharType="end"/>
      </w:r>
      <w:r w:rsidRPr="000B75E4">
        <w:t>. (See Section 9.4.3: Diabetic nephropathy).</w:t>
      </w:r>
    </w:p>
    <w:p w14:paraId="1F667FF6" w14:textId="77777777" w:rsidR="00FC0494" w:rsidRPr="000B75E4" w:rsidRDefault="00FC0494" w:rsidP="00D46B6E">
      <w:pPr>
        <w:pStyle w:val="ListParagraph"/>
        <w:numPr>
          <w:ilvl w:val="1"/>
          <w:numId w:val="5"/>
        </w:numPr>
      </w:pPr>
      <w:r w:rsidRPr="000B75E4">
        <w:t xml:space="preserve">If </w:t>
      </w:r>
      <w:proofErr w:type="spellStart"/>
      <w:r w:rsidRPr="000B75E4">
        <w:t>dipstix</w:t>
      </w:r>
      <w:proofErr w:type="spellEnd"/>
      <w:r w:rsidRPr="000B75E4">
        <w:t xml:space="preserve"> positive, see Section 9.4.3: Diabetic nephropathy.</w:t>
      </w:r>
    </w:p>
    <w:p w14:paraId="3A47C933" w14:textId="77777777" w:rsidR="00FC0494" w:rsidRPr="000B75E4" w:rsidRDefault="00FC0494" w:rsidP="00086387">
      <w:pPr>
        <w:pStyle w:val="ListParagraph"/>
      </w:pPr>
      <w:r w:rsidRPr="000B75E4">
        <w:t>BMI for cardiovascular risk assessment if appropriate (See Section 4.1: Prevention of ischaemic heart disease and atherosclerosis).</w:t>
      </w:r>
    </w:p>
    <w:p w14:paraId="6EFE7248" w14:textId="77777777" w:rsidR="00FC0494" w:rsidRPr="000B75E4" w:rsidRDefault="00FC0494" w:rsidP="00086387">
      <w:pPr>
        <w:pStyle w:val="ListParagraph"/>
      </w:pPr>
      <w:r w:rsidRPr="000B75E4">
        <w:t>Blood lipids (fasting total cholesterol, triglycerides, HDL and LDL cholesterol).</w:t>
      </w:r>
    </w:p>
    <w:p w14:paraId="32731C4F" w14:textId="77777777" w:rsidR="00FC0494" w:rsidRPr="000B75E4" w:rsidRDefault="00FC0494" w:rsidP="00086387">
      <w:pPr>
        <w:pStyle w:val="ListParagraph"/>
      </w:pPr>
      <w:r w:rsidRPr="000B75E4">
        <w:t>Foot examination.</w:t>
      </w:r>
    </w:p>
    <w:p w14:paraId="0511C8C3" w14:textId="77777777" w:rsidR="00FC0494" w:rsidRPr="000B75E4" w:rsidRDefault="00FC0494" w:rsidP="00086387">
      <w:pPr>
        <w:pStyle w:val="ListParagraph"/>
      </w:pPr>
      <w:r w:rsidRPr="000B75E4">
        <w:t>Eye examination to look for retinopathy.</w:t>
      </w:r>
    </w:p>
    <w:p w14:paraId="164F8DF3" w14:textId="77777777" w:rsidR="00FC0494" w:rsidRPr="000B75E4" w:rsidRDefault="00FC0494" w:rsidP="00086387">
      <w:pPr>
        <w:pStyle w:val="ListParagraph"/>
      </w:pPr>
      <w:r w:rsidRPr="000B75E4">
        <w:t>Abdominal circumference.</w:t>
      </w:r>
    </w:p>
    <w:p w14:paraId="3ADDA4C4" w14:textId="77777777" w:rsidR="00FC0494" w:rsidRPr="000B75E4" w:rsidRDefault="00FC0494" w:rsidP="00086387">
      <w:pPr>
        <w:pStyle w:val="Heading7"/>
      </w:pPr>
      <w:r w:rsidRPr="000B75E4">
        <w:t>Annually:</w:t>
      </w:r>
    </w:p>
    <w:p w14:paraId="6406C7F2" w14:textId="77777777" w:rsidR="00FC0494" w:rsidRPr="000B75E4" w:rsidRDefault="00FC0494" w:rsidP="00086387">
      <w:pPr>
        <w:pStyle w:val="ListParagraph"/>
      </w:pPr>
      <w:r w:rsidRPr="000B75E4">
        <w:t>Serum creatinine concentration (and calculate eGFR).</w:t>
      </w:r>
    </w:p>
    <w:p w14:paraId="73317976" w14:textId="3576A600" w:rsidR="00FC0494" w:rsidRPr="000B75E4" w:rsidRDefault="00FC0494" w:rsidP="00086387">
      <w:pPr>
        <w:pStyle w:val="ListParagraph"/>
      </w:pPr>
      <w:r w:rsidRPr="000B75E4">
        <w:t>Serum potassium concentration, if on ACE-inhibitor</w:t>
      </w:r>
      <w:r w:rsidR="00572DA9">
        <w:fldChar w:fldCharType="begin"/>
      </w:r>
      <w:r w:rsidR="001D0DFE">
        <w:instrText xml:space="preserve"> XE "ACE-inhibitor" \f "m"</w:instrText>
      </w:r>
      <w:r w:rsidR="00572DA9">
        <w:instrText xml:space="preserve"> </w:instrText>
      </w:r>
      <w:r w:rsidR="00572DA9">
        <w:fldChar w:fldCharType="end"/>
      </w:r>
      <w:r w:rsidRPr="000B75E4">
        <w:t xml:space="preserve"> or eGFR &lt; 30 mL/min.</w:t>
      </w:r>
    </w:p>
    <w:p w14:paraId="4C0D88F2" w14:textId="77777777" w:rsidR="00FC0494" w:rsidRPr="000B75E4" w:rsidRDefault="00FC0494" w:rsidP="00086387">
      <w:pPr>
        <w:pStyle w:val="ListParagraph"/>
      </w:pPr>
      <w:r w:rsidRPr="000B75E4">
        <w:t xml:space="preserve">Urine protein by </w:t>
      </w:r>
      <w:proofErr w:type="spellStart"/>
      <w:r w:rsidRPr="000B75E4">
        <w:t>dipstix</w:t>
      </w:r>
      <w:proofErr w:type="spellEnd"/>
      <w:r w:rsidRPr="000B75E4">
        <w:t>.</w:t>
      </w:r>
    </w:p>
    <w:p w14:paraId="3E4B871A" w14:textId="4118138F" w:rsidR="00FC0494" w:rsidRPr="000B75E4" w:rsidRDefault="00FC0494" w:rsidP="00D46B6E">
      <w:pPr>
        <w:pStyle w:val="ListParagraph"/>
        <w:numPr>
          <w:ilvl w:val="1"/>
          <w:numId w:val="5"/>
        </w:numPr>
      </w:pPr>
      <w:r w:rsidRPr="000B75E4">
        <w:t xml:space="preserve">If </w:t>
      </w:r>
      <w:proofErr w:type="spellStart"/>
      <w:r w:rsidRPr="000B75E4">
        <w:t>dipstix</w:t>
      </w:r>
      <w:proofErr w:type="spellEnd"/>
      <w:r w:rsidRPr="000B75E4">
        <w:t xml:space="preserve"> negative, send urine to laboratory for albumin: creatinine ratio, unless already on an ACE-inhibitor</w:t>
      </w:r>
      <w:r w:rsidR="00572DA9">
        <w:fldChar w:fldCharType="begin"/>
      </w:r>
      <w:r w:rsidR="001D0DFE">
        <w:instrText xml:space="preserve"> XE "ACE-inhibitor" \f "m"</w:instrText>
      </w:r>
      <w:r w:rsidR="00572DA9">
        <w:instrText xml:space="preserve"> </w:instrText>
      </w:r>
      <w:r w:rsidR="00572DA9">
        <w:fldChar w:fldCharType="end"/>
      </w:r>
      <w:r w:rsidRPr="000B75E4">
        <w:t>. (See Section 9.4.3: Diabetic nephropathy.)</w:t>
      </w:r>
    </w:p>
    <w:p w14:paraId="728ACC74" w14:textId="77777777" w:rsidR="00FC0494" w:rsidRPr="000B75E4" w:rsidRDefault="00FC0494" w:rsidP="00086387">
      <w:pPr>
        <w:pStyle w:val="ListParagraph"/>
      </w:pPr>
      <w:r w:rsidRPr="000B75E4">
        <w:t>HbA1c, in patients who meet treatment goals (3–6 monthly in patients whose therapy has changed, until stable).</w:t>
      </w:r>
    </w:p>
    <w:p w14:paraId="51D28071" w14:textId="77777777" w:rsidR="00FC0494" w:rsidRPr="000B75E4" w:rsidRDefault="00FC0494" w:rsidP="00086387">
      <w:pPr>
        <w:pStyle w:val="ListParagraph"/>
      </w:pPr>
      <w:r w:rsidRPr="000B75E4">
        <w:t>Eye examination to look for retinopathy.</w:t>
      </w:r>
    </w:p>
    <w:p w14:paraId="13964419" w14:textId="77777777" w:rsidR="00FC0494" w:rsidRPr="000B75E4" w:rsidRDefault="00FC0494" w:rsidP="00086387">
      <w:pPr>
        <w:pStyle w:val="ListParagraph"/>
      </w:pPr>
      <w:r w:rsidRPr="000B75E4">
        <w:t>Foot examination.</w:t>
      </w:r>
    </w:p>
    <w:p w14:paraId="6F25A2E2" w14:textId="77777777" w:rsidR="00FC0494" w:rsidRPr="000B75E4" w:rsidRDefault="00FC0494" w:rsidP="00013D84">
      <w:pPr>
        <w:pStyle w:val="Heading5"/>
      </w:pPr>
      <w:r w:rsidRPr="000B75E4">
        <w:lastRenderedPageBreak/>
        <w:t>TARGETS FOR CONTROL</w:t>
      </w:r>
    </w:p>
    <w:p w14:paraId="11E6BB14" w14:textId="77777777" w:rsidR="00FC0494" w:rsidRPr="000B75E4" w:rsidRDefault="00FC0494" w:rsidP="00DA30E2">
      <w:pPr>
        <w:pStyle w:val="Heading6"/>
      </w:pPr>
      <w:r w:rsidRPr="000B75E4">
        <w:t>Glycaemic targets for control:</w:t>
      </w:r>
    </w:p>
    <w:tbl>
      <w:tblPr>
        <w:tblStyle w:val="SamplePHCTable"/>
        <w:tblW w:w="5000" w:type="pct"/>
        <w:tblLook w:val="04A0" w:firstRow="1" w:lastRow="0" w:firstColumn="1" w:lastColumn="0" w:noHBand="0" w:noVBand="1"/>
      </w:tblPr>
      <w:tblGrid>
        <w:gridCol w:w="2105"/>
        <w:gridCol w:w="1233"/>
        <w:gridCol w:w="1612"/>
        <w:gridCol w:w="1729"/>
      </w:tblGrid>
      <w:tr w:rsidR="00FC0494" w:rsidRPr="000B75E4" w14:paraId="691988C0" w14:textId="77777777" w:rsidTr="00DA30E2">
        <w:trPr>
          <w:cnfStyle w:val="100000000000" w:firstRow="1" w:lastRow="0" w:firstColumn="0" w:lastColumn="0" w:oddVBand="0" w:evenVBand="0" w:oddHBand="0" w:evenHBand="0" w:firstRowFirstColumn="0" w:firstRowLastColumn="0" w:lastRowFirstColumn="0" w:lastRowLastColumn="0"/>
        </w:trPr>
        <w:tc>
          <w:tcPr>
            <w:tcW w:w="1576" w:type="pct"/>
          </w:tcPr>
          <w:p w14:paraId="5BA3B539" w14:textId="77777777" w:rsidR="00FC0494" w:rsidRPr="000B75E4" w:rsidRDefault="00FC0494" w:rsidP="007B5A6A">
            <w:pPr>
              <w:pStyle w:val="NoSpacing"/>
            </w:pPr>
            <w:r w:rsidRPr="000B75E4">
              <w:t>Patient type</w:t>
            </w:r>
          </w:p>
        </w:tc>
        <w:tc>
          <w:tcPr>
            <w:tcW w:w="923" w:type="pct"/>
          </w:tcPr>
          <w:p w14:paraId="326C2612" w14:textId="77777777" w:rsidR="00FC0494" w:rsidRPr="000B75E4" w:rsidRDefault="00FC0494" w:rsidP="007B5A6A">
            <w:pPr>
              <w:pStyle w:val="NoSpacing"/>
            </w:pPr>
            <w:r w:rsidRPr="000B75E4">
              <w:t>Target HbA1c</w:t>
            </w:r>
          </w:p>
        </w:tc>
        <w:tc>
          <w:tcPr>
            <w:tcW w:w="1207" w:type="pct"/>
          </w:tcPr>
          <w:p w14:paraId="79FD5C9F" w14:textId="77777777" w:rsidR="00FC0494" w:rsidRPr="000B75E4" w:rsidRDefault="00FC0494" w:rsidP="007B5A6A">
            <w:pPr>
              <w:pStyle w:val="NoSpacing"/>
            </w:pPr>
            <w:r w:rsidRPr="000B75E4">
              <w:t>Target FBG*</w:t>
            </w:r>
          </w:p>
        </w:tc>
        <w:tc>
          <w:tcPr>
            <w:tcW w:w="1295" w:type="pct"/>
          </w:tcPr>
          <w:p w14:paraId="07D74909" w14:textId="77777777" w:rsidR="00FC0494" w:rsidRPr="000B75E4" w:rsidRDefault="00FC0494" w:rsidP="007B5A6A">
            <w:pPr>
              <w:pStyle w:val="NoSpacing"/>
            </w:pPr>
            <w:r w:rsidRPr="000B75E4">
              <w:t>Target PPG*</w:t>
            </w:r>
          </w:p>
        </w:tc>
      </w:tr>
      <w:tr w:rsidR="00FC0494" w:rsidRPr="000B75E4" w14:paraId="03088253" w14:textId="77777777" w:rsidTr="00DA30E2">
        <w:tc>
          <w:tcPr>
            <w:tcW w:w="1576" w:type="pct"/>
          </w:tcPr>
          <w:p w14:paraId="13A02D95" w14:textId="77777777" w:rsidR="00FC0494" w:rsidRPr="000B75E4" w:rsidRDefault="00FC0494" w:rsidP="00CB57CC">
            <w:pPr>
              <w:pStyle w:val="ListParagraph"/>
              <w:jc w:val="left"/>
            </w:pPr>
            <w:r w:rsidRPr="000B75E4">
              <w:t>Young, low risk</w:t>
            </w:r>
          </w:p>
          <w:p w14:paraId="03015BF7" w14:textId="77777777" w:rsidR="00FC0494" w:rsidRPr="000B75E4" w:rsidRDefault="00FC0494" w:rsidP="00CB57CC">
            <w:pPr>
              <w:pStyle w:val="ListParagraph"/>
              <w:jc w:val="left"/>
            </w:pPr>
            <w:r w:rsidRPr="000B75E4">
              <w:t>Newly diagnosed</w:t>
            </w:r>
          </w:p>
          <w:p w14:paraId="6631B3FF" w14:textId="77777777" w:rsidR="00FC0494" w:rsidRPr="000B75E4" w:rsidRDefault="00FC0494" w:rsidP="00CB57CC">
            <w:pPr>
              <w:pStyle w:val="ListParagraph"/>
              <w:jc w:val="left"/>
            </w:pPr>
            <w:r w:rsidRPr="000B75E4">
              <w:t>No CVS disease</w:t>
            </w:r>
          </w:p>
        </w:tc>
        <w:tc>
          <w:tcPr>
            <w:tcW w:w="923" w:type="pct"/>
            <w:vAlign w:val="center"/>
          </w:tcPr>
          <w:p w14:paraId="73B0D9A8" w14:textId="270714D0" w:rsidR="00FC0494" w:rsidRPr="000B75E4" w:rsidRDefault="00FC0494" w:rsidP="00DA30E2">
            <w:pPr>
              <w:pStyle w:val="NoSpacing"/>
              <w:jc w:val="left"/>
            </w:pPr>
            <w:r w:rsidRPr="000B75E4">
              <w:t>&lt; 6.5%</w:t>
            </w:r>
          </w:p>
        </w:tc>
        <w:tc>
          <w:tcPr>
            <w:tcW w:w="1207" w:type="pct"/>
            <w:vAlign w:val="center"/>
          </w:tcPr>
          <w:p w14:paraId="6F780C21" w14:textId="77777777" w:rsidR="00FC0494" w:rsidRPr="000B75E4" w:rsidRDefault="00FC0494" w:rsidP="00DA30E2">
            <w:pPr>
              <w:pStyle w:val="NoSpacing"/>
              <w:jc w:val="left"/>
            </w:pPr>
            <w:r w:rsidRPr="000B75E4">
              <w:t>4.0–7.0 mmol/L</w:t>
            </w:r>
          </w:p>
        </w:tc>
        <w:tc>
          <w:tcPr>
            <w:tcW w:w="1295" w:type="pct"/>
            <w:vAlign w:val="center"/>
          </w:tcPr>
          <w:p w14:paraId="30B74CC2" w14:textId="77777777" w:rsidR="00FC0494" w:rsidRPr="000B75E4" w:rsidRDefault="00FC0494" w:rsidP="00DA30E2">
            <w:pPr>
              <w:pStyle w:val="NoSpacing"/>
              <w:jc w:val="left"/>
            </w:pPr>
            <w:r w:rsidRPr="000B75E4">
              <w:t>4.4–7.8 mmol/L</w:t>
            </w:r>
          </w:p>
        </w:tc>
      </w:tr>
      <w:tr w:rsidR="00FC0494" w:rsidRPr="000B75E4" w14:paraId="46E7B7E9" w14:textId="77777777" w:rsidTr="00DA30E2">
        <w:tc>
          <w:tcPr>
            <w:tcW w:w="1576" w:type="pct"/>
          </w:tcPr>
          <w:p w14:paraId="787C6771" w14:textId="77777777" w:rsidR="00FC0494" w:rsidRPr="000B75E4" w:rsidRDefault="00FC0494" w:rsidP="00CB57CC">
            <w:pPr>
              <w:pStyle w:val="ListParagraph"/>
              <w:jc w:val="left"/>
            </w:pPr>
            <w:r w:rsidRPr="000B75E4">
              <w:t>Majority of patients</w:t>
            </w:r>
          </w:p>
        </w:tc>
        <w:tc>
          <w:tcPr>
            <w:tcW w:w="923" w:type="pct"/>
            <w:vAlign w:val="center"/>
          </w:tcPr>
          <w:p w14:paraId="57994A38" w14:textId="77777777" w:rsidR="00FC0494" w:rsidRPr="000B75E4" w:rsidRDefault="00FC0494" w:rsidP="00DA30E2">
            <w:pPr>
              <w:pStyle w:val="NoSpacing"/>
              <w:jc w:val="left"/>
            </w:pPr>
            <w:r w:rsidRPr="000B75E4">
              <w:t>&lt; 7.0%</w:t>
            </w:r>
          </w:p>
        </w:tc>
        <w:tc>
          <w:tcPr>
            <w:tcW w:w="1207" w:type="pct"/>
            <w:vAlign w:val="center"/>
          </w:tcPr>
          <w:p w14:paraId="2EC133F7" w14:textId="77777777" w:rsidR="00FC0494" w:rsidRPr="000B75E4" w:rsidRDefault="00FC0494" w:rsidP="00DA30E2">
            <w:pPr>
              <w:pStyle w:val="NoSpacing"/>
              <w:jc w:val="left"/>
            </w:pPr>
            <w:r w:rsidRPr="000B75E4">
              <w:t>4.0–7.0 mmol/L</w:t>
            </w:r>
          </w:p>
        </w:tc>
        <w:tc>
          <w:tcPr>
            <w:tcW w:w="1295" w:type="pct"/>
            <w:vAlign w:val="center"/>
          </w:tcPr>
          <w:p w14:paraId="44F35A9B" w14:textId="77777777" w:rsidR="00FC0494" w:rsidRPr="000B75E4" w:rsidRDefault="00FC0494" w:rsidP="00DA30E2">
            <w:pPr>
              <w:pStyle w:val="NoSpacing"/>
              <w:jc w:val="left"/>
            </w:pPr>
            <w:r w:rsidRPr="000B75E4">
              <w:t>5.0–10.0 mmol/L</w:t>
            </w:r>
          </w:p>
        </w:tc>
      </w:tr>
      <w:tr w:rsidR="00FC0494" w:rsidRPr="000B75E4" w14:paraId="31CDF725" w14:textId="77777777" w:rsidTr="00DA30E2">
        <w:tc>
          <w:tcPr>
            <w:tcW w:w="1576" w:type="pct"/>
          </w:tcPr>
          <w:p w14:paraId="42874A0C" w14:textId="77777777" w:rsidR="00FC0494" w:rsidRPr="000B75E4" w:rsidRDefault="00FC0494" w:rsidP="00CB57CC">
            <w:pPr>
              <w:pStyle w:val="ListParagraph"/>
              <w:jc w:val="left"/>
            </w:pPr>
            <w:r w:rsidRPr="000B75E4">
              <w:t>Elderly</w:t>
            </w:r>
          </w:p>
          <w:p w14:paraId="5B30977C" w14:textId="77777777" w:rsidR="00FC0494" w:rsidRPr="000B75E4" w:rsidRDefault="00FC0494" w:rsidP="00CB57CC">
            <w:pPr>
              <w:pStyle w:val="ListParagraph"/>
              <w:jc w:val="left"/>
            </w:pPr>
            <w:r w:rsidRPr="000B75E4">
              <w:t>High risk</w:t>
            </w:r>
          </w:p>
          <w:p w14:paraId="723043D0" w14:textId="77777777" w:rsidR="00FC0494" w:rsidRPr="000B75E4" w:rsidRDefault="00FC0494" w:rsidP="00CB57CC">
            <w:pPr>
              <w:pStyle w:val="ListParagraph"/>
              <w:jc w:val="left"/>
            </w:pPr>
            <w:r w:rsidRPr="000B75E4">
              <w:t>Hypoglycaemic unawareness</w:t>
            </w:r>
          </w:p>
          <w:p w14:paraId="40A6859D" w14:textId="77777777" w:rsidR="00FC0494" w:rsidRPr="000B75E4" w:rsidRDefault="00FC0494" w:rsidP="00CB57CC">
            <w:pPr>
              <w:pStyle w:val="ListParagraph"/>
              <w:jc w:val="left"/>
            </w:pPr>
            <w:r w:rsidRPr="000B75E4">
              <w:t>Poor short-term prognosis</w:t>
            </w:r>
          </w:p>
        </w:tc>
        <w:tc>
          <w:tcPr>
            <w:tcW w:w="923" w:type="pct"/>
            <w:vAlign w:val="center"/>
          </w:tcPr>
          <w:p w14:paraId="12BD3B07" w14:textId="22208F76" w:rsidR="00FC0494" w:rsidRPr="000B75E4" w:rsidRDefault="00FC0494" w:rsidP="00DA30E2">
            <w:pPr>
              <w:pStyle w:val="NoSpacing"/>
              <w:jc w:val="left"/>
            </w:pPr>
            <w:r w:rsidRPr="000B75E4">
              <w:t>&lt; 7.5%</w:t>
            </w:r>
          </w:p>
        </w:tc>
        <w:tc>
          <w:tcPr>
            <w:tcW w:w="1207" w:type="pct"/>
            <w:vAlign w:val="center"/>
          </w:tcPr>
          <w:p w14:paraId="6A91BA45" w14:textId="77777777" w:rsidR="00FC0494" w:rsidRPr="000B75E4" w:rsidRDefault="00FC0494" w:rsidP="00DA30E2">
            <w:pPr>
              <w:pStyle w:val="NoSpacing"/>
              <w:jc w:val="left"/>
            </w:pPr>
            <w:r w:rsidRPr="000B75E4">
              <w:t>4.0–7.0 mmol/L</w:t>
            </w:r>
          </w:p>
        </w:tc>
        <w:tc>
          <w:tcPr>
            <w:tcW w:w="1295" w:type="pct"/>
            <w:vAlign w:val="center"/>
          </w:tcPr>
          <w:p w14:paraId="6F5BDA2E" w14:textId="77777777" w:rsidR="00FC0494" w:rsidRPr="000B75E4" w:rsidRDefault="00FC0494" w:rsidP="00DA30E2">
            <w:pPr>
              <w:pStyle w:val="NoSpacing"/>
              <w:jc w:val="left"/>
            </w:pPr>
            <w:r w:rsidRPr="000B75E4">
              <w:t>&lt; 12.0 mmol/L</w:t>
            </w:r>
          </w:p>
        </w:tc>
      </w:tr>
    </w:tbl>
    <w:p w14:paraId="458F1797" w14:textId="77777777" w:rsidR="00FC0494" w:rsidRPr="00951E97" w:rsidRDefault="00FC0494" w:rsidP="00951E97">
      <w:pPr>
        <w:rPr>
          <w:rStyle w:val="Strong"/>
        </w:rPr>
      </w:pPr>
      <w:r w:rsidRPr="00951E97">
        <w:rPr>
          <w:rStyle w:val="Strong"/>
        </w:rPr>
        <w:t>*FBG: fasting blood glucose; PPG: post-prandial plasma glucose.</w:t>
      </w:r>
    </w:p>
    <w:p w14:paraId="23DA1217" w14:textId="77777777" w:rsidR="00FC0494" w:rsidRPr="000B75E4" w:rsidRDefault="00FC0494" w:rsidP="00951E97">
      <w:pPr>
        <w:pStyle w:val="ListParagraph"/>
      </w:pPr>
      <w:r w:rsidRPr="000B75E4">
        <w:t>In the elderly, the increased risk of hypoglycaemia must be weighed against the potential benefit of reducing microvascular and macrovascular complications.</w:t>
      </w:r>
    </w:p>
    <w:p w14:paraId="7FF4C57B" w14:textId="77777777" w:rsidR="00FC0494" w:rsidRPr="000B75E4" w:rsidRDefault="00FC0494" w:rsidP="00951E97">
      <w:pPr>
        <w:pStyle w:val="ListParagraph"/>
      </w:pPr>
      <w:r w:rsidRPr="000B75E4">
        <w:t>Prevent acute complications, e.g. hyperglycaemic and hypoglycaemic coma.</w:t>
      </w:r>
    </w:p>
    <w:p w14:paraId="492B6697" w14:textId="77777777" w:rsidR="00FC0494" w:rsidRPr="000B75E4" w:rsidRDefault="00FC0494" w:rsidP="00595AA7">
      <w:pPr>
        <w:pStyle w:val="Heading6"/>
      </w:pPr>
      <w:r w:rsidRPr="000B75E4">
        <w:t>Non-glycaemic targets:</w:t>
      </w:r>
    </w:p>
    <w:p w14:paraId="210B7D4F" w14:textId="77777777" w:rsidR="00FC0494" w:rsidRPr="000B75E4" w:rsidRDefault="00FC0494" w:rsidP="00595AA7">
      <w:pPr>
        <w:pStyle w:val="ListParagraph"/>
      </w:pPr>
      <w:r w:rsidRPr="000B75E4">
        <w:t>Body mass index ≤ 25 kg/m2.</w:t>
      </w:r>
    </w:p>
    <w:p w14:paraId="50D2F9FE" w14:textId="77777777" w:rsidR="00FC0494" w:rsidRPr="000B75E4" w:rsidRDefault="00FC0494" w:rsidP="00595AA7">
      <w:pPr>
        <w:pStyle w:val="ListParagraph"/>
      </w:pPr>
      <w:r w:rsidRPr="000B75E4">
        <w:t>BP ≤ 140/90 mmHg and ≥ 120/70 mmHg.</w:t>
      </w:r>
    </w:p>
    <w:p w14:paraId="0B985842" w14:textId="77777777" w:rsidR="00FC0494" w:rsidRPr="000B75E4" w:rsidRDefault="00FC0494" w:rsidP="00595AA7">
      <w:r w:rsidRPr="000B75E4">
        <w:t>Management of type 2 diabetes mellitus includes:</w:t>
      </w:r>
    </w:p>
    <w:p w14:paraId="6E7EA5EE" w14:textId="77777777" w:rsidR="00FC0494" w:rsidRPr="000B75E4" w:rsidRDefault="00FC0494" w:rsidP="00595AA7">
      <w:pPr>
        <w:pStyle w:val="ListParagraph"/>
      </w:pPr>
      <w:r w:rsidRPr="000B75E4">
        <w:t>Treatment of hyperglycaemia.</w:t>
      </w:r>
    </w:p>
    <w:p w14:paraId="0BB08005" w14:textId="77777777" w:rsidR="00FC0494" w:rsidRPr="000B75E4" w:rsidRDefault="00FC0494" w:rsidP="00595AA7">
      <w:pPr>
        <w:pStyle w:val="ListParagraph"/>
      </w:pPr>
      <w:r w:rsidRPr="000B75E4">
        <w:t xml:space="preserve">Management of chronic conditions associated with diabetes. For treatment of hypertension and dyslipidaemia after risk-assessment, see Section 4.7: Hypertension and Section 4.1: Prevention of Ischaemic heart disease and atherosclerosis. </w:t>
      </w:r>
    </w:p>
    <w:p w14:paraId="0D2BEA4E" w14:textId="77777777" w:rsidR="00FC0494" w:rsidRPr="000B75E4" w:rsidRDefault="00FC0494" w:rsidP="00595AA7">
      <w:pPr>
        <w:pStyle w:val="ListParagraph"/>
      </w:pPr>
      <w:r w:rsidRPr="000B75E4">
        <w:t>Prevention and treatment of microvascular complications. See Section 9.4: Microvascular complications of diabetes.</w:t>
      </w:r>
    </w:p>
    <w:p w14:paraId="68C8656F" w14:textId="77777777" w:rsidR="00FC0494" w:rsidRPr="000B75E4" w:rsidRDefault="00FC0494" w:rsidP="00595AA7">
      <w:pPr>
        <w:pStyle w:val="ListParagraph"/>
      </w:pPr>
      <w:r w:rsidRPr="000B75E4">
        <w:t>Prevention and treatment of macrovascular complications. See Section 9.5: Cardiovascular risk in diabetes.</w:t>
      </w:r>
    </w:p>
    <w:p w14:paraId="6D26FBBB" w14:textId="77777777" w:rsidR="00FC0494" w:rsidRPr="000B75E4" w:rsidRDefault="00FC0494" w:rsidP="00013D84">
      <w:pPr>
        <w:pStyle w:val="Heading5"/>
      </w:pPr>
      <w:r w:rsidRPr="000B75E4">
        <w:t>GENERAL MEASURES</w:t>
      </w:r>
    </w:p>
    <w:p w14:paraId="0B9427A7" w14:textId="77777777" w:rsidR="00FC0494" w:rsidRPr="000B75E4" w:rsidRDefault="00FC0494" w:rsidP="00595AA7">
      <w:pPr>
        <w:pStyle w:val="ListParagraph"/>
      </w:pPr>
      <w:r w:rsidRPr="000B75E4">
        <w:t>Lifestyle modification, including self-care practices.</w:t>
      </w:r>
    </w:p>
    <w:p w14:paraId="4DC1E8BD" w14:textId="77777777" w:rsidR="00FC0494" w:rsidRPr="000B75E4" w:rsidRDefault="00FC0494" w:rsidP="00595AA7">
      <w:pPr>
        <w:pStyle w:val="ListParagraph"/>
      </w:pPr>
      <w:r w:rsidRPr="000B75E4">
        <w:t>Refer to a dietician if available for annual follow-up.</w:t>
      </w:r>
    </w:p>
    <w:p w14:paraId="230A87E8" w14:textId="77777777" w:rsidR="00FC0494" w:rsidRPr="000B75E4" w:rsidRDefault="00FC0494" w:rsidP="00595AA7">
      <w:pPr>
        <w:pStyle w:val="ListParagraph"/>
      </w:pPr>
      <w:r w:rsidRPr="000B75E4">
        <w:t>Refer to a support group if available.</w:t>
      </w:r>
    </w:p>
    <w:p w14:paraId="660CA2AD" w14:textId="77777777" w:rsidR="00FC0494" w:rsidRPr="000B75E4" w:rsidRDefault="00FC0494" w:rsidP="00595AA7">
      <w:pPr>
        <w:pStyle w:val="ListParagraph"/>
      </w:pPr>
      <w:r w:rsidRPr="000B75E4">
        <w:t>Education about diabetes and its complications.</w:t>
      </w:r>
    </w:p>
    <w:p w14:paraId="0DC9A70F" w14:textId="77777777" w:rsidR="00FC0494" w:rsidRPr="000B75E4" w:rsidRDefault="00FC0494" w:rsidP="00595AA7">
      <w:pPr>
        <w:pStyle w:val="ListParagraph"/>
      </w:pPr>
      <w:r w:rsidRPr="000B75E4">
        <w:t>Increased regular physical activity, aim for 30 minutes 5 times a week.</w:t>
      </w:r>
    </w:p>
    <w:p w14:paraId="0C1AA69F" w14:textId="77777777" w:rsidR="00FC0494" w:rsidRPr="000B75E4" w:rsidRDefault="00FC0494" w:rsidP="00595AA7">
      <w:pPr>
        <w:pStyle w:val="ListParagraph"/>
      </w:pPr>
      <w:r w:rsidRPr="000B75E4">
        <w:t>Appropriate weight loss if weight exceeds ideal weight.</w:t>
      </w:r>
    </w:p>
    <w:p w14:paraId="7576CFC4" w14:textId="77777777" w:rsidR="00FC0494" w:rsidRPr="000B75E4" w:rsidRDefault="00FC0494" w:rsidP="00595AA7">
      <w:pPr>
        <w:pStyle w:val="ListParagraph"/>
      </w:pPr>
      <w:r w:rsidRPr="000B75E4">
        <w:t>Discourage smoking.</w:t>
      </w:r>
    </w:p>
    <w:p w14:paraId="6A0D8045" w14:textId="77777777" w:rsidR="00FC0494" w:rsidRPr="000B75E4" w:rsidRDefault="00FC0494" w:rsidP="00595AA7">
      <w:pPr>
        <w:pStyle w:val="ListParagraph"/>
      </w:pPr>
      <w:r w:rsidRPr="000B75E4">
        <w:t>Moderate or no alcohol intake (≤ 2 standard drinks per day for males and ≤ 1 for females).</w:t>
      </w:r>
    </w:p>
    <w:p w14:paraId="22FED0D4" w14:textId="77777777" w:rsidR="00FC0494" w:rsidRPr="000B75E4" w:rsidRDefault="00FC0494" w:rsidP="00595AA7">
      <w:pPr>
        <w:pStyle w:val="ListParagraph"/>
      </w:pPr>
      <w:r w:rsidRPr="000B75E4">
        <w:t>Education about foot care.</w:t>
      </w:r>
    </w:p>
    <w:p w14:paraId="249E0EDD" w14:textId="77777777" w:rsidR="00FC0494" w:rsidRPr="000B75E4" w:rsidRDefault="00FC0494" w:rsidP="00595AA7">
      <w:pPr>
        <w:pStyle w:val="ListParagraph"/>
      </w:pPr>
      <w:r w:rsidRPr="000B75E4">
        <w:t>All patients should wear a notification bracelet.</w:t>
      </w:r>
    </w:p>
    <w:p w14:paraId="2B916683" w14:textId="77777777" w:rsidR="00FC0494" w:rsidRPr="000B75E4" w:rsidRDefault="00FC0494" w:rsidP="003F246B">
      <w:pPr>
        <w:pStyle w:val="Heading6"/>
      </w:pPr>
      <w:r w:rsidRPr="000B75E4">
        <w:t>Diet</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34"/>
      </w:tblGrid>
      <w:tr w:rsidR="00FC0494" w:rsidRPr="000B75E4" w14:paraId="6CEB71ED" w14:textId="77777777" w:rsidTr="007B5A6A">
        <w:tc>
          <w:tcPr>
            <w:tcW w:w="1134" w:type="dxa"/>
            <w:shd w:val="clear" w:color="auto" w:fill="FFFFFF" w:themeFill="background1"/>
          </w:tcPr>
          <w:p w14:paraId="0416774D" w14:textId="77777777" w:rsidR="00FC0494" w:rsidRPr="000B75E4" w:rsidRDefault="00FC0494" w:rsidP="003F246B">
            <w:pPr>
              <w:pStyle w:val="LoEText"/>
              <w:framePr w:hSpace="0" w:wrap="auto" w:vAnchor="margin" w:hAnchor="text" w:xAlign="left" w:yAlign="inline"/>
              <w:suppressOverlap w:val="0"/>
            </w:pPr>
            <w:proofErr w:type="spellStart"/>
            <w:r w:rsidRPr="000B75E4">
              <w:t>LoE</w:t>
            </w:r>
            <w:proofErr w:type="spellEnd"/>
            <w:r w:rsidRPr="000B75E4">
              <w:t>: III</w:t>
            </w:r>
            <w:r w:rsidRPr="003F246B">
              <w:rPr>
                <w:rStyle w:val="EndnoteReference"/>
                <w:sz w:val="16"/>
                <w:szCs w:val="16"/>
              </w:rPr>
              <w:endnoteReference w:id="5"/>
            </w:r>
          </w:p>
        </w:tc>
      </w:tr>
    </w:tbl>
    <w:p w14:paraId="558209C1" w14:textId="77777777" w:rsidR="00FC0494" w:rsidRPr="000B75E4" w:rsidRDefault="00FC0494" w:rsidP="00615139">
      <w:r w:rsidRPr="000B75E4">
        <w:t>Encourage:</w:t>
      </w:r>
    </w:p>
    <w:p w14:paraId="78BD0C13" w14:textId="77777777" w:rsidR="00FC0494" w:rsidRPr="000B75E4" w:rsidRDefault="00FC0494" w:rsidP="00615139">
      <w:pPr>
        <w:pStyle w:val="ListParagraph"/>
      </w:pPr>
      <w:r w:rsidRPr="000B75E4">
        <w:lastRenderedPageBreak/>
        <w:t xml:space="preserve">regular, </w:t>
      </w:r>
      <w:proofErr w:type="gramStart"/>
      <w:r w:rsidRPr="000B75E4">
        <w:t>evenly-spaced</w:t>
      </w:r>
      <w:proofErr w:type="gramEnd"/>
      <w:r w:rsidRPr="000B75E4">
        <w:t xml:space="preserve"> meals, with small portions</w:t>
      </w:r>
    </w:p>
    <w:p w14:paraId="07852260" w14:textId="77777777" w:rsidR="00FC0494" w:rsidRPr="000B75E4" w:rsidRDefault="00FC0494" w:rsidP="00615139">
      <w:pPr>
        <w:pStyle w:val="ListParagraph"/>
      </w:pPr>
      <w:r w:rsidRPr="000B75E4">
        <w:t>nutritionally balanced meals, with a variety of healthy foods</w:t>
      </w:r>
    </w:p>
    <w:p w14:paraId="19847EE4" w14:textId="77777777" w:rsidR="00FC0494" w:rsidRPr="000B75E4" w:rsidRDefault="00FC0494" w:rsidP="00615139">
      <w:pPr>
        <w:pStyle w:val="ListParagraph"/>
      </w:pPr>
      <w:r w:rsidRPr="000B75E4">
        <w:t>meals that consist of one meat dish option with an option of vegetarian for those who are vegetarian, one starch option, two vegetable options, one fruit option and water</w:t>
      </w:r>
    </w:p>
    <w:p w14:paraId="4C457453" w14:textId="77777777" w:rsidR="00FC0494" w:rsidRPr="000B75E4" w:rsidRDefault="00FC0494" w:rsidP="00615139">
      <w:r w:rsidRPr="000B75E4">
        <w:t>Carbohydrates</w:t>
      </w:r>
    </w:p>
    <w:p w14:paraId="1F8C84B2" w14:textId="77777777" w:rsidR="00FC0494" w:rsidRPr="000B75E4" w:rsidRDefault="00FC0494" w:rsidP="00615139">
      <w:pPr>
        <w:pStyle w:val="ListParagraph"/>
      </w:pPr>
      <w:r w:rsidRPr="000B75E4">
        <w:t xml:space="preserve">Strict control of carbohydrate intake: </w:t>
      </w:r>
    </w:p>
    <w:p w14:paraId="6CCB73C2" w14:textId="1795E696" w:rsidR="00FC0494" w:rsidRPr="000B75E4" w:rsidRDefault="00FC0494" w:rsidP="00615139">
      <w:pPr>
        <w:pStyle w:val="ListParagraph"/>
        <w:numPr>
          <w:ilvl w:val="1"/>
          <w:numId w:val="5"/>
        </w:numPr>
      </w:pPr>
      <w:r w:rsidRPr="000B75E4">
        <w:t>encourage small portions of healthy carbohydrates, such as vegetables, fruits, whole grains (e.g. whole wheat bread, oats, brown rice, pearled wheat, mai</w:t>
      </w:r>
      <w:r w:rsidR="00A919DA">
        <w:t>s</w:t>
      </w:r>
      <w:r w:rsidRPr="000B75E4">
        <w:t>e meal porridge, sorghum porridge, samp, wheat rice), legumes (lentils, beans), and dairy products</w:t>
      </w:r>
    </w:p>
    <w:p w14:paraId="5424C42C" w14:textId="77777777" w:rsidR="00FC0494" w:rsidRPr="000B75E4" w:rsidRDefault="00FC0494" w:rsidP="00615139">
      <w:pPr>
        <w:pStyle w:val="ListParagraph"/>
        <w:numPr>
          <w:ilvl w:val="1"/>
          <w:numId w:val="5"/>
        </w:numPr>
      </w:pPr>
      <w:r w:rsidRPr="000B75E4">
        <w:t>discourage intake of less healthy, highly processed/refined carbohydrate foods, especially those with added fats, sugars, or salt (e.g. takeaways, deep-fried foods, pies, doughnuts, cakes, biscuits, white bread, sugary drinks)</w:t>
      </w:r>
    </w:p>
    <w:p w14:paraId="495A35DF" w14:textId="77777777" w:rsidR="00FC0494" w:rsidRPr="000B75E4" w:rsidRDefault="00FC0494" w:rsidP="00615139">
      <w:r w:rsidRPr="000B75E4">
        <w:t>Fruit and vegetables</w:t>
      </w:r>
    </w:p>
    <w:p w14:paraId="24D181CE" w14:textId="77777777" w:rsidR="00FC0494" w:rsidRPr="000B75E4" w:rsidRDefault="00FC0494" w:rsidP="00615139">
      <w:pPr>
        <w:pStyle w:val="ListParagraph"/>
      </w:pPr>
      <w:r w:rsidRPr="000B75E4">
        <w:t xml:space="preserve">Aim for 5 servings of fruit or vegetables per day (e.g. vegetables: spinach, </w:t>
      </w:r>
      <w:proofErr w:type="spellStart"/>
      <w:r w:rsidRPr="000B75E4">
        <w:t>morogo</w:t>
      </w:r>
      <w:proofErr w:type="spellEnd"/>
      <w:r w:rsidRPr="000B75E4">
        <w:t xml:space="preserve">, cabbage, tomato, </w:t>
      </w:r>
      <w:proofErr w:type="spellStart"/>
      <w:r w:rsidRPr="000B75E4">
        <w:t>imifino</w:t>
      </w:r>
      <w:proofErr w:type="spellEnd"/>
      <w:r w:rsidRPr="000B75E4">
        <w:t xml:space="preserve"> (</w:t>
      </w:r>
      <w:proofErr w:type="spellStart"/>
      <w:r w:rsidRPr="000B75E4">
        <w:t>amadumbe</w:t>
      </w:r>
      <w:proofErr w:type="spellEnd"/>
      <w:r w:rsidRPr="000B75E4">
        <w:t xml:space="preserve">, amaranth, cowpea, pumpkin and sweet potato leaves); fruit: apple, orange, </w:t>
      </w:r>
      <w:proofErr w:type="spellStart"/>
      <w:r w:rsidRPr="000B75E4">
        <w:t>naartjie</w:t>
      </w:r>
      <w:proofErr w:type="spellEnd"/>
      <w:r w:rsidRPr="000B75E4">
        <w:t>, banana, mango, pear, peach)</w:t>
      </w:r>
    </w:p>
    <w:p w14:paraId="146D94DB" w14:textId="77777777" w:rsidR="00FC0494" w:rsidRPr="000B75E4" w:rsidRDefault="00FC0494" w:rsidP="00615139">
      <w:pPr>
        <w:pStyle w:val="ListParagraph"/>
      </w:pPr>
      <w:r w:rsidRPr="000B75E4">
        <w:t>Limit fruit to 2 servings per day, preferably in small portions throughout the day rather than all at one meal</w:t>
      </w:r>
    </w:p>
    <w:p w14:paraId="4AF440F1" w14:textId="77777777" w:rsidR="00FC0494" w:rsidRPr="000B75E4" w:rsidRDefault="00FC0494" w:rsidP="00615139">
      <w:pPr>
        <w:pStyle w:val="ListParagraph"/>
      </w:pPr>
      <w:r w:rsidRPr="000B75E4">
        <w:t>Limit intake of starchy vegetables like potatoes, sweet potatoes, mielies, butternut, and pumpkin</w:t>
      </w:r>
    </w:p>
    <w:p w14:paraId="176C3DE9" w14:textId="77777777" w:rsidR="00FC0494" w:rsidRPr="000B75E4" w:rsidRDefault="00FC0494" w:rsidP="00615139">
      <w:pPr>
        <w:pStyle w:val="ListParagraph"/>
      </w:pPr>
      <w:r w:rsidRPr="000B75E4">
        <w:t>Limit intake of concentrated fruit sources such as dried or tinned fruit, or juices.</w:t>
      </w:r>
    </w:p>
    <w:p w14:paraId="603ADAE0" w14:textId="77777777" w:rsidR="00FC0494" w:rsidRPr="000B75E4" w:rsidRDefault="00FC0494" w:rsidP="00615139">
      <w:r w:rsidRPr="000B75E4">
        <w:t>Legumes</w:t>
      </w:r>
    </w:p>
    <w:p w14:paraId="4CEBB232" w14:textId="77777777" w:rsidR="00FC0494" w:rsidRPr="000B75E4" w:rsidRDefault="00FC0494" w:rsidP="00615139">
      <w:pPr>
        <w:pStyle w:val="ListParagraph"/>
      </w:pPr>
      <w:proofErr w:type="gramStart"/>
      <w:r w:rsidRPr="000B75E4">
        <w:t>Soy beans</w:t>
      </w:r>
      <w:proofErr w:type="gramEnd"/>
      <w:r w:rsidRPr="000B75E4">
        <w:t>, dry beans, chickpeas, lentils, and split peas are an economical source of protein and fibre</w:t>
      </w:r>
    </w:p>
    <w:p w14:paraId="091FF472" w14:textId="77777777" w:rsidR="00FC0494" w:rsidRPr="000B75E4" w:rsidRDefault="00FC0494" w:rsidP="00615139">
      <w:pPr>
        <w:pStyle w:val="ListParagraph"/>
      </w:pPr>
      <w:r w:rsidRPr="000B75E4">
        <w:t>They do contain starch, so contribute to total carbohydrate intake (see portion sizes below)</w:t>
      </w:r>
    </w:p>
    <w:p w14:paraId="2D66FE73" w14:textId="77777777" w:rsidR="00FC0494" w:rsidRPr="000B75E4" w:rsidRDefault="00FC0494" w:rsidP="00615139">
      <w:r w:rsidRPr="000B75E4">
        <w:t>Dairy</w:t>
      </w:r>
    </w:p>
    <w:p w14:paraId="633C58EB" w14:textId="77777777" w:rsidR="00FC0494" w:rsidRPr="000B75E4" w:rsidRDefault="00FC0494" w:rsidP="00615139">
      <w:pPr>
        <w:pStyle w:val="ListParagraph"/>
      </w:pPr>
      <w:r w:rsidRPr="000B75E4">
        <w:t>Advise fat-free or lower fat options.</w:t>
      </w:r>
    </w:p>
    <w:p w14:paraId="3ED73DDD" w14:textId="77777777" w:rsidR="00FC0494" w:rsidRPr="000B75E4" w:rsidRDefault="00FC0494" w:rsidP="00615139">
      <w:r w:rsidRPr="000B75E4">
        <w:t>Meat, fish, and eggs</w:t>
      </w:r>
    </w:p>
    <w:p w14:paraId="626D2E62" w14:textId="77777777" w:rsidR="00FC0494" w:rsidRPr="000B75E4" w:rsidRDefault="00FC0494" w:rsidP="00615139">
      <w:pPr>
        <w:pStyle w:val="ListParagraph"/>
      </w:pPr>
      <w:r w:rsidRPr="000B75E4">
        <w:t xml:space="preserve">Encourage </w:t>
      </w:r>
      <w:proofErr w:type="gramStart"/>
      <w:r w:rsidRPr="000B75E4">
        <w:t>less</w:t>
      </w:r>
      <w:proofErr w:type="gramEnd"/>
      <w:r w:rsidRPr="000B75E4">
        <w:t xml:space="preserve"> fatty cuts of meat if possible.</w:t>
      </w:r>
    </w:p>
    <w:p w14:paraId="11996369" w14:textId="77777777" w:rsidR="00FC0494" w:rsidRPr="000B75E4" w:rsidRDefault="00FC0494" w:rsidP="00615139">
      <w:pPr>
        <w:pStyle w:val="ListParagraph"/>
      </w:pPr>
      <w:r w:rsidRPr="000B75E4">
        <w:t>Encourage low fat cooking methods such as baking, grilling, or steaming. Trim excess fat from meat and remove skin from chicken before cooking.</w:t>
      </w:r>
    </w:p>
    <w:p w14:paraId="448765A5" w14:textId="77777777" w:rsidR="00FC0494" w:rsidRPr="000B75E4" w:rsidRDefault="00FC0494" w:rsidP="00615139">
      <w:pPr>
        <w:pStyle w:val="ListParagraph"/>
      </w:pPr>
      <w:r w:rsidRPr="000B75E4">
        <w:t>Encourage patients to eat oily fish e.g. sardines and pilchards 2-3 times a week.</w:t>
      </w:r>
    </w:p>
    <w:p w14:paraId="1953551E" w14:textId="77777777" w:rsidR="00FC0494" w:rsidRPr="000B75E4" w:rsidRDefault="00FC0494" w:rsidP="00615139">
      <w:pPr>
        <w:pStyle w:val="ListParagraph"/>
      </w:pPr>
      <w:r w:rsidRPr="000B75E4">
        <w:t>Limit eggs to 1 per day.</w:t>
      </w:r>
    </w:p>
    <w:p w14:paraId="2CF52223" w14:textId="77777777" w:rsidR="00FC0494" w:rsidRPr="000B75E4" w:rsidRDefault="00FC0494" w:rsidP="00615139">
      <w:pPr>
        <w:pStyle w:val="ListParagraph"/>
      </w:pPr>
      <w:r w:rsidRPr="000B75E4">
        <w:t xml:space="preserve">Avoid processed meats such as </w:t>
      </w:r>
      <w:proofErr w:type="spellStart"/>
      <w:r w:rsidRPr="000B75E4">
        <w:t>polony</w:t>
      </w:r>
      <w:proofErr w:type="spellEnd"/>
      <w:r w:rsidRPr="000B75E4">
        <w:t xml:space="preserve"> and </w:t>
      </w:r>
      <w:proofErr w:type="spellStart"/>
      <w:r w:rsidRPr="000B75E4">
        <w:t>viennas</w:t>
      </w:r>
      <w:proofErr w:type="spellEnd"/>
      <w:r w:rsidRPr="000B75E4">
        <w:t>.</w:t>
      </w:r>
    </w:p>
    <w:p w14:paraId="425E1FB6" w14:textId="77777777" w:rsidR="00FC0494" w:rsidRPr="000B75E4" w:rsidRDefault="00FC0494" w:rsidP="00AB363B">
      <w:pPr>
        <w:keepNext/>
      </w:pPr>
      <w:r w:rsidRPr="000B75E4">
        <w:t>Fats</w:t>
      </w:r>
    </w:p>
    <w:p w14:paraId="2FF3546C" w14:textId="77777777" w:rsidR="00FC0494" w:rsidRPr="000B75E4" w:rsidRDefault="00FC0494" w:rsidP="00615139">
      <w:pPr>
        <w:pStyle w:val="ListParagraph"/>
      </w:pPr>
      <w:r w:rsidRPr="000B75E4">
        <w:t>Replace unhealthy animal fats (fatty beef, pork, lamb and chicken) and tropical oils (e.g. coconut and palm kernel oil) with healthier fats (e.g. avocado pear, fatty fish such as pilchards and plant oils such as canola, olive, sunflower, or peanut butter).</w:t>
      </w:r>
    </w:p>
    <w:p w14:paraId="24FA7BC4" w14:textId="77777777" w:rsidR="00FC0494" w:rsidRPr="000B75E4" w:rsidRDefault="00FC0494" w:rsidP="00615139">
      <w:pPr>
        <w:pStyle w:val="ListParagraph"/>
      </w:pPr>
      <w:r w:rsidRPr="000B75E4">
        <w:t xml:space="preserve">Do not reheat </w:t>
      </w:r>
      <w:proofErr w:type="gramStart"/>
      <w:r w:rsidRPr="000B75E4">
        <w:t>oil, and</w:t>
      </w:r>
      <w:proofErr w:type="gramEnd"/>
      <w:r w:rsidRPr="000B75E4">
        <w:t xml:space="preserve"> use softer margarines where possible.</w:t>
      </w:r>
    </w:p>
    <w:p w14:paraId="386AE173" w14:textId="77777777" w:rsidR="00FC0494" w:rsidRPr="000B75E4" w:rsidRDefault="00FC0494" w:rsidP="00615139">
      <w:pPr>
        <w:pStyle w:val="ListParagraph"/>
      </w:pPr>
      <w:r w:rsidRPr="000B75E4">
        <w:t xml:space="preserve">Limit intake of takeaway </w:t>
      </w:r>
      <w:proofErr w:type="gramStart"/>
      <w:r w:rsidRPr="000B75E4">
        <w:t>foods, and</w:t>
      </w:r>
      <w:proofErr w:type="gramEnd"/>
      <w:r w:rsidRPr="000B75E4">
        <w:t xml:space="preserve"> rather prepare food at home most of the time.</w:t>
      </w:r>
    </w:p>
    <w:p w14:paraId="7E157621" w14:textId="77777777" w:rsidR="00FC0494" w:rsidRPr="000B75E4" w:rsidRDefault="00FC0494" w:rsidP="00611023">
      <w:r w:rsidRPr="000B75E4">
        <w:t>Sugar</w:t>
      </w:r>
    </w:p>
    <w:p w14:paraId="1861CA0D" w14:textId="77777777" w:rsidR="00FC0494" w:rsidRPr="000B75E4" w:rsidRDefault="00FC0494" w:rsidP="00615139">
      <w:pPr>
        <w:pStyle w:val="ListParagraph"/>
      </w:pPr>
      <w:r w:rsidRPr="000B75E4">
        <w:lastRenderedPageBreak/>
        <w:t xml:space="preserve">Avoid sugar and sugary foods and drinks, </w:t>
      </w:r>
      <w:proofErr w:type="gramStart"/>
      <w:r w:rsidRPr="000B75E4">
        <w:t>such as:</w:t>
      </w:r>
      <w:proofErr w:type="gramEnd"/>
      <w:r w:rsidRPr="000B75E4">
        <w:t xml:space="preserve"> table sugar, honey, sugary drinks (fizzy drinks, fruit juices, energy drinks, sport drinks, sweetened flavoured milk/drinking yoghurt, flavoured water), sweets, desserts and baked goods.</w:t>
      </w:r>
    </w:p>
    <w:p w14:paraId="7A910426" w14:textId="77777777" w:rsidR="00FC0494" w:rsidRPr="000B75E4" w:rsidRDefault="00FC0494" w:rsidP="00615139">
      <w:pPr>
        <w:pStyle w:val="ListParagraph"/>
      </w:pPr>
      <w:r w:rsidRPr="000B75E4">
        <w:t>If eaten on special occasions, advise in very small portions.</w:t>
      </w:r>
    </w:p>
    <w:p w14:paraId="7EF44DD1" w14:textId="77777777" w:rsidR="00FC0494" w:rsidRPr="000B75E4" w:rsidRDefault="00FC0494" w:rsidP="00611023">
      <w:r w:rsidRPr="000B75E4">
        <w:t>Salt</w:t>
      </w:r>
    </w:p>
    <w:p w14:paraId="7D5A51A5" w14:textId="77777777" w:rsidR="00FC0494" w:rsidRPr="000B75E4" w:rsidRDefault="00FC0494" w:rsidP="00615139">
      <w:pPr>
        <w:pStyle w:val="ListParagraph"/>
      </w:pPr>
      <w:r w:rsidRPr="000B75E4">
        <w:t xml:space="preserve">Do not exceed a half teaspoon of salt per day. This includes hidden salt in processed foods (e.g. stock cubes, gravy and soup powders, deli meats like </w:t>
      </w:r>
      <w:proofErr w:type="spellStart"/>
      <w:r w:rsidRPr="000B75E4">
        <w:t>polony</w:t>
      </w:r>
      <w:proofErr w:type="spellEnd"/>
      <w:r w:rsidRPr="000B75E4">
        <w:t xml:space="preserve"> and </w:t>
      </w:r>
      <w:proofErr w:type="spellStart"/>
      <w:r w:rsidRPr="000B75E4">
        <w:t>viennas</w:t>
      </w:r>
      <w:proofErr w:type="spellEnd"/>
      <w:r w:rsidRPr="000B75E4">
        <w:t>, take-away foods, chips/crisps).</w:t>
      </w:r>
    </w:p>
    <w:p w14:paraId="0CFB1790" w14:textId="77777777" w:rsidR="00FC0494" w:rsidRPr="000B75E4" w:rsidRDefault="00FC0494" w:rsidP="00615139">
      <w:pPr>
        <w:pStyle w:val="ListParagraph"/>
      </w:pPr>
      <w:r w:rsidRPr="000B75E4">
        <w:t>Avoid adding salt to food.</w:t>
      </w:r>
    </w:p>
    <w:p w14:paraId="17C3A317" w14:textId="77777777" w:rsidR="00FC0494" w:rsidRPr="000B75E4" w:rsidRDefault="00FC0494" w:rsidP="00615139">
      <w:pPr>
        <w:pStyle w:val="ListParagraph"/>
      </w:pPr>
      <w:r w:rsidRPr="000B75E4">
        <w:t xml:space="preserve">Use less salt when preparing food. Use herbs and spices to enhance the flavour of foods instead of salt.  </w:t>
      </w:r>
    </w:p>
    <w:p w14:paraId="7A510B55" w14:textId="77777777" w:rsidR="00D41AA1" w:rsidRDefault="00D41AA1" w:rsidP="00611023"/>
    <w:p w14:paraId="563E85B9" w14:textId="77777777" w:rsidR="00D41AA1" w:rsidRDefault="00D41AA1" w:rsidP="00611023"/>
    <w:p w14:paraId="0D6E270B" w14:textId="11EE8530" w:rsidR="00FC0494" w:rsidRPr="000B75E4" w:rsidRDefault="00FC0494" w:rsidP="00611023">
      <w:r w:rsidRPr="000B75E4">
        <w:t>Portion control guide</w:t>
      </w:r>
      <w:r w:rsidR="00DB236F">
        <w:t>:</w:t>
      </w:r>
    </w:p>
    <w:p w14:paraId="55DC7A5B" w14:textId="77777777" w:rsidR="00FC0494" w:rsidRPr="000B75E4" w:rsidRDefault="00FC0494" w:rsidP="00FC0494">
      <w:pPr>
        <w:pStyle w:val="NoSpacing"/>
      </w:pPr>
      <w:r w:rsidRPr="000B75E4">
        <w:t>A portion is the amount of food that a person eats at one time, for a meal or snack. Advise the following portion sizes:</w:t>
      </w:r>
    </w:p>
    <w:p w14:paraId="064ED917" w14:textId="77777777" w:rsidR="00FC0494" w:rsidRPr="000B75E4" w:rsidRDefault="00FC0494" w:rsidP="00615139">
      <w:pPr>
        <w:pStyle w:val="ListParagraph"/>
      </w:pPr>
      <w:r w:rsidRPr="000B75E4">
        <w:t xml:space="preserve">Make protein (e.g. fish, chicken, or meat) food portions the size of the palm of your hand (about 90 g or 1/2 cup). </w:t>
      </w:r>
    </w:p>
    <w:p w14:paraId="19EB0DA4" w14:textId="77777777" w:rsidR="00FC0494" w:rsidRPr="000B75E4" w:rsidRDefault="00FC0494" w:rsidP="00615139">
      <w:pPr>
        <w:pStyle w:val="ListParagraph"/>
      </w:pPr>
      <w:r w:rsidRPr="000B75E4">
        <w:t>Make fruit, vegetables and starchy food (such as rice, pasta and potatoes) portions no greater than the size of your clenched fist (1 cup).</w:t>
      </w:r>
    </w:p>
    <w:p w14:paraId="69770E96" w14:textId="77777777" w:rsidR="00FC0494" w:rsidRPr="000B75E4" w:rsidRDefault="00FC0494" w:rsidP="00615139">
      <w:pPr>
        <w:pStyle w:val="ListParagraph"/>
      </w:pPr>
      <w:r w:rsidRPr="000B75E4">
        <w:t>Make healthy fat portions the size of the tip of your thumb (1 teaspoon).</w:t>
      </w:r>
    </w:p>
    <w:p w14:paraId="177791AC" w14:textId="77777777" w:rsidR="00FC0494" w:rsidRPr="000B75E4" w:rsidRDefault="00FC0494" w:rsidP="00615139">
      <w:pPr>
        <w:pStyle w:val="ListParagraph"/>
      </w:pPr>
      <w:r w:rsidRPr="000B75E4">
        <w:t>Make hard cheese or peanut butter portions the length of your thumb (1 tablespoon).</w:t>
      </w:r>
    </w:p>
    <w:p w14:paraId="10E9F337" w14:textId="77777777" w:rsidR="00FC0494" w:rsidRPr="000B75E4" w:rsidRDefault="00FC0494" w:rsidP="00013D84">
      <w:pPr>
        <w:pStyle w:val="Heading5"/>
      </w:pPr>
      <w:r w:rsidRPr="000B75E4">
        <w:t>MEDICINE TREATMENT</w:t>
      </w:r>
    </w:p>
    <w:p w14:paraId="7A2431B6" w14:textId="77777777" w:rsidR="00FC0494" w:rsidRPr="000B75E4" w:rsidRDefault="00FC0494" w:rsidP="001432DA">
      <w:pPr>
        <w:pStyle w:val="Heading6"/>
      </w:pPr>
      <w:r w:rsidRPr="000B75E4">
        <w:t>Oral blood glucose lowering agents</w:t>
      </w:r>
    </w:p>
    <w:p w14:paraId="5993FDD0" w14:textId="77777777" w:rsidR="00FC0494" w:rsidRPr="000B75E4" w:rsidRDefault="00FC0494" w:rsidP="001432DA">
      <w:pPr>
        <w:pStyle w:val="Heading7"/>
      </w:pPr>
      <w:r w:rsidRPr="000B75E4">
        <w:t>Stepwise approach:</w:t>
      </w:r>
    </w:p>
    <w:p w14:paraId="1D7D0794" w14:textId="77777777" w:rsidR="00FC0494" w:rsidRPr="000B75E4" w:rsidRDefault="00FC0494" w:rsidP="001432DA">
      <w:pPr>
        <w:pStyle w:val="ListParagraph"/>
      </w:pPr>
      <w:r w:rsidRPr="000B75E4">
        <w:t>Add metformin to the combination of dietary modifications and physical activity/exercise.</w:t>
      </w:r>
    </w:p>
    <w:p w14:paraId="60988BA2" w14:textId="77777777" w:rsidR="00FC0494" w:rsidRPr="000B75E4" w:rsidRDefault="00FC0494" w:rsidP="001432DA">
      <w:pPr>
        <w:pStyle w:val="ListParagraph"/>
      </w:pPr>
      <w:r w:rsidRPr="000B75E4">
        <w:t xml:space="preserve">Combination therapy with metformin plus a </w:t>
      </w:r>
      <w:proofErr w:type="spellStart"/>
      <w:r w:rsidRPr="000B75E4">
        <w:t>sulphonylurea</w:t>
      </w:r>
      <w:proofErr w:type="spellEnd"/>
      <w:r w:rsidRPr="000B75E4">
        <w:t xml:space="preserve"> is indicated if therapy with metformin alone (together with dietary modifications and physical activity/exercise) has not achieved the HbA1c target.</w:t>
      </w:r>
    </w:p>
    <w:p w14:paraId="5731C202" w14:textId="77777777" w:rsidR="00FC0494" w:rsidRPr="000B75E4" w:rsidRDefault="00FC0494" w:rsidP="001432DA">
      <w:pPr>
        <w:pStyle w:val="ListParagraph"/>
      </w:pPr>
      <w:r w:rsidRPr="000B75E4">
        <w:t xml:space="preserve">For persisting HbA1c above acceptable levels and despite adequate adherence to oral hypoglycaemic agents: add insulin and withdraw </w:t>
      </w:r>
      <w:proofErr w:type="spellStart"/>
      <w:r w:rsidRPr="000B75E4">
        <w:t>sulphonylurea</w:t>
      </w:r>
      <w:proofErr w:type="spellEnd"/>
      <w:r w:rsidRPr="000B75E4">
        <w:t>.</w:t>
      </w:r>
    </w:p>
    <w:p w14:paraId="2AEC9FBE" w14:textId="77777777" w:rsidR="00FC0494" w:rsidRPr="000B75E4" w:rsidRDefault="00FC0494" w:rsidP="001432DA">
      <w:pPr>
        <w:pStyle w:val="ListParagraph"/>
      </w:pPr>
      <w:r w:rsidRPr="000B75E4">
        <w:t>Ensure patient is adherent at each step.</w:t>
      </w:r>
    </w:p>
    <w:p w14:paraId="52B90DC5" w14:textId="77777777" w:rsidR="00FC0494" w:rsidRPr="000B75E4" w:rsidRDefault="00FC0494" w:rsidP="001432DA">
      <w:pPr>
        <w:pStyle w:val="ListParagraph"/>
      </w:pPr>
      <w:r w:rsidRPr="000B75E4">
        <w:t>Oral agents should not be used in type 1 diabetes mellitus, renal impairment or clinical liver failure.</w:t>
      </w:r>
    </w:p>
    <w:p w14:paraId="09793435" w14:textId="77777777" w:rsidR="00FC0494" w:rsidRPr="000B75E4" w:rsidRDefault="00FC0494" w:rsidP="00013D84">
      <w:pPr>
        <w:pStyle w:val="Heading5"/>
      </w:pPr>
      <w:r w:rsidRPr="000B75E4">
        <w:t>STEP 1</w:t>
      </w:r>
    </w:p>
    <w:p w14:paraId="09D47B05" w14:textId="77777777" w:rsidR="00FC0494" w:rsidRPr="001C0D2C" w:rsidRDefault="00FC0494" w:rsidP="001C0D2C">
      <w:pPr>
        <w:pStyle w:val="NoSpacing"/>
        <w:rPr>
          <w:rStyle w:val="Strong"/>
        </w:rPr>
      </w:pPr>
      <w:r w:rsidRPr="001C0D2C">
        <w:rPr>
          <w:rStyle w:val="Strong"/>
        </w:rPr>
        <w:t>Lifestyle modification plus metformin</w:t>
      </w:r>
    </w:p>
    <w:tbl>
      <w:tblPr>
        <w:tblStyle w:val="SamplePHCTable"/>
        <w:tblW w:w="5000" w:type="pct"/>
        <w:tblLook w:val="0620" w:firstRow="1" w:lastRow="0" w:firstColumn="0" w:lastColumn="0" w:noHBand="1" w:noVBand="1"/>
      </w:tblPr>
      <w:tblGrid>
        <w:gridCol w:w="2227"/>
        <w:gridCol w:w="2227"/>
        <w:gridCol w:w="2225"/>
      </w:tblGrid>
      <w:tr w:rsidR="00FC0494" w:rsidRPr="000B75E4" w14:paraId="69C137D6" w14:textId="77777777" w:rsidTr="001432DA">
        <w:trPr>
          <w:cnfStyle w:val="100000000000" w:firstRow="1" w:lastRow="0" w:firstColumn="0" w:lastColumn="0" w:oddVBand="0" w:evenVBand="0" w:oddHBand="0" w:evenHBand="0" w:firstRowFirstColumn="0" w:firstRowLastColumn="0" w:lastRowFirstColumn="0" w:lastRowLastColumn="0"/>
        </w:trPr>
        <w:tc>
          <w:tcPr>
            <w:tcW w:w="1667" w:type="pct"/>
          </w:tcPr>
          <w:p w14:paraId="37803746" w14:textId="77777777" w:rsidR="00FC0494" w:rsidRPr="000B75E4" w:rsidRDefault="00FC0494" w:rsidP="007B5A6A">
            <w:pPr>
              <w:pStyle w:val="NoSpacing"/>
            </w:pPr>
            <w:r w:rsidRPr="000B75E4">
              <w:t>Entry to Step 1</w:t>
            </w:r>
          </w:p>
        </w:tc>
        <w:tc>
          <w:tcPr>
            <w:tcW w:w="1667" w:type="pct"/>
          </w:tcPr>
          <w:p w14:paraId="4CD544B5" w14:textId="77777777" w:rsidR="00FC0494" w:rsidRPr="000B75E4" w:rsidRDefault="00FC0494" w:rsidP="007B5A6A">
            <w:pPr>
              <w:pStyle w:val="NoSpacing"/>
            </w:pPr>
            <w:r w:rsidRPr="000B75E4">
              <w:t>Treatment and duration</w:t>
            </w:r>
          </w:p>
        </w:tc>
        <w:tc>
          <w:tcPr>
            <w:tcW w:w="1666" w:type="pct"/>
          </w:tcPr>
          <w:p w14:paraId="2CB9AA26" w14:textId="77777777" w:rsidR="00FC0494" w:rsidRPr="000B75E4" w:rsidRDefault="00FC0494" w:rsidP="007B5A6A">
            <w:pPr>
              <w:pStyle w:val="NoSpacing"/>
            </w:pPr>
            <w:r w:rsidRPr="000B75E4">
              <w:t>Target</w:t>
            </w:r>
          </w:p>
        </w:tc>
      </w:tr>
      <w:tr w:rsidR="00FC0494" w:rsidRPr="000B75E4" w14:paraId="3530C399" w14:textId="77777777" w:rsidTr="00564345">
        <w:trPr>
          <w:trHeight w:val="1515"/>
        </w:trPr>
        <w:tc>
          <w:tcPr>
            <w:tcW w:w="1667" w:type="pct"/>
          </w:tcPr>
          <w:p w14:paraId="61FDF63D" w14:textId="77777777" w:rsidR="00FC0494" w:rsidRPr="000B75E4" w:rsidRDefault="00FC0494" w:rsidP="00564345">
            <w:pPr>
              <w:pStyle w:val="ListParagraph"/>
              <w:jc w:val="left"/>
            </w:pPr>
            <w:r w:rsidRPr="000B75E4">
              <w:lastRenderedPageBreak/>
              <w:t>Typical symptoms - thirst, tiredness, polyuria.</w:t>
            </w:r>
          </w:p>
          <w:p w14:paraId="66DC7CD1" w14:textId="77777777" w:rsidR="00FC0494" w:rsidRPr="007631A2" w:rsidRDefault="00FC0494" w:rsidP="00564345">
            <w:pPr>
              <w:pStyle w:val="NoSpacing"/>
              <w:jc w:val="left"/>
              <w:rPr>
                <w:rStyle w:val="Strong"/>
              </w:rPr>
            </w:pPr>
            <w:r w:rsidRPr="007631A2">
              <w:rPr>
                <w:rStyle w:val="Strong"/>
              </w:rPr>
              <w:t>AND</w:t>
            </w:r>
          </w:p>
          <w:p w14:paraId="33AD4507" w14:textId="77777777" w:rsidR="00FC0494" w:rsidRPr="000B75E4" w:rsidRDefault="00FC0494" w:rsidP="00564345">
            <w:pPr>
              <w:pStyle w:val="ListParagraph"/>
              <w:jc w:val="left"/>
            </w:pPr>
            <w:r w:rsidRPr="000B75E4">
              <w:t>Random blood glucose &gt;11.1mmol/L.</w:t>
            </w:r>
          </w:p>
          <w:p w14:paraId="193DF4FD" w14:textId="77777777" w:rsidR="00FC0494" w:rsidRPr="007631A2" w:rsidRDefault="00FC0494" w:rsidP="00564345">
            <w:pPr>
              <w:pStyle w:val="NoSpacing"/>
              <w:jc w:val="left"/>
              <w:rPr>
                <w:rStyle w:val="Strong"/>
              </w:rPr>
            </w:pPr>
            <w:r w:rsidRPr="007631A2">
              <w:rPr>
                <w:rStyle w:val="Strong"/>
              </w:rPr>
              <w:t>OR</w:t>
            </w:r>
          </w:p>
          <w:p w14:paraId="78EC4069" w14:textId="77777777" w:rsidR="00FC0494" w:rsidRPr="000B75E4" w:rsidRDefault="00FC0494" w:rsidP="00564345">
            <w:pPr>
              <w:pStyle w:val="ListParagraph"/>
              <w:jc w:val="left"/>
            </w:pPr>
            <w:r w:rsidRPr="000B75E4">
              <w:t>Fasting blood glucose ≥ 7 mmol/L.</w:t>
            </w:r>
          </w:p>
        </w:tc>
        <w:tc>
          <w:tcPr>
            <w:tcW w:w="1667" w:type="pct"/>
          </w:tcPr>
          <w:p w14:paraId="51E39A1A" w14:textId="77777777" w:rsidR="00FC0494" w:rsidRPr="000B75E4" w:rsidRDefault="00FC0494" w:rsidP="00564345">
            <w:pPr>
              <w:pStyle w:val="ListParagraph"/>
              <w:jc w:val="left"/>
            </w:pPr>
            <w:r w:rsidRPr="000B75E4">
              <w:t>Lifestyle modification for life.</w:t>
            </w:r>
          </w:p>
          <w:p w14:paraId="257FFF9E" w14:textId="77777777" w:rsidR="00FC0494" w:rsidRPr="000B75E4" w:rsidRDefault="00FC0494" w:rsidP="00564345">
            <w:pPr>
              <w:pStyle w:val="ListParagraph"/>
              <w:jc w:val="left"/>
            </w:pPr>
            <w:r w:rsidRPr="000B75E4">
              <w:t>Appropriate diet.</w:t>
            </w:r>
          </w:p>
          <w:p w14:paraId="1307F047" w14:textId="77777777" w:rsidR="00FC0494" w:rsidRPr="000B75E4" w:rsidRDefault="00FC0494" w:rsidP="00564345">
            <w:pPr>
              <w:pStyle w:val="ListParagraph"/>
              <w:jc w:val="left"/>
            </w:pPr>
            <w:r w:rsidRPr="000B75E4">
              <w:t>Weight loss until at ideal weight.</w:t>
            </w:r>
          </w:p>
          <w:p w14:paraId="48938078" w14:textId="77777777" w:rsidR="00FC0494" w:rsidRPr="000B75E4" w:rsidRDefault="00FC0494" w:rsidP="00564345">
            <w:pPr>
              <w:pStyle w:val="NoSpacing"/>
              <w:jc w:val="left"/>
            </w:pPr>
            <w:r w:rsidRPr="000B75E4">
              <w:t xml:space="preserve">Initiate drug therapy with: </w:t>
            </w:r>
          </w:p>
          <w:p w14:paraId="5DB454C2" w14:textId="4348A5E2" w:rsidR="00FC0494" w:rsidRPr="000B75E4" w:rsidRDefault="00FC0494" w:rsidP="00564345">
            <w:pPr>
              <w:pStyle w:val="BulletMedicine"/>
              <w:jc w:val="left"/>
            </w:pPr>
            <w:r w:rsidRPr="000B75E4">
              <w:t>Metformin</w:t>
            </w:r>
            <w:r w:rsidR="00B82F62">
              <w:fldChar w:fldCharType="begin"/>
            </w:r>
            <w:r w:rsidR="00B82F62">
              <w:instrText xml:space="preserve"> XE "Metformin, oral" \f "m" </w:instrText>
            </w:r>
            <w:r w:rsidR="00B82F62">
              <w:fldChar w:fldCharType="end"/>
            </w:r>
            <w:r w:rsidRPr="000B75E4">
              <w:t>.</w:t>
            </w:r>
          </w:p>
          <w:p w14:paraId="13D5DB03" w14:textId="77777777" w:rsidR="00FC0494" w:rsidRPr="000B75E4" w:rsidRDefault="00FC0494" w:rsidP="00564345">
            <w:pPr>
              <w:pStyle w:val="ListParagraph"/>
              <w:jc w:val="left"/>
            </w:pPr>
            <w:r w:rsidRPr="000B75E4">
              <w:t>Assess monthly.</w:t>
            </w:r>
          </w:p>
        </w:tc>
        <w:tc>
          <w:tcPr>
            <w:tcW w:w="1666" w:type="pct"/>
          </w:tcPr>
          <w:p w14:paraId="40A62500" w14:textId="77777777" w:rsidR="00FC0494" w:rsidRPr="000B75E4" w:rsidRDefault="00FC0494" w:rsidP="00564345">
            <w:pPr>
              <w:pStyle w:val="ListParagraph"/>
              <w:jc w:val="left"/>
            </w:pPr>
            <w:r w:rsidRPr="000B75E4">
              <w:t>2-hour post-prandial finger-prick blood glucose: 8–10 mmol/L.</w:t>
            </w:r>
          </w:p>
          <w:p w14:paraId="40E6369C" w14:textId="77777777" w:rsidR="00FC0494" w:rsidRPr="001C5899" w:rsidRDefault="00FC0494" w:rsidP="00564345">
            <w:pPr>
              <w:pStyle w:val="NoSpacing"/>
              <w:jc w:val="left"/>
              <w:rPr>
                <w:rStyle w:val="Strong"/>
              </w:rPr>
            </w:pPr>
            <w:r w:rsidRPr="001C5899">
              <w:rPr>
                <w:rStyle w:val="Strong"/>
              </w:rPr>
              <w:t>OR</w:t>
            </w:r>
          </w:p>
          <w:p w14:paraId="5AC9CEB2" w14:textId="77777777" w:rsidR="00FC0494" w:rsidRPr="000B75E4" w:rsidRDefault="00FC0494" w:rsidP="00564345">
            <w:pPr>
              <w:pStyle w:val="ListParagraph"/>
              <w:jc w:val="left"/>
            </w:pPr>
            <w:r w:rsidRPr="000B75E4">
              <w:t>fasting finger-prick blood glucose: 6–8 mmol/L.</w:t>
            </w:r>
          </w:p>
          <w:p w14:paraId="0B0B5C35" w14:textId="77777777" w:rsidR="00FC0494" w:rsidRPr="001C5899" w:rsidRDefault="00FC0494" w:rsidP="00564345">
            <w:pPr>
              <w:pStyle w:val="NoSpacing"/>
              <w:jc w:val="left"/>
              <w:rPr>
                <w:rStyle w:val="Strong"/>
              </w:rPr>
            </w:pPr>
            <w:r w:rsidRPr="001C5899">
              <w:rPr>
                <w:rStyle w:val="Strong"/>
              </w:rPr>
              <w:t>AND/OR</w:t>
            </w:r>
          </w:p>
          <w:p w14:paraId="4DDD130D" w14:textId="77777777" w:rsidR="00FC0494" w:rsidRPr="000B75E4" w:rsidRDefault="00FC0494" w:rsidP="00564345">
            <w:pPr>
              <w:pStyle w:val="ListParagraph"/>
              <w:jc w:val="left"/>
            </w:pPr>
            <w:r w:rsidRPr="000B75E4">
              <w:t>HbA1c:7–8%.</w:t>
            </w:r>
          </w:p>
        </w:tc>
      </w:tr>
    </w:tbl>
    <w:p w14:paraId="2ACC914F" w14:textId="3EB74E4F" w:rsidR="00FC0494" w:rsidRPr="000B75E4" w:rsidRDefault="00FC0494" w:rsidP="0083473D">
      <w:pPr>
        <w:pStyle w:val="BulletMedicine"/>
      </w:pPr>
      <w:r w:rsidRPr="000B75E4">
        <w:t>Metformin, oral</w:t>
      </w:r>
      <w:r w:rsidR="00192E35">
        <w:fldChar w:fldCharType="begin"/>
      </w:r>
      <w:r w:rsidR="00B82F62">
        <w:instrText xml:space="preserve"> XE "Metformin, oral" \f "m"</w:instrText>
      </w:r>
      <w:r w:rsidR="00192E35">
        <w:instrText xml:space="preserve"> </w:instrText>
      </w:r>
      <w:r w:rsidR="00192E35">
        <w:fldChar w:fldCharType="end"/>
      </w:r>
      <w:r w:rsidRPr="000B75E4">
        <w:t>, 500 mg daily with meals.</w:t>
      </w:r>
    </w:p>
    <w:p w14:paraId="04EF5D8B" w14:textId="77777777" w:rsidR="00FC0494" w:rsidRPr="000B75E4" w:rsidRDefault="00FC0494" w:rsidP="0083473D">
      <w:pPr>
        <w:pStyle w:val="BulletDirectionsInstructions"/>
      </w:pPr>
      <w:r w:rsidRPr="000B75E4">
        <w:t>Titrate dose slowly depending on HbA1c and/or fasting blood glucose concentrations to a maximum dose of 850 mg 8 hourly.</w:t>
      </w:r>
    </w:p>
    <w:p w14:paraId="6DE448CD" w14:textId="77777777" w:rsidR="00FC0494" w:rsidRPr="000B75E4" w:rsidRDefault="00FC0494" w:rsidP="0083473D">
      <w:pPr>
        <w:pStyle w:val="BulletDirectionsInstructions"/>
      </w:pPr>
      <w:r w:rsidRPr="000B75E4">
        <w:t>Contraindicated in:</w:t>
      </w:r>
    </w:p>
    <w:p w14:paraId="69C9E039" w14:textId="77777777" w:rsidR="00FC0494" w:rsidRPr="000B75E4" w:rsidRDefault="00FC0494" w:rsidP="0083473D">
      <w:pPr>
        <w:pStyle w:val="BulletDirectionsInstructions"/>
        <w:numPr>
          <w:ilvl w:val="1"/>
          <w:numId w:val="2"/>
        </w:numPr>
      </w:pPr>
      <w:r w:rsidRPr="000B75E4">
        <w:t>uncontrolled congestive cardiac failure</w:t>
      </w:r>
    </w:p>
    <w:p w14:paraId="00ABDF60" w14:textId="77777777" w:rsidR="00FC0494" w:rsidRPr="000B75E4" w:rsidRDefault="00FC0494" w:rsidP="0083473D">
      <w:pPr>
        <w:pStyle w:val="BulletDirectionsInstructions"/>
        <w:numPr>
          <w:ilvl w:val="1"/>
          <w:numId w:val="2"/>
        </w:numPr>
      </w:pPr>
      <w:r w:rsidRPr="000B75E4">
        <w:t>severe liver disease</w:t>
      </w:r>
    </w:p>
    <w:p w14:paraId="5CA5123B" w14:textId="77777777" w:rsidR="00FC0494" w:rsidRPr="000B75E4" w:rsidRDefault="00FC0494" w:rsidP="0083473D">
      <w:pPr>
        <w:pStyle w:val="BulletDirectionsInstructions"/>
        <w:numPr>
          <w:ilvl w:val="1"/>
          <w:numId w:val="2"/>
        </w:numPr>
      </w:pPr>
      <w:r w:rsidRPr="000B75E4">
        <w:t>patients with significant respiratory compromise</w:t>
      </w:r>
    </w:p>
    <w:p w14:paraId="43B94FA8" w14:textId="77777777" w:rsidR="00FC0494" w:rsidRPr="000B75E4" w:rsidRDefault="00FC0494" w:rsidP="0083473D">
      <w:pPr>
        <w:pStyle w:val="BulletDirectionsInstructions"/>
        <w:numPr>
          <w:ilvl w:val="1"/>
          <w:numId w:val="2"/>
        </w:numPr>
      </w:pPr>
      <w:r w:rsidRPr="000B75E4">
        <w:t>renal impairment i.e. eGFR &lt;30 mL/minute,</w:t>
      </w:r>
    </w:p>
    <w:p w14:paraId="4CADA432" w14:textId="77777777" w:rsidR="00DB236F" w:rsidRDefault="00DB236F" w:rsidP="004312F2">
      <w:pPr>
        <w:pStyle w:val="NoSpacing"/>
        <w:rPr>
          <w:rStyle w:val="Strong"/>
        </w:rPr>
      </w:pPr>
    </w:p>
    <w:p w14:paraId="3B51D85C" w14:textId="77777777" w:rsidR="00DB236F" w:rsidRDefault="00DB236F" w:rsidP="004312F2">
      <w:pPr>
        <w:pStyle w:val="NoSpacing"/>
        <w:rPr>
          <w:rStyle w:val="Strong"/>
        </w:rPr>
      </w:pPr>
    </w:p>
    <w:p w14:paraId="0FB0AB04" w14:textId="77777777" w:rsidR="00DB236F" w:rsidRDefault="00DB236F" w:rsidP="004312F2">
      <w:pPr>
        <w:pStyle w:val="NoSpacing"/>
        <w:rPr>
          <w:rStyle w:val="Strong"/>
        </w:rPr>
      </w:pPr>
    </w:p>
    <w:p w14:paraId="3D311BE9" w14:textId="77777777" w:rsidR="00DB236F" w:rsidRDefault="00DB236F" w:rsidP="004312F2">
      <w:pPr>
        <w:pStyle w:val="NoSpacing"/>
        <w:rPr>
          <w:rStyle w:val="Strong"/>
        </w:rPr>
      </w:pPr>
    </w:p>
    <w:p w14:paraId="06C91350" w14:textId="079D6B7C" w:rsidR="00FC0494" w:rsidRPr="001C0D2C" w:rsidRDefault="00FC0494" w:rsidP="004312F2">
      <w:pPr>
        <w:pStyle w:val="NoSpacing"/>
        <w:rPr>
          <w:rStyle w:val="Strong"/>
        </w:rPr>
      </w:pPr>
      <w:r w:rsidRPr="001C0D2C">
        <w:rPr>
          <w:rStyle w:val="Strong"/>
        </w:rPr>
        <w:t>In patients with renal impairment, adjust dose according to table:</w:t>
      </w:r>
    </w:p>
    <w:tbl>
      <w:tblPr>
        <w:tblStyle w:val="SamplePHCTable"/>
        <w:tblW w:w="5000" w:type="pct"/>
        <w:tblLook w:val="04A0" w:firstRow="1" w:lastRow="0" w:firstColumn="1" w:lastColumn="0" w:noHBand="0" w:noVBand="1"/>
      </w:tblPr>
      <w:tblGrid>
        <w:gridCol w:w="1980"/>
        <w:gridCol w:w="4699"/>
      </w:tblGrid>
      <w:tr w:rsidR="00FC0494" w:rsidRPr="000B75E4" w14:paraId="09BB0AD2" w14:textId="77777777" w:rsidTr="003B1253">
        <w:trPr>
          <w:cnfStyle w:val="100000000000" w:firstRow="1" w:lastRow="0" w:firstColumn="0" w:lastColumn="0" w:oddVBand="0" w:evenVBand="0" w:oddHBand="0" w:evenHBand="0" w:firstRowFirstColumn="0" w:firstRowLastColumn="0" w:lastRowFirstColumn="0" w:lastRowLastColumn="0"/>
        </w:trPr>
        <w:tc>
          <w:tcPr>
            <w:tcW w:w="1482" w:type="pct"/>
          </w:tcPr>
          <w:p w14:paraId="6AF69464" w14:textId="77777777" w:rsidR="00FC0494" w:rsidRPr="000B75E4" w:rsidRDefault="00FC0494" w:rsidP="007B5A6A">
            <w:pPr>
              <w:pStyle w:val="NoSpacing"/>
            </w:pPr>
            <w:r w:rsidRPr="000B75E4">
              <w:t>eGFR</w:t>
            </w:r>
          </w:p>
        </w:tc>
        <w:tc>
          <w:tcPr>
            <w:tcW w:w="3518" w:type="pct"/>
          </w:tcPr>
          <w:p w14:paraId="10A7A03D" w14:textId="77777777" w:rsidR="00FC0494" w:rsidRPr="000B75E4" w:rsidRDefault="00FC0494" w:rsidP="007B5A6A">
            <w:pPr>
              <w:pStyle w:val="NoSpacing"/>
            </w:pPr>
            <w:r w:rsidRPr="000B75E4">
              <w:t>Metformin dose</w:t>
            </w:r>
          </w:p>
        </w:tc>
      </w:tr>
      <w:tr w:rsidR="00FC0494" w:rsidRPr="000B75E4" w14:paraId="23F49DB2" w14:textId="77777777" w:rsidTr="003B1253">
        <w:trPr>
          <w:trHeight w:val="51"/>
        </w:trPr>
        <w:tc>
          <w:tcPr>
            <w:tcW w:w="1482" w:type="pct"/>
          </w:tcPr>
          <w:p w14:paraId="679AD8C7" w14:textId="77777777" w:rsidR="00FC0494" w:rsidRPr="000B75E4" w:rsidRDefault="00FC0494" w:rsidP="004312F2">
            <w:pPr>
              <w:pStyle w:val="ListParagraph"/>
              <w:jc w:val="left"/>
            </w:pPr>
            <w:r w:rsidRPr="000B75E4">
              <w:t>eGFR &gt;60 mL/min</w:t>
            </w:r>
          </w:p>
        </w:tc>
        <w:tc>
          <w:tcPr>
            <w:tcW w:w="3518" w:type="pct"/>
          </w:tcPr>
          <w:p w14:paraId="3A7B36DD" w14:textId="77777777" w:rsidR="00FC0494" w:rsidRPr="000B75E4" w:rsidRDefault="00FC0494" w:rsidP="004312F2">
            <w:pPr>
              <w:pStyle w:val="NoSpacing"/>
              <w:jc w:val="left"/>
            </w:pPr>
            <w:r w:rsidRPr="000B75E4">
              <w:t>Normal daily dose (see above).</w:t>
            </w:r>
          </w:p>
        </w:tc>
      </w:tr>
      <w:tr w:rsidR="00FC0494" w:rsidRPr="000B75E4" w14:paraId="28B8CEDB" w14:textId="77777777" w:rsidTr="003B1253">
        <w:tc>
          <w:tcPr>
            <w:tcW w:w="1482" w:type="pct"/>
          </w:tcPr>
          <w:p w14:paraId="7A526E3B" w14:textId="77777777" w:rsidR="00FC0494" w:rsidRPr="000B75E4" w:rsidRDefault="00FC0494" w:rsidP="004312F2">
            <w:pPr>
              <w:pStyle w:val="ListParagraph"/>
              <w:jc w:val="left"/>
            </w:pPr>
            <w:r w:rsidRPr="000B75E4">
              <w:t>eGFR 45–60 mL/min</w:t>
            </w:r>
          </w:p>
        </w:tc>
        <w:tc>
          <w:tcPr>
            <w:tcW w:w="3518" w:type="pct"/>
          </w:tcPr>
          <w:p w14:paraId="475BD2F5" w14:textId="77777777" w:rsidR="00FC0494" w:rsidRPr="000B75E4" w:rsidRDefault="00FC0494" w:rsidP="004312F2">
            <w:pPr>
              <w:pStyle w:val="NoSpacing"/>
              <w:jc w:val="left"/>
            </w:pPr>
            <w:r w:rsidRPr="000B75E4">
              <w:t>Standard dose, measure eGFR 3–6 monthly.</w:t>
            </w:r>
          </w:p>
        </w:tc>
      </w:tr>
      <w:tr w:rsidR="00FC0494" w:rsidRPr="000B75E4" w14:paraId="7D18215F" w14:textId="77777777" w:rsidTr="003B1253">
        <w:tc>
          <w:tcPr>
            <w:tcW w:w="1482" w:type="pct"/>
          </w:tcPr>
          <w:p w14:paraId="54E476D5" w14:textId="77777777" w:rsidR="00FC0494" w:rsidRPr="000B75E4" w:rsidRDefault="00FC0494" w:rsidP="004312F2">
            <w:pPr>
              <w:pStyle w:val="ListParagraph"/>
              <w:jc w:val="left"/>
            </w:pPr>
            <w:r w:rsidRPr="000B75E4">
              <w:t>eGFR 30–45 mL/min</w:t>
            </w:r>
          </w:p>
        </w:tc>
        <w:tc>
          <w:tcPr>
            <w:tcW w:w="3518" w:type="pct"/>
          </w:tcPr>
          <w:p w14:paraId="5BAFA9F6" w14:textId="77777777" w:rsidR="00FC0494" w:rsidRPr="000B75E4" w:rsidRDefault="00FC0494" w:rsidP="004312F2">
            <w:pPr>
              <w:pStyle w:val="NoSpacing"/>
              <w:jc w:val="left"/>
            </w:pPr>
            <w:r w:rsidRPr="000E085F">
              <w:rPr>
                <w:rStyle w:val="Strong"/>
              </w:rPr>
              <w:t>Maximum dose 1 g per day</w:t>
            </w:r>
            <w:r w:rsidRPr="000B75E4">
              <w:t>; measure eGFR 3–6 monthly.</w:t>
            </w:r>
          </w:p>
        </w:tc>
      </w:tr>
      <w:tr w:rsidR="00FC0494" w:rsidRPr="000B75E4" w14:paraId="3CF2AE7F" w14:textId="77777777" w:rsidTr="003B1253">
        <w:tc>
          <w:tcPr>
            <w:tcW w:w="1482" w:type="pct"/>
          </w:tcPr>
          <w:p w14:paraId="21C54601" w14:textId="77777777" w:rsidR="00FC0494" w:rsidRPr="000B75E4" w:rsidRDefault="00FC0494" w:rsidP="004312F2">
            <w:pPr>
              <w:pStyle w:val="ListParagraph"/>
              <w:jc w:val="left"/>
            </w:pPr>
            <w:r w:rsidRPr="000B75E4">
              <w:t>eGFR &lt;30 mL/min</w:t>
            </w:r>
          </w:p>
        </w:tc>
        <w:tc>
          <w:tcPr>
            <w:tcW w:w="3518" w:type="pct"/>
          </w:tcPr>
          <w:p w14:paraId="281B5E05" w14:textId="77777777" w:rsidR="00FC0494" w:rsidRPr="000B75E4" w:rsidRDefault="00FC0494" w:rsidP="004312F2">
            <w:pPr>
              <w:pStyle w:val="NoSpacing"/>
              <w:jc w:val="left"/>
            </w:pPr>
            <w:r w:rsidRPr="000B75E4">
              <w:t>Stop metformin.</w:t>
            </w:r>
          </w:p>
        </w:tc>
      </w:tr>
    </w:tbl>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C0494" w:rsidRPr="000B75E4" w14:paraId="094756D2" w14:textId="77777777" w:rsidTr="007B5A6A">
        <w:tc>
          <w:tcPr>
            <w:tcW w:w="1134" w:type="dxa"/>
            <w:shd w:val="clear" w:color="auto" w:fill="auto"/>
          </w:tcPr>
          <w:p w14:paraId="451D1F52" w14:textId="77777777" w:rsidR="00FC0494" w:rsidRPr="000B75E4" w:rsidRDefault="00FC0494" w:rsidP="000E085F">
            <w:pPr>
              <w:pStyle w:val="LoEText"/>
              <w:framePr w:hSpace="0" w:wrap="auto" w:vAnchor="margin" w:hAnchor="text" w:xAlign="left" w:yAlign="inline"/>
              <w:suppressOverlap w:val="0"/>
            </w:pPr>
            <w:proofErr w:type="spellStart"/>
            <w:proofErr w:type="gramStart"/>
            <w:r w:rsidRPr="000B75E4">
              <w:t>LoE:III</w:t>
            </w:r>
            <w:proofErr w:type="spellEnd"/>
            <w:proofErr w:type="gramEnd"/>
            <w:r w:rsidRPr="004312F2">
              <w:rPr>
                <w:rStyle w:val="EndnoteReference"/>
                <w:sz w:val="16"/>
                <w:szCs w:val="16"/>
              </w:rPr>
              <w:endnoteReference w:id="6"/>
            </w:r>
          </w:p>
        </w:tc>
      </w:tr>
    </w:tbl>
    <w:p w14:paraId="10DA7B73" w14:textId="77777777" w:rsidR="00FC0494" w:rsidRPr="000B75E4" w:rsidRDefault="00FC0494" w:rsidP="00FC0494">
      <w:pPr>
        <w:pStyle w:val="NoSpacing"/>
      </w:pPr>
    </w:p>
    <w:p w14:paraId="28BEB75B" w14:textId="77777777" w:rsidR="00FC0494" w:rsidRPr="000B75E4" w:rsidRDefault="00FC0494" w:rsidP="00013D84">
      <w:pPr>
        <w:pStyle w:val="Heading5"/>
      </w:pPr>
      <w:r w:rsidRPr="000B75E4">
        <w:t>STEP 2</w:t>
      </w:r>
    </w:p>
    <w:p w14:paraId="378CE9F6" w14:textId="77777777" w:rsidR="00FC0494" w:rsidRPr="001C0D2C" w:rsidRDefault="00FC0494" w:rsidP="001C0D2C">
      <w:pPr>
        <w:pStyle w:val="NoSpacing"/>
        <w:rPr>
          <w:rStyle w:val="Strong"/>
        </w:rPr>
      </w:pPr>
      <w:r w:rsidRPr="001C0D2C">
        <w:rPr>
          <w:rStyle w:val="Strong"/>
        </w:rPr>
        <w:t xml:space="preserve">Add </w:t>
      </w:r>
      <w:proofErr w:type="spellStart"/>
      <w:r w:rsidRPr="001C0D2C">
        <w:rPr>
          <w:rStyle w:val="Strong"/>
        </w:rPr>
        <w:t>sulphonylurea</w:t>
      </w:r>
      <w:proofErr w:type="spellEnd"/>
      <w:r w:rsidRPr="001C0D2C">
        <w:rPr>
          <w:rStyle w:val="Strong"/>
        </w:rPr>
        <w:t>:</w:t>
      </w:r>
    </w:p>
    <w:tbl>
      <w:tblPr>
        <w:tblStyle w:val="SamplePHCTable"/>
        <w:tblW w:w="5000" w:type="pct"/>
        <w:tblLook w:val="0020" w:firstRow="1" w:lastRow="0" w:firstColumn="0" w:lastColumn="0" w:noHBand="0" w:noVBand="0"/>
      </w:tblPr>
      <w:tblGrid>
        <w:gridCol w:w="2227"/>
        <w:gridCol w:w="2227"/>
        <w:gridCol w:w="2225"/>
      </w:tblGrid>
      <w:tr w:rsidR="00FC0494" w:rsidRPr="000B75E4" w14:paraId="610BC0D6" w14:textId="77777777" w:rsidTr="001C0D2C">
        <w:trPr>
          <w:cnfStyle w:val="100000000000" w:firstRow="1" w:lastRow="0" w:firstColumn="0" w:lastColumn="0" w:oddVBand="0" w:evenVBand="0" w:oddHBand="0" w:evenHBand="0" w:firstRowFirstColumn="0" w:firstRowLastColumn="0" w:lastRowFirstColumn="0" w:lastRowLastColumn="0"/>
        </w:trPr>
        <w:tc>
          <w:tcPr>
            <w:tcW w:w="1667" w:type="pct"/>
          </w:tcPr>
          <w:p w14:paraId="33F85C48" w14:textId="77777777" w:rsidR="00FC0494" w:rsidRPr="000B75E4" w:rsidRDefault="00FC0494" w:rsidP="007B5A6A">
            <w:pPr>
              <w:pStyle w:val="NoSpacing"/>
            </w:pPr>
            <w:r w:rsidRPr="000B75E4">
              <w:t>Entry to Step 2</w:t>
            </w:r>
          </w:p>
        </w:tc>
        <w:tc>
          <w:tcPr>
            <w:tcW w:w="1667" w:type="pct"/>
          </w:tcPr>
          <w:p w14:paraId="59F90ECC" w14:textId="77777777" w:rsidR="00FC0494" w:rsidRPr="000B75E4" w:rsidRDefault="00FC0494" w:rsidP="007B5A6A">
            <w:pPr>
              <w:pStyle w:val="NoSpacing"/>
            </w:pPr>
            <w:r w:rsidRPr="000B75E4">
              <w:t>Treatment and duration</w:t>
            </w:r>
          </w:p>
        </w:tc>
        <w:tc>
          <w:tcPr>
            <w:tcW w:w="1666" w:type="pct"/>
          </w:tcPr>
          <w:p w14:paraId="42B97D61" w14:textId="77777777" w:rsidR="00FC0494" w:rsidRPr="000B75E4" w:rsidRDefault="00FC0494" w:rsidP="007B5A6A">
            <w:pPr>
              <w:pStyle w:val="NoSpacing"/>
            </w:pPr>
            <w:r w:rsidRPr="000B75E4">
              <w:t>Target</w:t>
            </w:r>
          </w:p>
        </w:tc>
      </w:tr>
      <w:tr w:rsidR="00FC0494" w:rsidRPr="000B75E4" w14:paraId="1CFBDD14" w14:textId="77777777" w:rsidTr="001C0D2C">
        <w:tc>
          <w:tcPr>
            <w:tcW w:w="1667" w:type="pct"/>
          </w:tcPr>
          <w:p w14:paraId="1AF1C057" w14:textId="77777777" w:rsidR="00FC0494" w:rsidRPr="000B75E4" w:rsidRDefault="00FC0494" w:rsidP="0070733A">
            <w:pPr>
              <w:pStyle w:val="ListParagraph"/>
              <w:jc w:val="left"/>
            </w:pPr>
            <w:r w:rsidRPr="000B75E4">
              <w:t>Failed step 1: HbA1c &gt; 8 % or fasting finger-prick blood glucose &gt;8 mmol/L despite adherence to treatment plan in step 1 and maximal dose of metformin for 2–3 months.</w:t>
            </w:r>
          </w:p>
          <w:p w14:paraId="476C80FA" w14:textId="77777777" w:rsidR="00FC0494" w:rsidRPr="0070733A" w:rsidRDefault="00FC0494" w:rsidP="0070733A">
            <w:pPr>
              <w:pStyle w:val="NoSpacing"/>
              <w:jc w:val="left"/>
              <w:rPr>
                <w:rStyle w:val="Strong"/>
              </w:rPr>
            </w:pPr>
            <w:r w:rsidRPr="0070733A">
              <w:rPr>
                <w:rStyle w:val="Strong"/>
              </w:rPr>
              <w:t>OR</w:t>
            </w:r>
          </w:p>
          <w:p w14:paraId="2453C5AE" w14:textId="32E352F1" w:rsidR="00FC0494" w:rsidRPr="000B75E4" w:rsidRDefault="00FC0494" w:rsidP="0070733A">
            <w:pPr>
              <w:pStyle w:val="ListParagraph"/>
              <w:jc w:val="left"/>
            </w:pPr>
            <w:r w:rsidRPr="000B75E4">
              <w:t>2-hour post-prandial finger-prick blood glucose &gt;10 mmol/L despite adherence to treatment plan in step 1 and maximal dose of metformin for 2–3 months.</w:t>
            </w:r>
          </w:p>
        </w:tc>
        <w:tc>
          <w:tcPr>
            <w:tcW w:w="1667" w:type="pct"/>
          </w:tcPr>
          <w:p w14:paraId="3CD35F8E" w14:textId="77777777" w:rsidR="00FC0494" w:rsidRPr="000B75E4" w:rsidRDefault="00FC0494" w:rsidP="0070733A">
            <w:pPr>
              <w:pStyle w:val="ListParagraph"/>
              <w:jc w:val="left"/>
            </w:pPr>
            <w:r w:rsidRPr="000B75E4">
              <w:t>Lifestyle modification.</w:t>
            </w:r>
          </w:p>
          <w:p w14:paraId="14059F08" w14:textId="77777777" w:rsidR="00FC0494" w:rsidRPr="0070733A" w:rsidRDefault="00FC0494" w:rsidP="0070733A">
            <w:pPr>
              <w:pStyle w:val="NoSpacing"/>
              <w:jc w:val="left"/>
              <w:rPr>
                <w:rStyle w:val="Strong"/>
              </w:rPr>
            </w:pPr>
            <w:r w:rsidRPr="0070733A">
              <w:rPr>
                <w:rStyle w:val="Strong"/>
              </w:rPr>
              <w:t>AND</w:t>
            </w:r>
          </w:p>
          <w:p w14:paraId="36B2C495" w14:textId="77777777" w:rsidR="00FC0494" w:rsidRPr="000B75E4" w:rsidRDefault="00FC0494" w:rsidP="0070733A">
            <w:pPr>
              <w:pStyle w:val="ListParagraph"/>
              <w:jc w:val="left"/>
            </w:pPr>
            <w:r w:rsidRPr="000B75E4">
              <w:t>Combination oral hypoglycaemic agents, i.e.:</w:t>
            </w:r>
          </w:p>
          <w:p w14:paraId="032C5755" w14:textId="446AD6E9" w:rsidR="00FC0494" w:rsidRPr="000B75E4" w:rsidRDefault="00FC0494" w:rsidP="0070733A">
            <w:pPr>
              <w:pStyle w:val="BulletMedicine"/>
              <w:jc w:val="left"/>
            </w:pPr>
            <w:r w:rsidRPr="000B75E4">
              <w:t>Metformin</w:t>
            </w:r>
            <w:r w:rsidR="006E7693">
              <w:t>, oral</w:t>
            </w:r>
            <w:r w:rsidR="001D0DFE">
              <w:fldChar w:fldCharType="begin"/>
            </w:r>
            <w:r w:rsidR="001D0DFE">
              <w:instrText xml:space="preserve"> XE "</w:instrText>
            </w:r>
            <w:r w:rsidR="001D0DFE" w:rsidRPr="00DB7EAD">
              <w:instrText>Metformin, oral</w:instrText>
            </w:r>
            <w:r w:rsidR="001D0DFE">
              <w:instrText xml:space="preserve">" \f "m" </w:instrText>
            </w:r>
            <w:r w:rsidR="001D0DFE">
              <w:fldChar w:fldCharType="end"/>
            </w:r>
            <w:r w:rsidRPr="000B75E4">
              <w:t>.</w:t>
            </w:r>
          </w:p>
          <w:p w14:paraId="571F0B21" w14:textId="77777777" w:rsidR="00FC0494" w:rsidRPr="0070733A" w:rsidRDefault="00FC0494" w:rsidP="0070733A">
            <w:pPr>
              <w:pStyle w:val="NoSpacing"/>
              <w:jc w:val="left"/>
              <w:rPr>
                <w:rStyle w:val="Strong"/>
              </w:rPr>
            </w:pPr>
            <w:r w:rsidRPr="0070733A">
              <w:rPr>
                <w:rStyle w:val="Strong"/>
              </w:rPr>
              <w:t>AND</w:t>
            </w:r>
          </w:p>
          <w:p w14:paraId="1DA87FA8" w14:textId="70594EBC" w:rsidR="00FC0494" w:rsidRPr="000B75E4" w:rsidRDefault="00FC0494" w:rsidP="0070733A">
            <w:pPr>
              <w:pStyle w:val="BulletMedicine"/>
              <w:jc w:val="left"/>
            </w:pPr>
            <w:proofErr w:type="spellStart"/>
            <w:r w:rsidRPr="000B75E4">
              <w:t>Sulphonylurea</w:t>
            </w:r>
            <w:proofErr w:type="spellEnd"/>
            <w:r w:rsidR="001D0DFE">
              <w:fldChar w:fldCharType="begin"/>
            </w:r>
            <w:r w:rsidR="001D0DFE">
              <w:instrText xml:space="preserve"> XE "Sulphonylurea" \f "m" </w:instrText>
            </w:r>
            <w:r w:rsidR="001D0DFE">
              <w:fldChar w:fldCharType="end"/>
            </w:r>
            <w:r w:rsidRPr="000B75E4">
              <w:t>.</w:t>
            </w:r>
          </w:p>
        </w:tc>
        <w:tc>
          <w:tcPr>
            <w:tcW w:w="1666" w:type="pct"/>
          </w:tcPr>
          <w:p w14:paraId="64361410" w14:textId="77777777" w:rsidR="00FC0494" w:rsidRPr="000B75E4" w:rsidRDefault="00FC0494" w:rsidP="0070733A">
            <w:pPr>
              <w:pStyle w:val="ListParagraph"/>
              <w:jc w:val="left"/>
            </w:pPr>
            <w:r w:rsidRPr="000B75E4">
              <w:t>2-hour post-prandial finger prick blood glucose &lt; 8–10 mmol/L.</w:t>
            </w:r>
          </w:p>
          <w:p w14:paraId="09ACA752" w14:textId="77777777" w:rsidR="00FC0494" w:rsidRPr="0070733A" w:rsidRDefault="00FC0494" w:rsidP="0070733A">
            <w:pPr>
              <w:pStyle w:val="NoSpacing"/>
              <w:jc w:val="left"/>
              <w:rPr>
                <w:rStyle w:val="Strong"/>
              </w:rPr>
            </w:pPr>
            <w:r w:rsidRPr="0070733A">
              <w:rPr>
                <w:rStyle w:val="Strong"/>
              </w:rPr>
              <w:t>OR</w:t>
            </w:r>
          </w:p>
          <w:p w14:paraId="3F9BB1C8" w14:textId="77777777" w:rsidR="00FC0494" w:rsidRPr="000B75E4" w:rsidRDefault="00FC0494" w:rsidP="0070733A">
            <w:pPr>
              <w:pStyle w:val="ListParagraph"/>
              <w:jc w:val="left"/>
            </w:pPr>
            <w:r w:rsidRPr="000B75E4">
              <w:t>fasting finger prick blood glucose: 6–8 mmol/L.</w:t>
            </w:r>
          </w:p>
          <w:p w14:paraId="530019F3" w14:textId="77777777" w:rsidR="00FC0494" w:rsidRPr="0070733A" w:rsidRDefault="00FC0494" w:rsidP="0070733A">
            <w:pPr>
              <w:pStyle w:val="NoSpacing"/>
              <w:jc w:val="left"/>
              <w:rPr>
                <w:rStyle w:val="Strong"/>
              </w:rPr>
            </w:pPr>
            <w:r w:rsidRPr="0070733A">
              <w:rPr>
                <w:rStyle w:val="Strong"/>
              </w:rPr>
              <w:t>AND/OR</w:t>
            </w:r>
          </w:p>
          <w:p w14:paraId="0366E214" w14:textId="0FB97C07" w:rsidR="00FC0494" w:rsidRPr="000B75E4" w:rsidRDefault="00FC0494" w:rsidP="0070733A">
            <w:pPr>
              <w:pStyle w:val="ListParagraph"/>
              <w:jc w:val="left"/>
            </w:pPr>
            <w:r w:rsidRPr="000B75E4">
              <w:t>HbA1c:7–8%.</w:t>
            </w:r>
          </w:p>
        </w:tc>
      </w:tr>
    </w:tbl>
    <w:p w14:paraId="055D0A82" w14:textId="77777777" w:rsidR="00FC0494" w:rsidRPr="000B75E4" w:rsidRDefault="00FC0494" w:rsidP="00FC0494">
      <w:pPr>
        <w:pStyle w:val="NoSpacing"/>
      </w:pPr>
    </w:p>
    <w:p w14:paraId="5D68C037" w14:textId="1CC4E3F4" w:rsidR="00FC0494" w:rsidRPr="003D4E6C" w:rsidRDefault="00FC0494" w:rsidP="003D4E6C">
      <w:pPr>
        <w:pStyle w:val="BulletTherapeuticclass"/>
      </w:pPr>
      <w:proofErr w:type="spellStart"/>
      <w:r w:rsidRPr="003D4E6C">
        <w:lastRenderedPageBreak/>
        <w:t>Sulphonylurea</w:t>
      </w:r>
      <w:proofErr w:type="spellEnd"/>
      <w:r w:rsidR="001D0DFE">
        <w:fldChar w:fldCharType="begin"/>
      </w:r>
      <w:r w:rsidR="001D0DFE">
        <w:instrText xml:space="preserve"> XE "Sulphonylurea" \f "m" </w:instrText>
      </w:r>
      <w:r w:rsidR="001D0DFE">
        <w:fldChar w:fldCharType="end"/>
      </w:r>
      <w:r w:rsidRPr="003D4E6C">
        <w:t xml:space="preserve"> derivatives</w:t>
      </w:r>
    </w:p>
    <w:p w14:paraId="16A2F784" w14:textId="5A570D46" w:rsidR="00FC0494" w:rsidRPr="000B75E4" w:rsidRDefault="00FC0494" w:rsidP="0091434B">
      <w:pPr>
        <w:pStyle w:val="BulletMedicine"/>
      </w:pPr>
      <w:r w:rsidRPr="000B75E4">
        <w:t>Glimepiride, oral</w:t>
      </w:r>
      <w:r w:rsidR="00F32165">
        <w:fldChar w:fldCharType="begin"/>
      </w:r>
      <w:r w:rsidR="001D0DFE">
        <w:instrText xml:space="preserve"> XE "Glimepiride, oral" \f "m"</w:instrText>
      </w:r>
      <w:r w:rsidR="00F32165">
        <w:instrText xml:space="preserve"> </w:instrText>
      </w:r>
      <w:r w:rsidR="00F32165">
        <w:fldChar w:fldCharType="end"/>
      </w:r>
      <w:r w:rsidRPr="000B75E4">
        <w:t>, daily with breakfast.</w:t>
      </w:r>
    </w:p>
    <w:tbl>
      <w:tblPr>
        <w:tblStyle w:val="TableGrid"/>
        <w:tblpPr w:leftFromText="180" w:rightFromText="180" w:vertAnchor="text" w:tblpXSpec="right" w:tblpY="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C0494" w:rsidRPr="00B9593D" w14:paraId="2B0D0282" w14:textId="77777777" w:rsidTr="00A626CF">
        <w:tc>
          <w:tcPr>
            <w:tcW w:w="1134" w:type="dxa"/>
          </w:tcPr>
          <w:p w14:paraId="04FE4E43" w14:textId="77777777" w:rsidR="00FC0494" w:rsidRPr="00B9593D" w:rsidRDefault="00FC0494" w:rsidP="00B9593D">
            <w:pPr>
              <w:pStyle w:val="LoEText"/>
              <w:framePr w:hSpace="0" w:wrap="auto" w:vAnchor="margin" w:hAnchor="text" w:xAlign="left" w:yAlign="inline"/>
              <w:suppressOverlap w:val="0"/>
            </w:pPr>
            <w:proofErr w:type="spellStart"/>
            <w:proofErr w:type="gramStart"/>
            <w:r w:rsidRPr="00B9593D">
              <w:t>LoE:III</w:t>
            </w:r>
            <w:proofErr w:type="spellEnd"/>
            <w:proofErr w:type="gramEnd"/>
            <w:r w:rsidRPr="00B0793A">
              <w:rPr>
                <w:rStyle w:val="EndnoteReference"/>
                <w:sz w:val="16"/>
                <w:szCs w:val="16"/>
              </w:rPr>
              <w:endnoteReference w:id="7"/>
            </w:r>
          </w:p>
        </w:tc>
      </w:tr>
    </w:tbl>
    <w:p w14:paraId="271FDC3B" w14:textId="77777777" w:rsidR="00FC0494" w:rsidRPr="000B75E4" w:rsidRDefault="00FC0494" w:rsidP="0091434B">
      <w:pPr>
        <w:pStyle w:val="BulletDirectionsInstructions"/>
      </w:pPr>
      <w:r w:rsidRPr="000B75E4">
        <w:t>Titrate the dose by 1 mg at weekly intervals up to 6 mg daily (according to blood glucose levels).</w:t>
      </w:r>
    </w:p>
    <w:p w14:paraId="0C5087D9" w14:textId="77777777" w:rsidR="00FC0494" w:rsidRPr="000B75E4" w:rsidRDefault="00FC0494" w:rsidP="0091434B">
      <w:pPr>
        <w:pStyle w:val="BulletDirectionsInstructions"/>
      </w:pPr>
      <w:r w:rsidRPr="000B75E4">
        <w:t>Usual dose: 4 mg daily.</w:t>
      </w:r>
    </w:p>
    <w:p w14:paraId="08783D18" w14:textId="77777777" w:rsidR="00FC0494" w:rsidRPr="000B75E4" w:rsidRDefault="00FC0494" w:rsidP="0091434B">
      <w:pPr>
        <w:pStyle w:val="BulletDirectionsInstructions"/>
      </w:pPr>
      <w:r w:rsidRPr="000B75E4">
        <w:t>Maximum dose: 8 mg daily.</w:t>
      </w:r>
    </w:p>
    <w:p w14:paraId="07CC6A1C" w14:textId="77777777" w:rsidR="00FC0494" w:rsidRPr="000B75E4" w:rsidRDefault="00FC0494" w:rsidP="0091434B">
      <w:pPr>
        <w:pStyle w:val="BulletDirectionsInstructions"/>
      </w:pPr>
      <w:r w:rsidRPr="000B75E4">
        <w:t>Preferred in the elderly.</w:t>
      </w:r>
    </w:p>
    <w:p w14:paraId="117B4351" w14:textId="77777777" w:rsidR="00FC0494" w:rsidRPr="00B0793A" w:rsidRDefault="00FC0494" w:rsidP="00B0793A">
      <w:pPr>
        <w:rPr>
          <w:rStyle w:val="Strong"/>
        </w:rPr>
      </w:pPr>
      <w:r w:rsidRPr="00B0793A">
        <w:rPr>
          <w:rStyle w:val="Strong"/>
        </w:rPr>
        <w:t>OR</w:t>
      </w:r>
    </w:p>
    <w:p w14:paraId="5BAA97E8" w14:textId="7AB3D61C" w:rsidR="00FC0494" w:rsidRPr="000B75E4" w:rsidRDefault="00FC0494" w:rsidP="007D3EC7">
      <w:pPr>
        <w:pStyle w:val="BulletMedicine"/>
      </w:pPr>
      <w:proofErr w:type="spellStart"/>
      <w:r w:rsidRPr="000B75E4">
        <w:t>Glibenclamide</w:t>
      </w:r>
      <w:proofErr w:type="spellEnd"/>
      <w:r w:rsidRPr="000B75E4">
        <w:t>, oral</w:t>
      </w:r>
      <w:r w:rsidR="00F32165">
        <w:fldChar w:fldCharType="begin"/>
      </w:r>
      <w:r w:rsidR="00F32165">
        <w:instrText xml:space="preserve"> XE "</w:instrText>
      </w:r>
      <w:r w:rsidR="00F32165" w:rsidRPr="00293B76">
        <w:instrText>Glibenclamide, oral</w:instrText>
      </w:r>
      <w:r w:rsidR="00F32165">
        <w:instrText>"</w:instrText>
      </w:r>
      <w:r w:rsidR="001D0DFE">
        <w:instrText xml:space="preserve"> \f "m"</w:instrText>
      </w:r>
      <w:r w:rsidR="00F32165">
        <w:instrText xml:space="preserve"> </w:instrText>
      </w:r>
      <w:r w:rsidR="00F32165">
        <w:fldChar w:fldCharType="end"/>
      </w:r>
      <w:r w:rsidRPr="000B75E4">
        <w:t>, 2.5 mg daily 30 minutes with breakfast.</w:t>
      </w:r>
    </w:p>
    <w:p w14:paraId="3A927E24" w14:textId="77777777" w:rsidR="00FC0494" w:rsidRPr="000B75E4" w:rsidRDefault="00FC0494" w:rsidP="007D3EC7">
      <w:pPr>
        <w:pStyle w:val="BulletDirectionsInstructions"/>
      </w:pPr>
      <w:r w:rsidRPr="000B75E4">
        <w:t>Titrate dose slowly depending on HbA1c and/or fasting blood glucose levels to a maximum of 15 mg daily.</w:t>
      </w:r>
    </w:p>
    <w:p w14:paraId="20FE0345" w14:textId="77777777" w:rsidR="00FC0494" w:rsidRPr="000B75E4" w:rsidRDefault="00FC0494" w:rsidP="007D3EC7">
      <w:pPr>
        <w:pStyle w:val="BulletDirectionsInstructions"/>
      </w:pPr>
      <w:r w:rsidRPr="000B75E4">
        <w:t>When ≥ 7.5 mg per day is needed, divide the total daily dose into 2, with the larger dose in the morning.</w:t>
      </w:r>
    </w:p>
    <w:p w14:paraId="4BD03FE3" w14:textId="77777777" w:rsidR="00FC0494" w:rsidRPr="007D3EC7" w:rsidRDefault="00FC0494" w:rsidP="007D3EC7">
      <w:pPr>
        <w:pStyle w:val="BulletDirectionsInstructions"/>
        <w:rPr>
          <w:rStyle w:val="Strong"/>
        </w:rPr>
      </w:pPr>
      <w:r w:rsidRPr="007D3EC7">
        <w:rPr>
          <w:rStyle w:val="Strong"/>
        </w:rPr>
        <w:t>Avoid in the elderly and patients with renal impairment.</w:t>
      </w:r>
    </w:p>
    <w:p w14:paraId="381D07BB" w14:textId="77777777" w:rsidR="00FC0494" w:rsidRPr="007D3EC7" w:rsidRDefault="00FC0494" w:rsidP="007D3EC7">
      <w:pPr>
        <w:rPr>
          <w:rStyle w:val="Strong"/>
        </w:rPr>
      </w:pPr>
      <w:r w:rsidRPr="007D3EC7">
        <w:rPr>
          <w:rStyle w:val="Strong"/>
        </w:rPr>
        <w:t xml:space="preserve">All </w:t>
      </w:r>
      <w:proofErr w:type="spellStart"/>
      <w:r w:rsidRPr="007D3EC7">
        <w:rPr>
          <w:rStyle w:val="Strong"/>
        </w:rPr>
        <w:t>sulphonylureas</w:t>
      </w:r>
      <w:proofErr w:type="spellEnd"/>
      <w:r w:rsidRPr="007D3EC7">
        <w:rPr>
          <w:rStyle w:val="Strong"/>
        </w:rPr>
        <w:t xml:space="preserve"> should be avoided in patients with renal impairment i.e. eGFR &lt; 60 mL/minute.</w:t>
      </w:r>
    </w:p>
    <w:p w14:paraId="3E13569F" w14:textId="77777777" w:rsidR="00FC0494" w:rsidRPr="000B75E4" w:rsidRDefault="00FC0494" w:rsidP="00FC0494">
      <w:pPr>
        <w:pStyle w:val="NoSpacing"/>
      </w:pPr>
      <w:proofErr w:type="spellStart"/>
      <w:r w:rsidRPr="000B75E4">
        <w:t>Sulphonylureas</w:t>
      </w:r>
      <w:proofErr w:type="spellEnd"/>
      <w:r w:rsidRPr="000B75E4">
        <w:t xml:space="preserve"> are contraindicated in: </w:t>
      </w:r>
    </w:p>
    <w:p w14:paraId="06EEEFCD" w14:textId="77777777" w:rsidR="00FC0494" w:rsidRPr="000B75E4" w:rsidRDefault="00FC0494" w:rsidP="00A55FFA">
      <w:pPr>
        <w:pStyle w:val="ListParagraph"/>
      </w:pPr>
      <w:r w:rsidRPr="000B75E4">
        <w:t>severe hepatic impairment</w:t>
      </w:r>
    </w:p>
    <w:p w14:paraId="17723D61" w14:textId="77777777" w:rsidR="00FC0494" w:rsidRPr="000B75E4" w:rsidRDefault="00FC0494" w:rsidP="00A55FFA">
      <w:pPr>
        <w:pStyle w:val="ListParagraph"/>
      </w:pPr>
      <w:r w:rsidRPr="000B75E4">
        <w:t>pregnancy</w:t>
      </w:r>
    </w:p>
    <w:p w14:paraId="14A964AB" w14:textId="36EB1026" w:rsidR="00FC0494" w:rsidRPr="000B75E4" w:rsidRDefault="00A55FFA" w:rsidP="00A55FFA">
      <w:pPr>
        <w:pStyle w:val="Centeredbox"/>
      </w:pPr>
      <w:r w:rsidRPr="000B75E4">
        <w:t xml:space="preserve">Missing meals while taking </w:t>
      </w:r>
      <w:proofErr w:type="spellStart"/>
      <w:r w:rsidRPr="000B75E4">
        <w:t>sulphonylureas</w:t>
      </w:r>
      <w:proofErr w:type="spellEnd"/>
      <w:r w:rsidRPr="000B75E4">
        <w:t xml:space="preserve"> may lead to hypoglycaemia.</w:t>
      </w:r>
    </w:p>
    <w:p w14:paraId="43F324F4" w14:textId="77777777" w:rsidR="00FC0494" w:rsidRPr="000B75E4" w:rsidRDefault="00FC0494" w:rsidP="00013D84">
      <w:pPr>
        <w:pStyle w:val="Heading5"/>
      </w:pPr>
      <w:r w:rsidRPr="000B75E4">
        <w:t>STEP 3</w:t>
      </w:r>
    </w:p>
    <w:p w14:paraId="61DD897E" w14:textId="77777777" w:rsidR="00FC0494" w:rsidRPr="00B301A4" w:rsidRDefault="00FC0494" w:rsidP="00FC0494">
      <w:pPr>
        <w:pStyle w:val="NoSpacing"/>
        <w:rPr>
          <w:rStyle w:val="Strong"/>
        </w:rPr>
      </w:pPr>
      <w:r w:rsidRPr="00B301A4">
        <w:rPr>
          <w:rStyle w:val="Strong"/>
        </w:rPr>
        <w:t>Insulin therapy: See Section 9.1.2: Type 1 diabetes mellitus, in adults.</w:t>
      </w:r>
    </w:p>
    <w:p w14:paraId="0AF09359" w14:textId="77777777" w:rsidR="00FC0494" w:rsidRPr="000B75E4" w:rsidRDefault="00FC0494" w:rsidP="00B301A4">
      <w:pPr>
        <w:pStyle w:val="ListParagraph"/>
      </w:pPr>
      <w:r w:rsidRPr="000B75E4">
        <w:t>Insulin is indicated when oral combination therapy fails.</w:t>
      </w:r>
    </w:p>
    <w:p w14:paraId="4A517860" w14:textId="77777777" w:rsidR="00FC0494" w:rsidRPr="000B75E4" w:rsidRDefault="00FC0494" w:rsidP="00B301A4">
      <w:pPr>
        <w:pStyle w:val="ListParagraph"/>
      </w:pPr>
      <w:r w:rsidRPr="000B75E4">
        <w:t>Continue lifestyle modification.</w:t>
      </w:r>
    </w:p>
    <w:p w14:paraId="3283D9CF" w14:textId="66F547D1" w:rsidR="00FC0494" w:rsidRPr="000B75E4" w:rsidRDefault="00FC0494" w:rsidP="00B301A4">
      <w:pPr>
        <w:pStyle w:val="ListParagraph"/>
      </w:pPr>
      <w:r w:rsidRPr="000B75E4">
        <w:t>Insulin therapy must be initiated and titrated by a doctor until stabilised.</w:t>
      </w:r>
    </w:p>
    <w:p w14:paraId="0747B95D" w14:textId="77777777" w:rsidR="00FC0494" w:rsidRPr="000B75E4" w:rsidRDefault="00FC0494" w:rsidP="00B301A4">
      <w:pPr>
        <w:pStyle w:val="ListParagraph"/>
      </w:pPr>
      <w:r w:rsidRPr="000B75E4">
        <w:t xml:space="preserve">Stop </w:t>
      </w:r>
      <w:proofErr w:type="spellStart"/>
      <w:r w:rsidRPr="000B75E4">
        <w:t>sulphonylurea</w:t>
      </w:r>
      <w:proofErr w:type="spellEnd"/>
      <w:r w:rsidRPr="000B75E4">
        <w:t xml:space="preserve"> once insulin therapy is initiated but continue metformin.</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34"/>
      </w:tblGrid>
      <w:tr w:rsidR="00FC0494" w:rsidRPr="000B75E4" w14:paraId="1809A8F7" w14:textId="77777777" w:rsidTr="007B5A6A">
        <w:tc>
          <w:tcPr>
            <w:tcW w:w="1134" w:type="dxa"/>
            <w:shd w:val="clear" w:color="auto" w:fill="FFFFFF" w:themeFill="background1"/>
          </w:tcPr>
          <w:p w14:paraId="659ECC1F" w14:textId="77777777" w:rsidR="00FC0494" w:rsidRPr="000B75E4" w:rsidRDefault="00FC0494" w:rsidP="00B301A4">
            <w:pPr>
              <w:pStyle w:val="LoEText"/>
              <w:framePr w:hSpace="0" w:wrap="auto" w:vAnchor="margin" w:hAnchor="text" w:xAlign="left" w:yAlign="inline"/>
              <w:suppressOverlap w:val="0"/>
            </w:pPr>
            <w:proofErr w:type="spellStart"/>
            <w:r w:rsidRPr="000B75E4">
              <w:t>LoE</w:t>
            </w:r>
            <w:proofErr w:type="spellEnd"/>
            <w:r w:rsidRPr="000B75E4">
              <w:t>: III</w:t>
            </w:r>
            <w:r w:rsidRPr="00B301A4">
              <w:rPr>
                <w:rStyle w:val="EndnoteReference"/>
                <w:sz w:val="16"/>
                <w:szCs w:val="16"/>
              </w:rPr>
              <w:endnoteReference w:id="8"/>
            </w:r>
          </w:p>
        </w:tc>
      </w:tr>
    </w:tbl>
    <w:p w14:paraId="45A3CE31" w14:textId="77777777" w:rsidR="00FC0494" w:rsidRPr="000B75E4" w:rsidRDefault="00FC0494" w:rsidP="00FC0494">
      <w:pPr>
        <w:pStyle w:val="NoSpacing"/>
      </w:pPr>
    </w:p>
    <w:p w14:paraId="382A0C10" w14:textId="77777777" w:rsidR="00FC0494" w:rsidRPr="000B75E4" w:rsidRDefault="00FC0494" w:rsidP="00FC0494">
      <w:pPr>
        <w:pStyle w:val="NoSpacing"/>
      </w:pPr>
      <w:r w:rsidRPr="000B75E4">
        <w:t>Education for patients on insulin therapy:</w:t>
      </w:r>
    </w:p>
    <w:p w14:paraId="401D889F" w14:textId="77777777" w:rsidR="00FC0494" w:rsidRPr="000B75E4" w:rsidRDefault="00FC0494" w:rsidP="00B301A4">
      <w:pPr>
        <w:pStyle w:val="ListParagraph"/>
      </w:pPr>
      <w:r w:rsidRPr="000B75E4">
        <w:t>Types of insulin.</w:t>
      </w:r>
    </w:p>
    <w:p w14:paraId="480F0830" w14:textId="77777777" w:rsidR="00FC0494" w:rsidRPr="000B75E4" w:rsidRDefault="00FC0494" w:rsidP="00B301A4">
      <w:pPr>
        <w:pStyle w:val="ListParagraph"/>
      </w:pPr>
      <w:r w:rsidRPr="000B75E4">
        <w:t>Injection technique and sites of injection.</w:t>
      </w:r>
    </w:p>
    <w:p w14:paraId="03B9FDC5" w14:textId="77777777" w:rsidR="00FC0494" w:rsidRPr="000B75E4" w:rsidRDefault="00FC0494" w:rsidP="00B301A4">
      <w:pPr>
        <w:pStyle w:val="ListParagraph"/>
      </w:pPr>
      <w:r w:rsidRPr="000B75E4">
        <w:t>Insulin storage.</w:t>
      </w:r>
    </w:p>
    <w:p w14:paraId="11492A5D" w14:textId="77777777" w:rsidR="00FC0494" w:rsidRPr="000B75E4" w:rsidRDefault="00FC0494" w:rsidP="00B301A4">
      <w:pPr>
        <w:pStyle w:val="ListParagraph"/>
      </w:pPr>
      <w:r w:rsidRPr="000B75E4">
        <w:t>Self-monitoring of blood glucose and how to self-adjust insulin doses.</w:t>
      </w:r>
    </w:p>
    <w:p w14:paraId="3EEAE350" w14:textId="77777777" w:rsidR="00FC0494" w:rsidRPr="000B75E4" w:rsidRDefault="00FC0494" w:rsidP="00B301A4">
      <w:pPr>
        <w:pStyle w:val="ListParagraph"/>
      </w:pPr>
      <w:r w:rsidRPr="000B75E4">
        <w:t>Diet:</w:t>
      </w:r>
    </w:p>
    <w:p w14:paraId="541F5060" w14:textId="77777777" w:rsidR="00FC0494" w:rsidRPr="000B75E4" w:rsidRDefault="00FC0494" w:rsidP="00B301A4">
      <w:pPr>
        <w:pStyle w:val="ListParagraph"/>
        <w:numPr>
          <w:ilvl w:val="1"/>
          <w:numId w:val="5"/>
        </w:numPr>
      </w:pPr>
      <w:r w:rsidRPr="000B75E4">
        <w:t>Meal frequency, this varies according to the type and frequency of insulin, e.g. patients may need a snack at night about 3–4 hours after the evening meal.</w:t>
      </w:r>
    </w:p>
    <w:p w14:paraId="505B4452" w14:textId="77777777" w:rsidR="00FC0494" w:rsidRPr="000B75E4" w:rsidRDefault="00FC0494" w:rsidP="00B301A4">
      <w:pPr>
        <w:pStyle w:val="ListParagraph"/>
        <w:numPr>
          <w:ilvl w:val="1"/>
          <w:numId w:val="5"/>
        </w:numPr>
      </w:pPr>
      <w:r w:rsidRPr="000B75E4">
        <w:t>Consistent carbohydrate intake for patients receiving fixed mealtime doses of insulin.</w:t>
      </w:r>
    </w:p>
    <w:p w14:paraId="5858E8A3" w14:textId="77777777" w:rsidR="00FC0494" w:rsidRPr="000B75E4" w:rsidRDefault="00FC0494" w:rsidP="00B301A4">
      <w:pPr>
        <w:pStyle w:val="ListParagraph"/>
      </w:pPr>
      <w:r w:rsidRPr="000B75E4">
        <w:t>Recognition and treatment of acute complications, e.g. hypoglycaemia and hyperglycaemia.</w:t>
      </w:r>
    </w:p>
    <w:p w14:paraId="46610062" w14:textId="77777777" w:rsidR="007D59B8" w:rsidRPr="000B75E4" w:rsidRDefault="007D59B8" w:rsidP="00FC0494">
      <w:pPr>
        <w:pStyle w:val="NoSpacing"/>
      </w:pPr>
    </w:p>
    <w:tbl>
      <w:tblPr>
        <w:tblStyle w:val="SamplePHCTable"/>
        <w:tblW w:w="5000" w:type="pct"/>
        <w:tblLook w:val="0020" w:firstRow="1" w:lastRow="0" w:firstColumn="0" w:lastColumn="0" w:noHBand="0" w:noVBand="0"/>
      </w:tblPr>
      <w:tblGrid>
        <w:gridCol w:w="1415"/>
        <w:gridCol w:w="2833"/>
        <w:gridCol w:w="2431"/>
      </w:tblGrid>
      <w:tr w:rsidR="00942B06" w:rsidRPr="000B75E4" w14:paraId="091124D2" w14:textId="77777777" w:rsidTr="00942B06">
        <w:trPr>
          <w:cnfStyle w:val="100000000000" w:firstRow="1" w:lastRow="0" w:firstColumn="0" w:lastColumn="0" w:oddVBand="0" w:evenVBand="0" w:oddHBand="0" w:evenHBand="0" w:firstRowFirstColumn="0" w:firstRowLastColumn="0" w:lastRowFirstColumn="0" w:lastRowLastColumn="0"/>
        </w:trPr>
        <w:tc>
          <w:tcPr>
            <w:tcW w:w="1059" w:type="pct"/>
          </w:tcPr>
          <w:p w14:paraId="19569C78" w14:textId="77777777" w:rsidR="00FC0494" w:rsidRPr="000B75E4" w:rsidRDefault="00FC0494" w:rsidP="007B5A6A">
            <w:pPr>
              <w:pStyle w:val="NoSpacing"/>
            </w:pPr>
            <w:r w:rsidRPr="000B75E4">
              <w:t>Insulin type</w:t>
            </w:r>
          </w:p>
        </w:tc>
        <w:tc>
          <w:tcPr>
            <w:tcW w:w="2121" w:type="pct"/>
          </w:tcPr>
          <w:p w14:paraId="2ABD57C6" w14:textId="77777777" w:rsidR="00FC0494" w:rsidRPr="000B75E4" w:rsidRDefault="00FC0494" w:rsidP="007B5A6A">
            <w:pPr>
              <w:pStyle w:val="NoSpacing"/>
            </w:pPr>
            <w:r w:rsidRPr="000B75E4">
              <w:t>Starting dose</w:t>
            </w:r>
          </w:p>
        </w:tc>
        <w:tc>
          <w:tcPr>
            <w:tcW w:w="1820" w:type="pct"/>
          </w:tcPr>
          <w:p w14:paraId="3CDD18E7" w14:textId="77777777" w:rsidR="00FC0494" w:rsidRPr="000B75E4" w:rsidRDefault="00FC0494" w:rsidP="007B5A6A">
            <w:pPr>
              <w:pStyle w:val="NoSpacing"/>
            </w:pPr>
            <w:r w:rsidRPr="000B75E4">
              <w:t>Increment</w:t>
            </w:r>
          </w:p>
        </w:tc>
      </w:tr>
      <w:tr w:rsidR="00942B06" w:rsidRPr="000B75E4" w14:paraId="3D27E528" w14:textId="77777777" w:rsidTr="00942B06">
        <w:tc>
          <w:tcPr>
            <w:tcW w:w="1059" w:type="pct"/>
          </w:tcPr>
          <w:p w14:paraId="71BE4A07" w14:textId="77777777" w:rsidR="00FC0494" w:rsidRPr="00AF4888" w:rsidRDefault="00FC0494" w:rsidP="00AF4888">
            <w:pPr>
              <w:pStyle w:val="NoSpacing"/>
              <w:jc w:val="left"/>
              <w:rPr>
                <w:rStyle w:val="Strong"/>
              </w:rPr>
            </w:pPr>
            <w:r w:rsidRPr="00AF4888">
              <w:rPr>
                <w:rStyle w:val="Strong"/>
              </w:rPr>
              <w:lastRenderedPageBreak/>
              <w:t>Add on therapy:</w:t>
            </w:r>
          </w:p>
          <w:p w14:paraId="2C2AE229" w14:textId="38DDD30A" w:rsidR="00FC0494" w:rsidRPr="000B75E4" w:rsidRDefault="00C4081C" w:rsidP="00AF4888">
            <w:pPr>
              <w:pStyle w:val="BulletMedicine"/>
              <w:jc w:val="left"/>
            </w:pPr>
            <w:r>
              <w:t>Insulin</w:t>
            </w:r>
            <w:r w:rsidR="000956A5">
              <w:t>, i</w:t>
            </w:r>
            <w:r w:rsidR="00FC0494" w:rsidRPr="000B75E4">
              <w:t>ntermediate to long acting</w:t>
            </w:r>
            <w:r w:rsidR="00C44E9F">
              <w:t>, SC</w:t>
            </w:r>
            <w:r w:rsidR="00C44E9F">
              <w:fldChar w:fldCharType="begin"/>
            </w:r>
            <w:r w:rsidR="00C44E9F">
              <w:instrText xml:space="preserve"> XE "</w:instrText>
            </w:r>
            <w:r w:rsidR="00C44E9F" w:rsidRPr="00293B76">
              <w:instrText>Insulin, intermediate to long acting</w:instrText>
            </w:r>
            <w:r w:rsidR="00C44E9F">
              <w:instrText>"</w:instrText>
            </w:r>
            <w:r w:rsidR="001D0DFE">
              <w:instrText xml:space="preserve"> \f "m"</w:instrText>
            </w:r>
            <w:r w:rsidR="00C44E9F">
              <w:instrText xml:space="preserve"> </w:instrText>
            </w:r>
            <w:r w:rsidR="00C44E9F">
              <w:fldChar w:fldCharType="end"/>
            </w:r>
          </w:p>
        </w:tc>
        <w:tc>
          <w:tcPr>
            <w:tcW w:w="2121" w:type="pct"/>
          </w:tcPr>
          <w:p w14:paraId="0432FCDD" w14:textId="77777777" w:rsidR="00FC0494" w:rsidRPr="000B75E4" w:rsidRDefault="00FC0494" w:rsidP="00AF4888">
            <w:pPr>
              <w:pStyle w:val="NoSpacing"/>
              <w:jc w:val="left"/>
            </w:pPr>
            <w:r w:rsidRPr="000B75E4">
              <w:t>10 units in the evening before bedtime, but not after 22h00.</w:t>
            </w:r>
          </w:p>
        </w:tc>
        <w:tc>
          <w:tcPr>
            <w:tcW w:w="1820" w:type="pct"/>
          </w:tcPr>
          <w:p w14:paraId="331B6614" w14:textId="77777777" w:rsidR="00FC0494" w:rsidRPr="000B75E4" w:rsidRDefault="00FC0494" w:rsidP="00942B06">
            <w:pPr>
              <w:pStyle w:val="NoSpacing"/>
              <w:jc w:val="left"/>
            </w:pPr>
            <w:r w:rsidRPr="000B75E4">
              <w:t>If 10 units not effective: increase gradually to 20 units (2–4 units increase each week).</w:t>
            </w:r>
          </w:p>
        </w:tc>
      </w:tr>
      <w:tr w:rsidR="00942B06" w:rsidRPr="000B75E4" w14:paraId="4A5C1994" w14:textId="77777777" w:rsidTr="00942B06">
        <w:trPr>
          <w:trHeight w:val="346"/>
        </w:trPr>
        <w:tc>
          <w:tcPr>
            <w:tcW w:w="1059" w:type="pct"/>
          </w:tcPr>
          <w:p w14:paraId="3E8F0BD8" w14:textId="77777777" w:rsidR="00FC0494" w:rsidRPr="00AF4888" w:rsidRDefault="00FC0494" w:rsidP="00AF4888">
            <w:pPr>
              <w:pStyle w:val="NoSpacing"/>
              <w:jc w:val="left"/>
              <w:rPr>
                <w:rStyle w:val="Strong"/>
              </w:rPr>
            </w:pPr>
            <w:r w:rsidRPr="00AF4888">
              <w:rPr>
                <w:rStyle w:val="Strong"/>
              </w:rPr>
              <w:t>Substitution therapy:</w:t>
            </w:r>
          </w:p>
          <w:p w14:paraId="10C62EEB" w14:textId="26FA4C06" w:rsidR="00FC0494" w:rsidRPr="000B75E4" w:rsidRDefault="000956A5" w:rsidP="00AF4888">
            <w:pPr>
              <w:pStyle w:val="BulletMedicine"/>
              <w:jc w:val="left"/>
            </w:pPr>
            <w:r>
              <w:t>Insulin, b</w:t>
            </w:r>
            <w:r w:rsidR="00FC0494" w:rsidRPr="000B75E4">
              <w:t>iphasic</w:t>
            </w:r>
            <w:r w:rsidR="00C44E9F">
              <w:t>, SC</w:t>
            </w:r>
            <w:r w:rsidR="00C44E9F">
              <w:fldChar w:fldCharType="begin"/>
            </w:r>
            <w:r w:rsidR="00B82F62">
              <w:instrText xml:space="preserve"> XE "Insulin, biphasic" \f "m"</w:instrText>
            </w:r>
            <w:r w:rsidR="00C44E9F">
              <w:instrText xml:space="preserve"> </w:instrText>
            </w:r>
            <w:r w:rsidR="00C44E9F">
              <w:fldChar w:fldCharType="end"/>
            </w:r>
          </w:p>
        </w:tc>
        <w:tc>
          <w:tcPr>
            <w:tcW w:w="2121" w:type="pct"/>
          </w:tcPr>
          <w:p w14:paraId="1E02B1DC" w14:textId="77777777" w:rsidR="00FC0494" w:rsidRPr="000B75E4" w:rsidRDefault="00FC0494" w:rsidP="0076040B">
            <w:pPr>
              <w:jc w:val="left"/>
            </w:pPr>
            <w:r w:rsidRPr="000B75E4">
              <w:t>Twice daily.</w:t>
            </w:r>
          </w:p>
          <w:p w14:paraId="5DFBF16F" w14:textId="77777777" w:rsidR="00FC0494" w:rsidRPr="000B75E4" w:rsidRDefault="00FC0494" w:rsidP="001A033A">
            <w:pPr>
              <w:pStyle w:val="NoSpacing"/>
              <w:jc w:val="left"/>
            </w:pPr>
            <w:r w:rsidRPr="000B75E4">
              <w:t>Total daily dose:</w:t>
            </w:r>
          </w:p>
          <w:tbl>
            <w:tblPr>
              <w:tblpPr w:leftFromText="180" w:rightFromText="180" w:vertAnchor="text" w:horzAnchor="margin" w:tblpXSpec="right" w:tblpY="18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896"/>
            </w:tblGrid>
            <w:tr w:rsidR="00F94922" w:rsidRPr="000B75E4" w14:paraId="175F1ABD" w14:textId="77777777" w:rsidTr="00F94922">
              <w:tc>
                <w:tcPr>
                  <w:tcW w:w="896" w:type="dxa"/>
                  <w:shd w:val="clear" w:color="auto" w:fill="FFFFFF" w:themeFill="background1"/>
                </w:tcPr>
                <w:p w14:paraId="71A9BA5B" w14:textId="77777777" w:rsidR="00F94922" w:rsidRPr="000B75E4" w:rsidRDefault="00F94922" w:rsidP="00F94922">
                  <w:pPr>
                    <w:pStyle w:val="LoEText"/>
                    <w:framePr w:hSpace="0" w:wrap="auto" w:vAnchor="margin" w:hAnchor="text" w:xAlign="left" w:yAlign="inline"/>
                    <w:suppressOverlap w:val="0"/>
                  </w:pPr>
                  <w:proofErr w:type="spellStart"/>
                  <w:r w:rsidRPr="000B75E4">
                    <w:t>LoE</w:t>
                  </w:r>
                  <w:proofErr w:type="spellEnd"/>
                  <w:r w:rsidRPr="000B75E4">
                    <w:t>: III</w:t>
                  </w:r>
                  <w:r w:rsidRPr="008B3C0F">
                    <w:rPr>
                      <w:rStyle w:val="EndnoteReference"/>
                      <w:sz w:val="16"/>
                      <w:szCs w:val="16"/>
                    </w:rPr>
                    <w:endnoteReference w:id="9"/>
                  </w:r>
                </w:p>
              </w:tc>
            </w:tr>
          </w:tbl>
          <w:p w14:paraId="5CE87092" w14:textId="56EE1F7C" w:rsidR="00FC0494" w:rsidRPr="000B75E4" w:rsidRDefault="00FC0494" w:rsidP="001A033A">
            <w:pPr>
              <w:pStyle w:val="NoSpacing"/>
              <w:jc w:val="left"/>
            </w:pPr>
            <w:r w:rsidRPr="000B75E4">
              <w:t>Start with 0.3</w:t>
            </w:r>
            <w:r w:rsidR="00F94922">
              <w:t> </w:t>
            </w:r>
            <w:r w:rsidRPr="000B75E4">
              <w:t>units/kg/day* divided as follows:</w:t>
            </w:r>
          </w:p>
          <w:p w14:paraId="5C338B9F" w14:textId="1AF897C8" w:rsidR="00FC0494" w:rsidRPr="009421FC" w:rsidRDefault="00677292" w:rsidP="009421FC">
            <w:pPr>
              <w:pStyle w:val="BulletDirectionsInstructions"/>
              <w:jc w:val="left"/>
            </w:pPr>
            <w:r w:rsidRPr="009421FC">
              <w:t>2/</w:t>
            </w:r>
            <w:r w:rsidR="009421FC" w:rsidRPr="009421FC">
              <w:t>3</w:t>
            </w:r>
            <w:r w:rsidR="00DE0F01" w:rsidRPr="009421FC">
              <w:t xml:space="preserve"> </w:t>
            </w:r>
            <w:r w:rsidR="00FC0494" w:rsidRPr="009421FC">
              <w:t>of total daily dose, 30 minutes before breakfast.</w:t>
            </w:r>
          </w:p>
          <w:p w14:paraId="408032E5" w14:textId="729CB3AB" w:rsidR="00FC0494" w:rsidRPr="000B75E4" w:rsidRDefault="00DE0F01" w:rsidP="0073274B">
            <w:pPr>
              <w:pStyle w:val="BulletDirectionsInstructions"/>
              <w:jc w:val="left"/>
            </w:pPr>
            <w:r>
              <w:t xml:space="preserve">1/3 </w:t>
            </w:r>
            <w:r w:rsidR="00FC0494" w:rsidRPr="000B75E4">
              <w:t>of total daily dose, 30 minutes before supper.</w:t>
            </w:r>
          </w:p>
        </w:tc>
        <w:tc>
          <w:tcPr>
            <w:tcW w:w="1820" w:type="pct"/>
          </w:tcPr>
          <w:p w14:paraId="112D56C2" w14:textId="77777777" w:rsidR="00FC0494" w:rsidRPr="000B75E4" w:rsidRDefault="00FC0494" w:rsidP="0076040B">
            <w:pPr>
              <w:jc w:val="left"/>
            </w:pPr>
            <w:r w:rsidRPr="000B75E4">
              <w:t>4 units weekly.</w:t>
            </w:r>
          </w:p>
          <w:p w14:paraId="4B7EBBA4" w14:textId="77777777" w:rsidR="00FC0494" w:rsidRPr="000B75E4" w:rsidRDefault="00FC0494" w:rsidP="0076040B">
            <w:pPr>
              <w:jc w:val="left"/>
            </w:pPr>
            <w:r w:rsidRPr="000B75E4">
              <w:t>First increment is added to dose before breakfast.</w:t>
            </w:r>
          </w:p>
          <w:p w14:paraId="63659042" w14:textId="29521AF7" w:rsidR="00FC0494" w:rsidRPr="000B75E4" w:rsidRDefault="00FC0494" w:rsidP="0076040B">
            <w:pPr>
              <w:jc w:val="left"/>
            </w:pPr>
            <w:r w:rsidRPr="000B75E4">
              <w:t>Second increment is added to dose before supper.</w:t>
            </w:r>
          </w:p>
        </w:tc>
      </w:tr>
    </w:tbl>
    <w:p w14:paraId="4A4E284B" w14:textId="77777777" w:rsidR="00FC0494" w:rsidRPr="000B75E4" w:rsidRDefault="00FC0494" w:rsidP="00FC0494">
      <w:pPr>
        <w:pStyle w:val="NoSpacing"/>
      </w:pPr>
      <w:r w:rsidRPr="000B75E4">
        <w:t>*Example of a dose calculation:</w:t>
      </w:r>
    </w:p>
    <w:p w14:paraId="336CA3CF" w14:textId="025A6BFB" w:rsidR="00FC0494" w:rsidRPr="000B75E4" w:rsidRDefault="00FC0494" w:rsidP="00C1595D">
      <w:pPr>
        <w:pStyle w:val="ListParagraph"/>
        <w:numPr>
          <w:ilvl w:val="1"/>
          <w:numId w:val="5"/>
        </w:numPr>
      </w:pPr>
      <w:r w:rsidRPr="000B75E4">
        <w:t>For a 70 kg adult: 0.3 units x 70 kg = 21 units per day; divided as 14 units 30 minutes before breakfast and 7 units 30 minutes before breakfast.</w:t>
      </w:r>
    </w:p>
    <w:p w14:paraId="2A4EC243" w14:textId="77777777" w:rsidR="00FC0494" w:rsidRPr="000B75E4" w:rsidRDefault="00FC0494" w:rsidP="00013D84">
      <w:pPr>
        <w:pStyle w:val="Heading5"/>
      </w:pPr>
      <w:r w:rsidRPr="000B75E4">
        <w:t>REFERRAL</w:t>
      </w:r>
    </w:p>
    <w:p w14:paraId="2A7F43CE" w14:textId="77777777" w:rsidR="00FC0494" w:rsidRPr="00C1595D" w:rsidRDefault="00FC0494" w:rsidP="00FC0494">
      <w:pPr>
        <w:pStyle w:val="NoSpacing"/>
        <w:rPr>
          <w:rStyle w:val="Strong"/>
        </w:rPr>
      </w:pPr>
      <w:r w:rsidRPr="00C1595D">
        <w:rPr>
          <w:rStyle w:val="Strong"/>
        </w:rPr>
        <w:t>Urgent (same day)</w:t>
      </w:r>
    </w:p>
    <w:p w14:paraId="6F5909E7" w14:textId="77777777" w:rsidR="00FC0494" w:rsidRPr="000B75E4" w:rsidRDefault="00FC0494" w:rsidP="00C1595D">
      <w:pPr>
        <w:pStyle w:val="ListParagraph"/>
      </w:pPr>
      <w:r w:rsidRPr="000B75E4">
        <w:t>Acidotic breathing.</w:t>
      </w:r>
    </w:p>
    <w:p w14:paraId="45DDDB7A" w14:textId="77777777" w:rsidR="00FC0494" w:rsidRPr="000B75E4" w:rsidRDefault="00FC0494" w:rsidP="00C1595D">
      <w:pPr>
        <w:pStyle w:val="ListParagraph"/>
      </w:pPr>
      <w:r w:rsidRPr="000B75E4">
        <w:t>Dehydration and hypotension.</w:t>
      </w:r>
    </w:p>
    <w:p w14:paraId="6B39BB33" w14:textId="77777777" w:rsidR="00FC0494" w:rsidRPr="000B75E4" w:rsidRDefault="00FC0494" w:rsidP="00C1595D">
      <w:pPr>
        <w:pStyle w:val="ListParagraph"/>
      </w:pPr>
      <w:r w:rsidRPr="000B75E4">
        <w:t>Nausea, vomiting and abdominal pain.</w:t>
      </w:r>
    </w:p>
    <w:p w14:paraId="20CF723D" w14:textId="77777777" w:rsidR="00FC0494" w:rsidRPr="000B75E4" w:rsidRDefault="00FC0494" w:rsidP="00C1595D">
      <w:pPr>
        <w:pStyle w:val="ListParagraph"/>
      </w:pPr>
      <w:r w:rsidRPr="000B75E4">
        <w:t>Ketonuria (more than 1+).</w:t>
      </w:r>
    </w:p>
    <w:p w14:paraId="515E586A" w14:textId="77777777" w:rsidR="00FC0494" w:rsidRPr="000B75E4" w:rsidRDefault="00FC0494" w:rsidP="00C1595D">
      <w:pPr>
        <w:pStyle w:val="ListParagraph"/>
      </w:pPr>
      <w:r w:rsidRPr="000B75E4">
        <w:t>Hyperglycaemia &gt;25 mmol/L.</w:t>
      </w:r>
    </w:p>
    <w:p w14:paraId="2B72B493" w14:textId="77777777" w:rsidR="00FC0494" w:rsidRPr="000B75E4" w:rsidRDefault="00FC0494" w:rsidP="00C1595D">
      <w:pPr>
        <w:pStyle w:val="ListParagraph"/>
      </w:pPr>
      <w:r w:rsidRPr="000B75E4">
        <w:t>Gangrene.</w:t>
      </w:r>
    </w:p>
    <w:p w14:paraId="6A862B9D" w14:textId="77777777" w:rsidR="00FC0494" w:rsidRPr="000B75E4" w:rsidRDefault="00FC0494" w:rsidP="00C1595D">
      <w:pPr>
        <w:pStyle w:val="ListParagraph"/>
      </w:pPr>
      <w:r w:rsidRPr="000B75E4">
        <w:t>Sudden deterioration of vision.</w:t>
      </w:r>
    </w:p>
    <w:p w14:paraId="3844196D" w14:textId="77777777" w:rsidR="00FC0494" w:rsidRPr="000B75E4" w:rsidRDefault="00FC0494" w:rsidP="00C1595D">
      <w:pPr>
        <w:pStyle w:val="ListParagraph"/>
      </w:pPr>
      <w:r w:rsidRPr="000B75E4">
        <w:t>Serious infections.</w:t>
      </w:r>
    </w:p>
    <w:p w14:paraId="630BE077" w14:textId="0383CE3D" w:rsidR="00FC0494" w:rsidRPr="000B75E4" w:rsidRDefault="00FC0494" w:rsidP="00FC0494">
      <w:pPr>
        <w:pStyle w:val="NoSpacing"/>
      </w:pPr>
      <w:r w:rsidRPr="00C1595D">
        <w:rPr>
          <w:rStyle w:val="Strong"/>
        </w:rPr>
        <w:t>Note:</w:t>
      </w:r>
      <w:r w:rsidRPr="000B75E4">
        <w:t xml:space="preserve"> Consider IV infusion with sodium chloride 0.9%, before transferring very ill patients.</w:t>
      </w:r>
    </w:p>
    <w:p w14:paraId="59AF101E" w14:textId="77777777" w:rsidR="00FC0494" w:rsidRPr="00DB3864" w:rsidRDefault="00FC0494" w:rsidP="00FC0494">
      <w:pPr>
        <w:pStyle w:val="NoSpacing"/>
        <w:rPr>
          <w:rStyle w:val="Strong"/>
        </w:rPr>
      </w:pPr>
      <w:r w:rsidRPr="00DB3864">
        <w:rPr>
          <w:rStyle w:val="Strong"/>
        </w:rPr>
        <w:t>Non-urgent</w:t>
      </w:r>
    </w:p>
    <w:p w14:paraId="2C0A3567" w14:textId="77777777" w:rsidR="00FC0494" w:rsidRPr="000B75E4" w:rsidRDefault="00FC0494" w:rsidP="00DB3864">
      <w:pPr>
        <w:pStyle w:val="ListParagraph"/>
      </w:pPr>
      <w:r w:rsidRPr="000B75E4">
        <w:t>Pregnancy.</w:t>
      </w:r>
    </w:p>
    <w:p w14:paraId="1EAF767A" w14:textId="77777777" w:rsidR="00FC0494" w:rsidRPr="000B75E4" w:rsidRDefault="00FC0494" w:rsidP="00DB3864">
      <w:pPr>
        <w:pStyle w:val="ListParagraph"/>
      </w:pPr>
      <w:r w:rsidRPr="000B75E4">
        <w:t>Failure of step 3 to control diabetes.</w:t>
      </w:r>
    </w:p>
    <w:p w14:paraId="4C60F9CA" w14:textId="77777777" w:rsidR="00FC0494" w:rsidRPr="000B75E4" w:rsidRDefault="00FC0494" w:rsidP="00DB3864">
      <w:pPr>
        <w:pStyle w:val="ListParagraph"/>
      </w:pPr>
      <w:r w:rsidRPr="000B75E4">
        <w:t>eGFR&lt; 30 mL/minute.</w:t>
      </w:r>
    </w:p>
    <w:p w14:paraId="3F5BA18F" w14:textId="77777777" w:rsidR="00FC0494" w:rsidRPr="000B75E4" w:rsidRDefault="00FC0494" w:rsidP="00DB3864">
      <w:pPr>
        <w:pStyle w:val="ListParagraph"/>
      </w:pPr>
      <w:r w:rsidRPr="000B75E4">
        <w:t>Ischaemic heart disease.</w:t>
      </w:r>
    </w:p>
    <w:p w14:paraId="3951C95C" w14:textId="77777777" w:rsidR="00FC0494" w:rsidRPr="000B75E4" w:rsidRDefault="00FC0494" w:rsidP="00DB3864">
      <w:pPr>
        <w:pStyle w:val="ListParagraph"/>
      </w:pPr>
      <w:r w:rsidRPr="000B75E4">
        <w:t>Cerebrovascular disease.</w:t>
      </w:r>
    </w:p>
    <w:p w14:paraId="11A6A32B" w14:textId="77777777" w:rsidR="00FC0494" w:rsidRPr="000B75E4" w:rsidRDefault="00FC0494" w:rsidP="00DB3864">
      <w:pPr>
        <w:pStyle w:val="ListParagraph"/>
      </w:pPr>
      <w:r w:rsidRPr="000B75E4">
        <w:t>Refractory hypertension.</w:t>
      </w:r>
    </w:p>
    <w:p w14:paraId="40CE6CCE" w14:textId="77777777" w:rsidR="00FC0494" w:rsidRPr="000B75E4" w:rsidRDefault="00FC0494" w:rsidP="00DB3864">
      <w:pPr>
        <w:pStyle w:val="ListParagraph"/>
      </w:pPr>
      <w:r w:rsidRPr="000B75E4">
        <w:t>Progressive loss of vision.</w:t>
      </w:r>
    </w:p>
    <w:p w14:paraId="54D68F1F" w14:textId="77777777" w:rsidR="00FC0494" w:rsidRPr="000B75E4" w:rsidRDefault="00FC0494" w:rsidP="00FC0494">
      <w:pPr>
        <w:pStyle w:val="NoSpacing"/>
      </w:pPr>
    </w:p>
    <w:p w14:paraId="463D6D4E" w14:textId="61973DC6" w:rsidR="00FC0494" w:rsidRPr="00D52AC4" w:rsidRDefault="00D52AC4" w:rsidP="00D52AC4">
      <w:pPr>
        <w:pStyle w:val="Heading2"/>
      </w:pPr>
      <w:bookmarkStart w:id="9" w:name="_Toc56695564"/>
      <w:r w:rsidRPr="00D52AC4">
        <w:lastRenderedPageBreak/>
        <w:t>Diabetic emergencies</w:t>
      </w:r>
      <w:bookmarkEnd w:id="9"/>
      <w:r w:rsidR="001D0DFE">
        <w:fldChar w:fldCharType="begin"/>
      </w:r>
      <w:r w:rsidR="001D0DFE">
        <w:instrText xml:space="preserve"> XE "</w:instrText>
      </w:r>
      <w:r w:rsidR="001D0DFE" w:rsidRPr="00ED0C31">
        <w:instrText>Diabetic emergencies</w:instrText>
      </w:r>
      <w:r w:rsidR="001D0DFE">
        <w:instrText xml:space="preserve">" </w:instrText>
      </w:r>
      <w:r w:rsidR="001D0DFE" w:rsidRPr="001D0DFE">
        <w:instrText>\f “c”</w:instrText>
      </w:r>
      <w:r w:rsidR="001D0DFE">
        <w:fldChar w:fldCharType="end"/>
      </w:r>
    </w:p>
    <w:p w14:paraId="6B1BDC48" w14:textId="77777777" w:rsidR="00FC0494" w:rsidRPr="000B75E4" w:rsidRDefault="00FC0494" w:rsidP="00DB3864">
      <w:pPr>
        <w:pStyle w:val="Heading5"/>
      </w:pPr>
      <w:r w:rsidRPr="000B75E4">
        <w:t>DESCRIPTION</w:t>
      </w:r>
    </w:p>
    <w:p w14:paraId="26DEB922" w14:textId="77777777" w:rsidR="00FC0494" w:rsidRPr="000B75E4" w:rsidRDefault="00FC0494" w:rsidP="00FC0494">
      <w:pPr>
        <w:pStyle w:val="NoSpacing"/>
      </w:pPr>
      <w:r w:rsidRPr="000B75E4">
        <w:t>Diabetics may present with a decreased level of consciousness owing to:</w:t>
      </w:r>
    </w:p>
    <w:p w14:paraId="4971144F" w14:textId="77777777" w:rsidR="00FC0494" w:rsidRPr="000B75E4" w:rsidRDefault="00FC0494" w:rsidP="00DB3864">
      <w:pPr>
        <w:pStyle w:val="ListParagraph"/>
      </w:pPr>
      <w:r w:rsidRPr="000B75E4">
        <w:t xml:space="preserve">hyperglycaemia diabetic ketoacidosis (DKA) or hyperosmolar hyperglycaemic state (HHS), or </w:t>
      </w:r>
    </w:p>
    <w:p w14:paraId="1224F511" w14:textId="77777777" w:rsidR="00FC0494" w:rsidRPr="000B75E4" w:rsidRDefault="00FC0494" w:rsidP="00DB3864">
      <w:pPr>
        <w:pStyle w:val="ListParagraph"/>
      </w:pPr>
      <w:r w:rsidRPr="000B75E4">
        <w:t>hypoglycaemia.</w:t>
      </w:r>
    </w:p>
    <w:p w14:paraId="06455477" w14:textId="77777777" w:rsidR="00FC0494" w:rsidRPr="000B75E4" w:rsidRDefault="00FC0494" w:rsidP="00DB3864">
      <w:pPr>
        <w:pStyle w:val="Heading5"/>
      </w:pPr>
      <w:r w:rsidRPr="000B75E4">
        <w:t>DIAGNOSIS</w:t>
      </w:r>
    </w:p>
    <w:p w14:paraId="2CC603B7" w14:textId="77777777" w:rsidR="00FC0494" w:rsidRPr="000B75E4" w:rsidRDefault="00FC0494" w:rsidP="00FC0494">
      <w:pPr>
        <w:pStyle w:val="NoSpacing"/>
      </w:pPr>
      <w:r w:rsidRPr="000B75E4">
        <w:t>Check blood glucose concentration and test urine for ketones, immediately.</w:t>
      </w:r>
    </w:p>
    <w:p w14:paraId="43895CF2" w14:textId="77777777" w:rsidR="00FC0494" w:rsidRPr="000B75E4" w:rsidRDefault="00FC0494" w:rsidP="00FC0494">
      <w:pPr>
        <w:pStyle w:val="NoSpacing"/>
      </w:pPr>
    </w:p>
    <w:tbl>
      <w:tblPr>
        <w:tblStyle w:val="SamplePHCTable"/>
        <w:tblW w:w="0" w:type="auto"/>
        <w:tblLook w:val="01A0" w:firstRow="1" w:lastRow="0" w:firstColumn="1" w:lastColumn="1" w:noHBand="0" w:noVBand="0"/>
      </w:tblPr>
      <w:tblGrid>
        <w:gridCol w:w="1659"/>
        <w:gridCol w:w="2027"/>
        <w:gridCol w:w="1651"/>
        <w:gridCol w:w="1347"/>
      </w:tblGrid>
      <w:tr w:rsidR="004F222F" w:rsidRPr="000B75E4" w14:paraId="6A2147CC" w14:textId="77777777" w:rsidTr="008C1B81">
        <w:trPr>
          <w:cnfStyle w:val="100000000000" w:firstRow="1" w:lastRow="0" w:firstColumn="0" w:lastColumn="0" w:oddVBand="0" w:evenVBand="0" w:oddHBand="0" w:evenHBand="0" w:firstRowFirstColumn="0" w:firstRowLastColumn="0" w:lastRowFirstColumn="0" w:lastRowLastColumn="0"/>
        </w:trPr>
        <w:tc>
          <w:tcPr>
            <w:tcW w:w="1659" w:type="dxa"/>
            <w:vMerge w:val="restart"/>
            <w:tcBorders>
              <w:top w:val="nil"/>
              <w:left w:val="nil"/>
            </w:tcBorders>
            <w:shd w:val="clear" w:color="auto" w:fill="auto"/>
          </w:tcPr>
          <w:p w14:paraId="07BF851C" w14:textId="77777777" w:rsidR="004F222F" w:rsidRPr="000B75E4" w:rsidRDefault="004F222F" w:rsidP="007B5A6A">
            <w:pPr>
              <w:pStyle w:val="NoSpacing"/>
            </w:pPr>
          </w:p>
        </w:tc>
        <w:tc>
          <w:tcPr>
            <w:tcW w:w="3678" w:type="dxa"/>
            <w:gridSpan w:val="2"/>
          </w:tcPr>
          <w:p w14:paraId="59624ACD" w14:textId="77777777" w:rsidR="004F222F" w:rsidRPr="000B75E4" w:rsidRDefault="004F222F" w:rsidP="004F222F">
            <w:pPr>
              <w:pStyle w:val="NoSpacing"/>
              <w:jc w:val="center"/>
            </w:pPr>
            <w:r w:rsidRPr="000B75E4">
              <w:t>Hyperglycaemia</w:t>
            </w:r>
          </w:p>
        </w:tc>
        <w:tc>
          <w:tcPr>
            <w:tcW w:w="1347" w:type="dxa"/>
            <w:vMerge w:val="restart"/>
          </w:tcPr>
          <w:p w14:paraId="2ADC8D31" w14:textId="77777777" w:rsidR="004F222F" w:rsidRPr="000B75E4" w:rsidRDefault="004F222F" w:rsidP="007B5A6A">
            <w:pPr>
              <w:pStyle w:val="NoSpacing"/>
            </w:pPr>
            <w:r w:rsidRPr="000B75E4">
              <w:t>Hypoglycaemia</w:t>
            </w:r>
          </w:p>
        </w:tc>
      </w:tr>
      <w:tr w:rsidR="004F222F" w:rsidRPr="000B75E4" w14:paraId="46549756" w14:textId="77777777" w:rsidTr="008C1B81">
        <w:tc>
          <w:tcPr>
            <w:tcW w:w="1659" w:type="dxa"/>
            <w:vMerge/>
            <w:tcBorders>
              <w:left w:val="nil"/>
            </w:tcBorders>
          </w:tcPr>
          <w:p w14:paraId="19CC4364" w14:textId="77777777" w:rsidR="004F222F" w:rsidRPr="000B75E4" w:rsidRDefault="004F222F" w:rsidP="007B5A6A">
            <w:pPr>
              <w:pStyle w:val="NoSpacing"/>
            </w:pPr>
          </w:p>
        </w:tc>
        <w:tc>
          <w:tcPr>
            <w:tcW w:w="2027" w:type="dxa"/>
            <w:shd w:val="clear" w:color="auto" w:fill="D9D9D9" w:themeFill="background1" w:themeFillShade="D9"/>
          </w:tcPr>
          <w:p w14:paraId="4C42047B" w14:textId="77777777" w:rsidR="004F222F" w:rsidRPr="004F222F" w:rsidRDefault="004F222F" w:rsidP="007B5A6A">
            <w:pPr>
              <w:pStyle w:val="NoSpacing"/>
              <w:rPr>
                <w:rStyle w:val="Strong"/>
              </w:rPr>
            </w:pPr>
            <w:r w:rsidRPr="004F222F">
              <w:rPr>
                <w:rStyle w:val="Strong"/>
              </w:rPr>
              <w:t>DKA</w:t>
            </w:r>
          </w:p>
        </w:tc>
        <w:tc>
          <w:tcPr>
            <w:tcW w:w="1651" w:type="dxa"/>
            <w:shd w:val="clear" w:color="auto" w:fill="D9D9D9" w:themeFill="background1" w:themeFillShade="D9"/>
          </w:tcPr>
          <w:p w14:paraId="1BB2C285" w14:textId="77777777" w:rsidR="004F222F" w:rsidRPr="004F222F" w:rsidRDefault="004F222F" w:rsidP="007B5A6A">
            <w:pPr>
              <w:pStyle w:val="NoSpacing"/>
              <w:rPr>
                <w:rStyle w:val="Strong"/>
              </w:rPr>
            </w:pPr>
            <w:r w:rsidRPr="004F222F">
              <w:rPr>
                <w:rStyle w:val="Strong"/>
              </w:rPr>
              <w:t>HHS</w:t>
            </w:r>
          </w:p>
        </w:tc>
        <w:tc>
          <w:tcPr>
            <w:tcW w:w="1347" w:type="dxa"/>
            <w:vMerge/>
          </w:tcPr>
          <w:p w14:paraId="33DD2802" w14:textId="77777777" w:rsidR="004F222F" w:rsidRPr="000B75E4" w:rsidRDefault="004F222F" w:rsidP="007B5A6A">
            <w:pPr>
              <w:pStyle w:val="NoSpacing"/>
            </w:pPr>
          </w:p>
        </w:tc>
      </w:tr>
      <w:tr w:rsidR="008C1B81" w:rsidRPr="000B75E4" w14:paraId="0A223487" w14:textId="77777777" w:rsidTr="008C1B81">
        <w:tc>
          <w:tcPr>
            <w:tcW w:w="1659" w:type="dxa"/>
          </w:tcPr>
          <w:p w14:paraId="363EAA71" w14:textId="77777777" w:rsidR="00FC0494" w:rsidRPr="000B75E4" w:rsidRDefault="00FC0494" w:rsidP="007B5A6A">
            <w:pPr>
              <w:pStyle w:val="NoSpacing"/>
            </w:pPr>
            <w:r w:rsidRPr="000B75E4">
              <w:t xml:space="preserve">Blood glucose </w:t>
            </w:r>
          </w:p>
        </w:tc>
        <w:tc>
          <w:tcPr>
            <w:tcW w:w="2027" w:type="dxa"/>
          </w:tcPr>
          <w:p w14:paraId="0D4FCD94" w14:textId="7557C32B" w:rsidR="00FC0494" w:rsidRPr="000B75E4" w:rsidRDefault="00FC0494" w:rsidP="004F222F">
            <w:pPr>
              <w:pStyle w:val="NoSpacing"/>
            </w:pPr>
            <w:r w:rsidRPr="000B75E4">
              <w:t xml:space="preserve">≥ 11.1 mmol/L </w:t>
            </w:r>
          </w:p>
        </w:tc>
        <w:tc>
          <w:tcPr>
            <w:tcW w:w="1651" w:type="dxa"/>
          </w:tcPr>
          <w:p w14:paraId="498E5DB0" w14:textId="77777777" w:rsidR="00FC0494" w:rsidRPr="000B75E4" w:rsidRDefault="00FC0494" w:rsidP="007B5A6A">
            <w:pPr>
              <w:pStyle w:val="NoSpacing"/>
            </w:pPr>
            <w:r w:rsidRPr="000B75E4">
              <w:t>Usually &gt; 40 mmol/L</w:t>
            </w:r>
          </w:p>
        </w:tc>
        <w:tc>
          <w:tcPr>
            <w:tcW w:w="1347" w:type="dxa"/>
          </w:tcPr>
          <w:p w14:paraId="75AD083E" w14:textId="77777777" w:rsidR="00FC0494" w:rsidRPr="000B75E4" w:rsidRDefault="00FC0494" w:rsidP="007B5A6A">
            <w:pPr>
              <w:pStyle w:val="NoSpacing"/>
            </w:pPr>
            <w:r w:rsidRPr="000B75E4">
              <w:t xml:space="preserve">&lt; 4 mmol/L </w:t>
            </w:r>
          </w:p>
        </w:tc>
      </w:tr>
      <w:tr w:rsidR="008C1B81" w:rsidRPr="000B75E4" w14:paraId="60E8A052" w14:textId="77777777" w:rsidTr="008C1B81">
        <w:tc>
          <w:tcPr>
            <w:tcW w:w="1659" w:type="dxa"/>
          </w:tcPr>
          <w:p w14:paraId="5D45D836" w14:textId="77777777" w:rsidR="00FC0494" w:rsidRPr="000B75E4" w:rsidRDefault="00FC0494" w:rsidP="007B5A6A">
            <w:pPr>
              <w:pStyle w:val="NoSpacing"/>
            </w:pPr>
            <w:r w:rsidRPr="000B75E4">
              <w:t>Urine test for ketones</w:t>
            </w:r>
          </w:p>
        </w:tc>
        <w:tc>
          <w:tcPr>
            <w:tcW w:w="2027" w:type="dxa"/>
          </w:tcPr>
          <w:p w14:paraId="5B848028" w14:textId="77777777" w:rsidR="00FC0494" w:rsidRPr="000B75E4" w:rsidRDefault="00FC0494" w:rsidP="007B5A6A">
            <w:pPr>
              <w:pStyle w:val="NoSpacing"/>
            </w:pPr>
            <w:r w:rsidRPr="000B75E4">
              <w:t>Usually positive and &gt; 1+</w:t>
            </w:r>
          </w:p>
        </w:tc>
        <w:tc>
          <w:tcPr>
            <w:tcW w:w="1651" w:type="dxa"/>
          </w:tcPr>
          <w:p w14:paraId="053577FE" w14:textId="77777777" w:rsidR="00FC0494" w:rsidRPr="000B75E4" w:rsidRDefault="00FC0494" w:rsidP="007B5A6A">
            <w:pPr>
              <w:pStyle w:val="NoSpacing"/>
            </w:pPr>
            <w:proofErr w:type="gramStart"/>
            <w:r w:rsidRPr="000B75E4">
              <w:t>Usually</w:t>
            </w:r>
            <w:proofErr w:type="gramEnd"/>
            <w:r w:rsidRPr="000B75E4">
              <w:t xml:space="preserve"> negative</w:t>
            </w:r>
          </w:p>
        </w:tc>
        <w:tc>
          <w:tcPr>
            <w:tcW w:w="1347" w:type="dxa"/>
          </w:tcPr>
          <w:p w14:paraId="6F490F9B" w14:textId="77777777" w:rsidR="00FC0494" w:rsidRPr="000B75E4" w:rsidRDefault="00FC0494" w:rsidP="007B5A6A">
            <w:pPr>
              <w:pStyle w:val="NoSpacing"/>
            </w:pPr>
            <w:proofErr w:type="gramStart"/>
            <w:r w:rsidRPr="000B75E4">
              <w:t>Usually</w:t>
            </w:r>
            <w:proofErr w:type="gramEnd"/>
            <w:r w:rsidRPr="000B75E4">
              <w:t xml:space="preserve"> negative</w:t>
            </w:r>
          </w:p>
        </w:tc>
      </w:tr>
    </w:tbl>
    <w:p w14:paraId="530F3D5D" w14:textId="4D6F1708" w:rsidR="00FC0494" w:rsidRDefault="00FC0494" w:rsidP="002B6798">
      <w:r w:rsidRPr="000B75E4">
        <w:t>If a diagnosis cannot be made, treat as hypoglycaemia and refer urgently.</w:t>
      </w:r>
      <w:r w:rsidR="002B6798">
        <w:t xml:space="preserve"> </w:t>
      </w:r>
      <w:r w:rsidR="00A16725">
        <w:br/>
      </w:r>
      <w:r w:rsidRPr="000B75E4">
        <w:t>Low blood glucose presents the most immediate danger to life.</w:t>
      </w:r>
    </w:p>
    <w:p w14:paraId="534B9793" w14:textId="77777777" w:rsidR="002B6798" w:rsidRPr="000B75E4" w:rsidRDefault="002B6798" w:rsidP="00FC0494">
      <w:pPr>
        <w:pStyle w:val="NoSpacing"/>
      </w:pPr>
    </w:p>
    <w:p w14:paraId="0AB1EAE9" w14:textId="2537DCE2" w:rsidR="00FC0494" w:rsidRPr="00D52AC4" w:rsidRDefault="00D52AC4" w:rsidP="00D52AC4">
      <w:pPr>
        <w:pStyle w:val="Heading3"/>
      </w:pPr>
      <w:bookmarkStart w:id="10" w:name="_Toc56695565"/>
      <w:r w:rsidRPr="00D52AC4">
        <w:t>Hypoglycaemia in diabetics</w:t>
      </w:r>
      <w:bookmarkEnd w:id="10"/>
      <w:r w:rsidR="001D0DFE">
        <w:fldChar w:fldCharType="begin"/>
      </w:r>
      <w:r w:rsidR="001D0DFE">
        <w:instrText xml:space="preserve"> XE "</w:instrText>
      </w:r>
      <w:r w:rsidR="001D0DFE" w:rsidRPr="00ED0C31">
        <w:instrText>Hypoglycaemia in diabetics</w:instrText>
      </w:r>
      <w:r w:rsidR="001D0DFE">
        <w:instrText xml:space="preserve">" </w:instrText>
      </w:r>
      <w:r w:rsidR="001D0DFE" w:rsidRPr="001D0DFE">
        <w:instrText>\f “c”</w:instrText>
      </w:r>
      <w:r w:rsidR="001D0DFE">
        <w:fldChar w:fldCharType="end"/>
      </w:r>
    </w:p>
    <w:p w14:paraId="668DA31E" w14:textId="77777777" w:rsidR="00FC0494" w:rsidRPr="000B75E4" w:rsidRDefault="00FC0494" w:rsidP="002B6798">
      <w:pPr>
        <w:pStyle w:val="ICD10"/>
      </w:pPr>
      <w:r w:rsidRPr="000B75E4">
        <w:t>E10.0/E11.0/E12.0/E13.0/E14.0</w:t>
      </w:r>
    </w:p>
    <w:p w14:paraId="375FB3D7" w14:textId="77777777" w:rsidR="00FC0494" w:rsidRPr="000B75E4" w:rsidRDefault="00FC0494" w:rsidP="00A16725">
      <w:pPr>
        <w:pStyle w:val="Heading5"/>
      </w:pPr>
      <w:r w:rsidRPr="000B75E4">
        <w:t>DESCRIPTION</w:t>
      </w:r>
    </w:p>
    <w:p w14:paraId="6D831C50" w14:textId="77777777" w:rsidR="00FC0494" w:rsidRPr="000B75E4" w:rsidRDefault="00FC0494" w:rsidP="00750F68">
      <w:r w:rsidRPr="000B75E4">
        <w:t>Diabetic patients on therapy may experience hypoglycaemia for reasons such as intercurrent illness (e.g. diarrhoea); missed meals; inadvertent intramuscular injections of insulin or miscalculated doses of insulin or progressive renal failure leading to decreased insulin clearance; alcohol ingestion; and exercise without appropriate dietary preparation.</w:t>
      </w:r>
    </w:p>
    <w:p w14:paraId="541C6A09" w14:textId="77777777" w:rsidR="00FC0494" w:rsidRPr="000B75E4" w:rsidRDefault="00FC0494" w:rsidP="00750F68">
      <w:r w:rsidRPr="000B75E4">
        <w:t>Risk factors include age &lt; 6 years of age, low HbA1c, and longer duration of diabetes.</w:t>
      </w:r>
    </w:p>
    <w:p w14:paraId="27314FC4" w14:textId="77777777" w:rsidR="00FC0494" w:rsidRPr="000B75E4" w:rsidRDefault="00FC0494" w:rsidP="00750F68">
      <w:r w:rsidRPr="000B75E4">
        <w:t>Hypoglycaemia in diabetic patients can be graded according to the table below:</w:t>
      </w:r>
    </w:p>
    <w:tbl>
      <w:tblPr>
        <w:tblStyle w:val="SamplePHCTable"/>
        <w:tblW w:w="5000" w:type="pct"/>
        <w:tblLook w:val="01A0" w:firstRow="1" w:lastRow="0" w:firstColumn="1" w:lastColumn="1" w:noHBand="0" w:noVBand="0"/>
      </w:tblPr>
      <w:tblGrid>
        <w:gridCol w:w="4248"/>
        <w:gridCol w:w="2431"/>
      </w:tblGrid>
      <w:tr w:rsidR="00FC0494" w:rsidRPr="000B75E4" w14:paraId="2814C9AE" w14:textId="77777777" w:rsidTr="0077012B">
        <w:trPr>
          <w:cnfStyle w:val="100000000000" w:firstRow="1" w:lastRow="0" w:firstColumn="0" w:lastColumn="0" w:oddVBand="0" w:evenVBand="0" w:oddHBand="0" w:evenHBand="0" w:firstRowFirstColumn="0" w:firstRowLastColumn="0" w:lastRowFirstColumn="0" w:lastRowLastColumn="0"/>
        </w:trPr>
        <w:tc>
          <w:tcPr>
            <w:tcW w:w="3180" w:type="pct"/>
          </w:tcPr>
          <w:p w14:paraId="58E5B632" w14:textId="77777777" w:rsidR="00FC0494" w:rsidRPr="000B75E4" w:rsidRDefault="00FC0494" w:rsidP="007B5A6A">
            <w:pPr>
              <w:pStyle w:val="NoSpacing"/>
            </w:pPr>
            <w:r w:rsidRPr="000B75E4">
              <w:t>Mild/moderate hypoglycaemia</w:t>
            </w:r>
          </w:p>
        </w:tc>
        <w:tc>
          <w:tcPr>
            <w:tcW w:w="1820" w:type="pct"/>
          </w:tcPr>
          <w:p w14:paraId="7F8B8FB3" w14:textId="77777777" w:rsidR="00FC0494" w:rsidRPr="000B75E4" w:rsidRDefault="00FC0494" w:rsidP="007B5A6A">
            <w:pPr>
              <w:pStyle w:val="NoSpacing"/>
            </w:pPr>
            <w:r w:rsidRPr="000B75E4">
              <w:t>Severe hypoglycaemia</w:t>
            </w:r>
          </w:p>
        </w:tc>
      </w:tr>
      <w:tr w:rsidR="00FC0494" w:rsidRPr="000B75E4" w14:paraId="61243A4D" w14:textId="77777777" w:rsidTr="0077012B">
        <w:tc>
          <w:tcPr>
            <w:tcW w:w="3180" w:type="pct"/>
          </w:tcPr>
          <w:p w14:paraId="022CA70B" w14:textId="1E49F612" w:rsidR="00FC0494" w:rsidRPr="000B75E4" w:rsidRDefault="00FC0494" w:rsidP="00E87EB6">
            <w:pPr>
              <w:pStyle w:val="ListParagraph"/>
              <w:jc w:val="left"/>
            </w:pPr>
            <w:r w:rsidRPr="000B75E4">
              <w:t>Capable of self-treatment*.</w:t>
            </w:r>
          </w:p>
        </w:tc>
        <w:tc>
          <w:tcPr>
            <w:tcW w:w="1820" w:type="pct"/>
          </w:tcPr>
          <w:p w14:paraId="061105F9" w14:textId="77777777" w:rsidR="00FC0494" w:rsidRPr="000B75E4" w:rsidRDefault="00FC0494" w:rsidP="00E87EB6">
            <w:pPr>
              <w:pStyle w:val="ListParagraph"/>
              <w:jc w:val="left"/>
            </w:pPr>
            <w:r w:rsidRPr="000B75E4">
              <w:t xml:space="preserve">Semi-conscious </w:t>
            </w:r>
          </w:p>
          <w:p w14:paraId="561EE50B" w14:textId="77777777" w:rsidR="00FC0494" w:rsidRPr="00030284" w:rsidRDefault="00FC0494" w:rsidP="00E87EB6">
            <w:pPr>
              <w:pStyle w:val="NoSpacing"/>
              <w:jc w:val="left"/>
              <w:rPr>
                <w:rStyle w:val="Strong"/>
              </w:rPr>
            </w:pPr>
            <w:r w:rsidRPr="00030284">
              <w:rPr>
                <w:rStyle w:val="Strong"/>
              </w:rPr>
              <w:t>or</w:t>
            </w:r>
          </w:p>
          <w:p w14:paraId="7A45C1AE" w14:textId="77777777" w:rsidR="00FC0494" w:rsidRPr="000B75E4" w:rsidRDefault="00FC0494" w:rsidP="00E87EB6">
            <w:pPr>
              <w:pStyle w:val="ListParagraph"/>
              <w:jc w:val="left"/>
            </w:pPr>
            <w:r w:rsidRPr="000B75E4">
              <w:t>Unconscious/comatose.</w:t>
            </w:r>
          </w:p>
        </w:tc>
      </w:tr>
      <w:tr w:rsidR="00FC0494" w:rsidRPr="000B75E4" w14:paraId="02B2C255" w14:textId="77777777" w:rsidTr="0077012B">
        <w:tc>
          <w:tcPr>
            <w:tcW w:w="3180" w:type="pct"/>
          </w:tcPr>
          <w:p w14:paraId="45DD932F" w14:textId="77777777" w:rsidR="00FC0494" w:rsidRPr="000B75E4" w:rsidRDefault="00FC0494" w:rsidP="00E87EB6">
            <w:pPr>
              <w:pStyle w:val="ListParagraph"/>
              <w:jc w:val="left"/>
            </w:pPr>
            <w:r w:rsidRPr="000B75E4">
              <w:t>Conscious, but requires help from someone else.</w:t>
            </w:r>
          </w:p>
        </w:tc>
        <w:tc>
          <w:tcPr>
            <w:tcW w:w="1820" w:type="pct"/>
          </w:tcPr>
          <w:p w14:paraId="60644B89" w14:textId="77777777" w:rsidR="00FC0494" w:rsidRPr="000B75E4" w:rsidRDefault="00FC0494" w:rsidP="00E87EB6">
            <w:pPr>
              <w:pStyle w:val="ListParagraph"/>
              <w:jc w:val="left"/>
            </w:pPr>
            <w:r w:rsidRPr="000B75E4">
              <w:t>Requires medical help.</w:t>
            </w:r>
          </w:p>
        </w:tc>
      </w:tr>
    </w:tbl>
    <w:p w14:paraId="1ED5D826" w14:textId="77777777" w:rsidR="00FC0494" w:rsidRPr="00E87EB6" w:rsidRDefault="00FC0494" w:rsidP="003B749F">
      <w:pPr>
        <w:pStyle w:val="TableText"/>
        <w:rPr>
          <w:rStyle w:val="Emphasis"/>
        </w:rPr>
      </w:pPr>
      <w:r w:rsidRPr="00E87EB6">
        <w:rPr>
          <w:rStyle w:val="Emphasis"/>
        </w:rPr>
        <w:t>*Except children &lt; 6 years of age.</w:t>
      </w:r>
    </w:p>
    <w:p w14:paraId="0CD1F62A" w14:textId="77777777" w:rsidR="00FC0494" w:rsidRPr="000B75E4" w:rsidRDefault="00FC0494" w:rsidP="00FC0494">
      <w:pPr>
        <w:pStyle w:val="NoSpacing"/>
      </w:pPr>
    </w:p>
    <w:tbl>
      <w:tblPr>
        <w:tblStyle w:val="SamplePHCTable"/>
        <w:tblW w:w="5000" w:type="pct"/>
        <w:tblLook w:val="01A0" w:firstRow="1" w:lastRow="0" w:firstColumn="1" w:lastColumn="1" w:noHBand="0" w:noVBand="0"/>
      </w:tblPr>
      <w:tblGrid>
        <w:gridCol w:w="2404"/>
        <w:gridCol w:w="4275"/>
      </w:tblGrid>
      <w:tr w:rsidR="00FC0494" w:rsidRPr="000B75E4" w14:paraId="52E7CDC2" w14:textId="77777777" w:rsidTr="003B749F">
        <w:trPr>
          <w:cnfStyle w:val="100000000000" w:firstRow="1" w:lastRow="0" w:firstColumn="0" w:lastColumn="0" w:oddVBand="0" w:evenVBand="0" w:oddHBand="0" w:evenHBand="0" w:firstRowFirstColumn="0" w:firstRowLastColumn="0" w:lastRowFirstColumn="0" w:lastRowLastColumn="0"/>
          <w:trHeight w:val="257"/>
        </w:trPr>
        <w:tc>
          <w:tcPr>
            <w:tcW w:w="1800" w:type="pct"/>
          </w:tcPr>
          <w:p w14:paraId="6DDD50E4" w14:textId="77777777" w:rsidR="00FC0494" w:rsidRPr="000B75E4" w:rsidRDefault="00FC0494" w:rsidP="007B5A6A">
            <w:pPr>
              <w:pStyle w:val="NoSpacing"/>
            </w:pPr>
            <w:r w:rsidRPr="000B75E4">
              <w:t>Autonomic symptoms/signs</w:t>
            </w:r>
          </w:p>
        </w:tc>
        <w:tc>
          <w:tcPr>
            <w:tcW w:w="3200" w:type="pct"/>
          </w:tcPr>
          <w:p w14:paraId="5E753E67" w14:textId="77777777" w:rsidR="00FC0494" w:rsidRPr="000B75E4" w:rsidRDefault="00FC0494" w:rsidP="007B5A6A">
            <w:pPr>
              <w:pStyle w:val="NoSpacing"/>
            </w:pPr>
            <w:r w:rsidRPr="000B75E4">
              <w:t>Neurological symptoms/signs</w:t>
            </w:r>
          </w:p>
        </w:tc>
      </w:tr>
      <w:tr w:rsidR="00FC0494" w:rsidRPr="000B75E4" w14:paraId="61910747" w14:textId="77777777" w:rsidTr="003B749F">
        <w:tc>
          <w:tcPr>
            <w:tcW w:w="1800" w:type="pct"/>
          </w:tcPr>
          <w:p w14:paraId="21CD6B3D" w14:textId="77777777" w:rsidR="00FC0494" w:rsidRPr="000B75E4" w:rsidRDefault="00FC0494" w:rsidP="007B2F77">
            <w:pPr>
              <w:pStyle w:val="ListParagraph"/>
              <w:jc w:val="left"/>
            </w:pPr>
            <w:r w:rsidRPr="000B75E4">
              <w:t>Tremors</w:t>
            </w:r>
          </w:p>
          <w:p w14:paraId="6097BBE1" w14:textId="77777777" w:rsidR="00FC0494" w:rsidRPr="000B75E4" w:rsidRDefault="00FC0494" w:rsidP="007B2F77">
            <w:pPr>
              <w:pStyle w:val="ListParagraph"/>
              <w:jc w:val="left"/>
            </w:pPr>
            <w:r w:rsidRPr="000B75E4">
              <w:t>Palpitations</w:t>
            </w:r>
          </w:p>
          <w:p w14:paraId="380F93D6" w14:textId="77777777" w:rsidR="00FC0494" w:rsidRPr="000B75E4" w:rsidRDefault="00FC0494" w:rsidP="007B2F77">
            <w:pPr>
              <w:pStyle w:val="ListParagraph"/>
              <w:jc w:val="left"/>
            </w:pPr>
            <w:r w:rsidRPr="000B75E4">
              <w:t>Sweating</w:t>
            </w:r>
          </w:p>
          <w:p w14:paraId="48A73E33" w14:textId="77777777" w:rsidR="00FC0494" w:rsidRPr="000B75E4" w:rsidRDefault="00FC0494" w:rsidP="007B2F77">
            <w:pPr>
              <w:pStyle w:val="ListParagraph"/>
              <w:jc w:val="left"/>
            </w:pPr>
            <w:r w:rsidRPr="000B75E4">
              <w:t>Hunger</w:t>
            </w:r>
          </w:p>
          <w:p w14:paraId="530A12FA" w14:textId="77777777" w:rsidR="00FC0494" w:rsidRPr="000B75E4" w:rsidRDefault="00FC0494" w:rsidP="007B2F77">
            <w:pPr>
              <w:pStyle w:val="ListParagraph"/>
              <w:jc w:val="left"/>
            </w:pPr>
            <w:r w:rsidRPr="000B75E4">
              <w:t>Fatigue</w:t>
            </w:r>
          </w:p>
          <w:p w14:paraId="4486E29A" w14:textId="77777777" w:rsidR="00FC0494" w:rsidRPr="000B75E4" w:rsidRDefault="00FC0494" w:rsidP="007B2F77">
            <w:pPr>
              <w:pStyle w:val="ListParagraph"/>
              <w:jc w:val="left"/>
            </w:pPr>
            <w:r w:rsidRPr="000B75E4">
              <w:t>Pallor</w:t>
            </w:r>
          </w:p>
        </w:tc>
        <w:tc>
          <w:tcPr>
            <w:tcW w:w="3200" w:type="pct"/>
          </w:tcPr>
          <w:p w14:paraId="05B0095D" w14:textId="77777777" w:rsidR="00FC0494" w:rsidRPr="000B75E4" w:rsidRDefault="00FC0494" w:rsidP="007B2F77">
            <w:pPr>
              <w:pStyle w:val="ListParagraph"/>
              <w:jc w:val="left"/>
            </w:pPr>
            <w:r w:rsidRPr="000B75E4">
              <w:t>Headache</w:t>
            </w:r>
          </w:p>
          <w:p w14:paraId="4D63D8FA" w14:textId="77777777" w:rsidR="00FC0494" w:rsidRPr="000B75E4" w:rsidRDefault="00FC0494" w:rsidP="007B2F77">
            <w:pPr>
              <w:pStyle w:val="ListParagraph"/>
              <w:jc w:val="left"/>
            </w:pPr>
            <w:r w:rsidRPr="000B75E4">
              <w:t>Mood changes</w:t>
            </w:r>
          </w:p>
          <w:p w14:paraId="0A87BE66" w14:textId="77777777" w:rsidR="00FC0494" w:rsidRPr="000B75E4" w:rsidRDefault="00FC0494" w:rsidP="007B2F77">
            <w:pPr>
              <w:pStyle w:val="ListParagraph"/>
              <w:jc w:val="left"/>
            </w:pPr>
            <w:r w:rsidRPr="000B75E4">
              <w:t>Low attentiveness</w:t>
            </w:r>
          </w:p>
          <w:p w14:paraId="149FFEC9" w14:textId="77777777" w:rsidR="00FC0494" w:rsidRPr="000B75E4" w:rsidRDefault="00FC0494" w:rsidP="007B2F77">
            <w:pPr>
              <w:pStyle w:val="ListParagraph"/>
              <w:jc w:val="left"/>
            </w:pPr>
            <w:r w:rsidRPr="000B75E4">
              <w:t>Slurred speech</w:t>
            </w:r>
          </w:p>
          <w:p w14:paraId="58FE338B" w14:textId="77777777" w:rsidR="00FC0494" w:rsidRPr="000B75E4" w:rsidRDefault="00FC0494" w:rsidP="007B2F77">
            <w:pPr>
              <w:pStyle w:val="ListParagraph"/>
              <w:jc w:val="left"/>
            </w:pPr>
            <w:r w:rsidRPr="000B75E4">
              <w:t>Dizziness</w:t>
            </w:r>
          </w:p>
          <w:p w14:paraId="2B0C4320" w14:textId="77777777" w:rsidR="00FC0494" w:rsidRPr="000B75E4" w:rsidRDefault="00FC0494" w:rsidP="007B2F77">
            <w:pPr>
              <w:pStyle w:val="ListParagraph"/>
              <w:jc w:val="left"/>
            </w:pPr>
            <w:r w:rsidRPr="000B75E4">
              <w:t>Unsteady gait</w:t>
            </w:r>
          </w:p>
          <w:p w14:paraId="1077DE1F" w14:textId="77777777" w:rsidR="00FC0494" w:rsidRPr="000B75E4" w:rsidRDefault="00FC0494" w:rsidP="007B2F77">
            <w:pPr>
              <w:pStyle w:val="ListParagraph"/>
              <w:jc w:val="left"/>
            </w:pPr>
            <w:r w:rsidRPr="000B75E4">
              <w:t>Depressed level of consciousness/ convulsions</w:t>
            </w:r>
          </w:p>
        </w:tc>
      </w:tr>
    </w:tbl>
    <w:p w14:paraId="13D11B98" w14:textId="77777777" w:rsidR="00FC0494" w:rsidRPr="007B2F77" w:rsidRDefault="00FC0494" w:rsidP="00FC0494">
      <w:pPr>
        <w:pStyle w:val="NoSpacing"/>
        <w:rPr>
          <w:rStyle w:val="Strong"/>
        </w:rPr>
      </w:pPr>
      <w:r w:rsidRPr="007B2F77">
        <w:rPr>
          <w:rStyle w:val="Strong"/>
        </w:rPr>
        <w:lastRenderedPageBreak/>
        <w:t>*Note:</w:t>
      </w:r>
    </w:p>
    <w:p w14:paraId="581C3FCE" w14:textId="3F725BF2" w:rsidR="00FC0494" w:rsidRPr="000B75E4" w:rsidRDefault="00FC0494" w:rsidP="007B2F77">
      <w:pPr>
        <w:pStyle w:val="ListParagraph"/>
      </w:pPr>
      <w:r w:rsidRPr="000B75E4">
        <w:t>Children, particularly &lt; 6 years of age, generally are not capable of self-management and are reliant on supervision from an adult.</w:t>
      </w:r>
    </w:p>
    <w:p w14:paraId="4EC89468" w14:textId="77777777" w:rsidR="00FC0494" w:rsidRPr="000B75E4" w:rsidRDefault="00FC0494" w:rsidP="007B2F77">
      <w:pPr>
        <w:pStyle w:val="ListParagraph"/>
      </w:pPr>
      <w:r w:rsidRPr="000B75E4">
        <w:t>Patients may fail to recognise that they are hypoglycaemic when neuroglycopenia (impaired thinking, mood changes, irritability, dizziness, tiredness) occurs before autonomic activation.</w:t>
      </w:r>
    </w:p>
    <w:p w14:paraId="0AAA6151" w14:textId="77777777" w:rsidR="00FC0494" w:rsidRPr="000B75E4" w:rsidRDefault="00FC0494" w:rsidP="00A16725">
      <w:pPr>
        <w:pStyle w:val="Heading5"/>
      </w:pPr>
      <w:r w:rsidRPr="000B75E4">
        <w:t>DIAGNOSIS</w:t>
      </w:r>
    </w:p>
    <w:p w14:paraId="45640A50" w14:textId="77777777" w:rsidR="00FC0494" w:rsidRPr="000B75E4" w:rsidRDefault="00FC0494" w:rsidP="007B2F77">
      <w:pPr>
        <w:pStyle w:val="ListParagraph"/>
      </w:pPr>
      <w:r w:rsidRPr="000B75E4">
        <w:t>Blood glucose &lt; 4mmol/L with symptoms in a known diabetic patient.</w:t>
      </w:r>
    </w:p>
    <w:p w14:paraId="29EC6725" w14:textId="77777777" w:rsidR="00FC0494" w:rsidRPr="000B75E4" w:rsidRDefault="00FC0494" w:rsidP="007B2F77">
      <w:pPr>
        <w:pStyle w:val="ListParagraph"/>
      </w:pPr>
      <w:r w:rsidRPr="000B75E4">
        <w:t xml:space="preserve">Blood glucose concentrations should be measured with a glucometer to confirm hypoglycaemia. </w:t>
      </w:r>
    </w:p>
    <w:p w14:paraId="0E598ED0" w14:textId="3F0B2A23" w:rsidR="007B2F77" w:rsidRPr="000B75E4" w:rsidRDefault="007B2F77" w:rsidP="007B2F77">
      <w:pPr>
        <w:pStyle w:val="Centeredbox"/>
      </w:pPr>
      <w:r w:rsidRPr="000B75E4">
        <w:t>Hypoglycaemia must be managed as an emergency.</w:t>
      </w:r>
      <w:r w:rsidR="00AB529C">
        <w:br/>
      </w:r>
      <w:r w:rsidRPr="000B75E4">
        <w:t>If a diabetic patient presents with an altered level of consciousness and a glucometer is not available, treat as hypoglycaemia.</w:t>
      </w:r>
    </w:p>
    <w:p w14:paraId="4BB4CEFC" w14:textId="77777777" w:rsidR="00FC0494" w:rsidRPr="000B75E4" w:rsidRDefault="00FC0494" w:rsidP="00A16725">
      <w:pPr>
        <w:pStyle w:val="Heading5"/>
      </w:pPr>
      <w:r w:rsidRPr="000B75E4">
        <w:t>EMERGENCY TREATMENT</w:t>
      </w:r>
    </w:p>
    <w:p w14:paraId="72757BB3" w14:textId="77777777" w:rsidR="00FC0494" w:rsidRPr="000B75E4" w:rsidRDefault="00FC0494" w:rsidP="00AB529C">
      <w:pPr>
        <w:pStyle w:val="ListParagraph"/>
      </w:pPr>
      <w:r w:rsidRPr="000B75E4">
        <w:t>Measure blood glucose concentration with glucometer/testing strip, immediately.</w:t>
      </w:r>
    </w:p>
    <w:p w14:paraId="07882360" w14:textId="77777777" w:rsidR="00FC0494" w:rsidRPr="000B75E4" w:rsidRDefault="00FC0494" w:rsidP="00E20E40">
      <w:pPr>
        <w:pStyle w:val="Heading6"/>
      </w:pPr>
      <w:r w:rsidRPr="000B75E4">
        <w:t>Conscious patient, able to feed</w:t>
      </w:r>
    </w:p>
    <w:p w14:paraId="0CC1CE7B" w14:textId="77777777" w:rsidR="00FC0494" w:rsidRPr="000B75E4" w:rsidRDefault="00FC0494" w:rsidP="00E20E40">
      <w:pPr>
        <w:pStyle w:val="Heading7"/>
      </w:pPr>
      <w:r w:rsidRPr="000B75E4">
        <w:t>Breastfeeding child</w:t>
      </w:r>
    </w:p>
    <w:p w14:paraId="021AF0EF" w14:textId="77777777" w:rsidR="00FC0494" w:rsidRPr="003E125F" w:rsidRDefault="00FC0494" w:rsidP="003E125F">
      <w:pPr>
        <w:pStyle w:val="BulletNutrition"/>
      </w:pPr>
      <w:r w:rsidRPr="003E125F">
        <w:t xml:space="preserve">give breast milk </w:t>
      </w:r>
    </w:p>
    <w:p w14:paraId="4843BF9E" w14:textId="77777777" w:rsidR="00FC0494" w:rsidRPr="000B75E4" w:rsidRDefault="00FC0494" w:rsidP="00E20E40">
      <w:pPr>
        <w:pStyle w:val="Heading7"/>
      </w:pPr>
      <w:r w:rsidRPr="000B75E4">
        <w:t>Older children</w:t>
      </w:r>
    </w:p>
    <w:p w14:paraId="6A1AF7CC" w14:textId="77777777" w:rsidR="00FC0494" w:rsidRPr="003E125F" w:rsidRDefault="00FC0494" w:rsidP="003E125F">
      <w:pPr>
        <w:pStyle w:val="BulletNutrition"/>
      </w:pPr>
      <w:r w:rsidRPr="003E125F">
        <w:t>a formula feed of 5 mL/kg</w:t>
      </w:r>
    </w:p>
    <w:p w14:paraId="27A1406D" w14:textId="77777777" w:rsidR="00FC0494" w:rsidRPr="006819EA" w:rsidRDefault="00FC0494" w:rsidP="00FC0494">
      <w:pPr>
        <w:pStyle w:val="NoSpacing"/>
        <w:rPr>
          <w:rStyle w:val="Strong"/>
        </w:rPr>
      </w:pPr>
      <w:r w:rsidRPr="006819EA">
        <w:rPr>
          <w:rStyle w:val="Strong"/>
        </w:rPr>
        <w:t>OR</w:t>
      </w:r>
    </w:p>
    <w:p w14:paraId="70315DFA" w14:textId="77777777" w:rsidR="00FC0494" w:rsidRPr="003E125F" w:rsidRDefault="00FC0494" w:rsidP="003E125F">
      <w:pPr>
        <w:pStyle w:val="BulletNutrition"/>
      </w:pPr>
      <w:r w:rsidRPr="003E125F">
        <w:t>oral sugar solution</w:t>
      </w:r>
    </w:p>
    <w:p w14:paraId="30EF2B7E" w14:textId="77777777" w:rsidR="00FC0494" w:rsidRPr="000B75E4" w:rsidRDefault="00FC0494" w:rsidP="00FC0494">
      <w:pPr>
        <w:pStyle w:val="NoSpacing"/>
      </w:pPr>
      <w:r w:rsidRPr="000B75E4">
        <w:t>dissolve 3 teaspoons of sugar (15 g) in 200 mL cup of water, administer 5 mL/kg</w:t>
      </w:r>
    </w:p>
    <w:p w14:paraId="3F11C96A" w14:textId="77777777" w:rsidR="00FC0494" w:rsidRPr="006819EA" w:rsidRDefault="00FC0494" w:rsidP="00FC0494">
      <w:pPr>
        <w:pStyle w:val="NoSpacing"/>
        <w:rPr>
          <w:rStyle w:val="Strong"/>
        </w:rPr>
      </w:pPr>
      <w:r w:rsidRPr="006819EA">
        <w:rPr>
          <w:rStyle w:val="Strong"/>
        </w:rPr>
        <w:t>OR</w:t>
      </w:r>
    </w:p>
    <w:p w14:paraId="2868BE0D" w14:textId="77777777" w:rsidR="00FC0494" w:rsidRPr="003E125F" w:rsidRDefault="00FC0494" w:rsidP="003E125F">
      <w:pPr>
        <w:pStyle w:val="BulletNutrition"/>
      </w:pPr>
      <w:r w:rsidRPr="003E125F">
        <w:t xml:space="preserve">sweets, sugar, glucose by mouth </w:t>
      </w:r>
    </w:p>
    <w:p w14:paraId="711FDD90" w14:textId="77777777" w:rsidR="00FC0494" w:rsidRPr="000B75E4" w:rsidRDefault="00FC0494" w:rsidP="00E20E40">
      <w:pPr>
        <w:pStyle w:val="Heading7"/>
      </w:pPr>
      <w:r w:rsidRPr="000B75E4">
        <w:t>Adults</w:t>
      </w:r>
    </w:p>
    <w:p w14:paraId="6E83C16A" w14:textId="77777777" w:rsidR="00FC0494" w:rsidRPr="003E125F" w:rsidRDefault="00FC0494" w:rsidP="003E125F">
      <w:pPr>
        <w:pStyle w:val="BulletNutrition"/>
      </w:pPr>
      <w:r w:rsidRPr="003E125F">
        <w:t xml:space="preserve">sweets, sugar, glucose by mouth </w:t>
      </w:r>
    </w:p>
    <w:p w14:paraId="4F9FF31F" w14:textId="77777777" w:rsidR="00FC0494" w:rsidRPr="006819EA" w:rsidRDefault="00FC0494" w:rsidP="00FC0494">
      <w:pPr>
        <w:pStyle w:val="NoSpacing"/>
        <w:rPr>
          <w:rStyle w:val="Strong"/>
        </w:rPr>
      </w:pPr>
      <w:r w:rsidRPr="006819EA">
        <w:rPr>
          <w:rStyle w:val="Strong"/>
        </w:rPr>
        <w:t>OR</w:t>
      </w:r>
    </w:p>
    <w:p w14:paraId="463ED097" w14:textId="77777777" w:rsidR="00FC0494" w:rsidRPr="003E125F" w:rsidRDefault="00FC0494" w:rsidP="003E125F">
      <w:pPr>
        <w:pStyle w:val="BulletNutrition"/>
      </w:pPr>
      <w:r w:rsidRPr="003E125F">
        <w:t>oral sugar solution</w:t>
      </w:r>
    </w:p>
    <w:p w14:paraId="72D51302" w14:textId="77777777" w:rsidR="00FC0494" w:rsidRPr="000B75E4" w:rsidRDefault="00FC0494" w:rsidP="003E125F">
      <w:pPr>
        <w:pStyle w:val="BulletDirectionsInstructions"/>
      </w:pPr>
      <w:r w:rsidRPr="000B75E4">
        <w:t>dissolve 3 teaspoons of sugar (15 g) in 200 mL cup of water, administer 5 mL/kg</w:t>
      </w:r>
    </w:p>
    <w:p w14:paraId="0D554693" w14:textId="77777777" w:rsidR="00FC0494" w:rsidRPr="000B75E4" w:rsidRDefault="00FC0494" w:rsidP="00E20E40">
      <w:pPr>
        <w:pStyle w:val="Heading6"/>
      </w:pPr>
      <w:r w:rsidRPr="000B75E4">
        <w:t>Conscious patient, not able to feed without danger of aspiration</w:t>
      </w:r>
    </w:p>
    <w:p w14:paraId="1B812788" w14:textId="77777777" w:rsidR="00FC0494" w:rsidRPr="000B75E4" w:rsidRDefault="00FC0494" w:rsidP="00FC0494">
      <w:pPr>
        <w:pStyle w:val="NoSpacing"/>
      </w:pPr>
      <w:r w:rsidRPr="000B75E4">
        <w:t>Administer via nasogastric tube:</w:t>
      </w:r>
    </w:p>
    <w:p w14:paraId="44D653BD" w14:textId="31940E91" w:rsidR="00FC0494" w:rsidRPr="000B75E4" w:rsidRDefault="00FC0494" w:rsidP="00330822">
      <w:pPr>
        <w:pStyle w:val="BulletMedicine"/>
      </w:pPr>
      <w:r w:rsidRPr="000B75E4">
        <w:t>Dextrose 10%</w:t>
      </w:r>
      <w:r w:rsidR="009713C6">
        <w:fldChar w:fldCharType="begin"/>
      </w:r>
      <w:r w:rsidR="009713C6">
        <w:instrText xml:space="preserve"> XE "</w:instrText>
      </w:r>
      <w:r w:rsidR="009713C6" w:rsidRPr="00293B76">
        <w:instrText>Dextrose 10%</w:instrText>
      </w:r>
      <w:r w:rsidR="009713C6">
        <w:instrText>"</w:instrText>
      </w:r>
      <w:r w:rsidR="001D0DFE">
        <w:instrText xml:space="preserve"> \f "m"</w:instrText>
      </w:r>
      <w:r w:rsidR="009713C6">
        <w:instrText xml:space="preserve"> </w:instrText>
      </w:r>
      <w:r w:rsidR="009713C6">
        <w:fldChar w:fldCharType="end"/>
      </w:r>
      <w:r w:rsidRPr="000B75E4">
        <w:t xml:space="preserve">, 5mL/kg </w:t>
      </w:r>
    </w:p>
    <w:p w14:paraId="6D575080" w14:textId="77777777" w:rsidR="00FC0494" w:rsidRPr="000B75E4" w:rsidRDefault="00FC0494" w:rsidP="00330822">
      <w:pPr>
        <w:pStyle w:val="BulletDirectionsInstructions"/>
      </w:pPr>
      <w:r w:rsidRPr="000B75E4">
        <w:t>Add 1 part 50% dextrose water to 4 parts water to make a 10% solution.</w:t>
      </w:r>
    </w:p>
    <w:p w14:paraId="49B82C58" w14:textId="77777777" w:rsidR="00FC0494" w:rsidRPr="00CD427F" w:rsidRDefault="00FC0494" w:rsidP="00FC0494">
      <w:pPr>
        <w:pStyle w:val="NoSpacing"/>
        <w:rPr>
          <w:rStyle w:val="Strong"/>
        </w:rPr>
      </w:pPr>
      <w:r w:rsidRPr="00CD427F">
        <w:rPr>
          <w:rStyle w:val="Strong"/>
        </w:rPr>
        <w:t>OR</w:t>
      </w:r>
    </w:p>
    <w:p w14:paraId="398A10E6" w14:textId="77777777" w:rsidR="00FC0494" w:rsidRPr="000B75E4" w:rsidRDefault="00FC0494" w:rsidP="00CD427F">
      <w:pPr>
        <w:pStyle w:val="BulletNutrition"/>
      </w:pPr>
      <w:r w:rsidRPr="000B75E4">
        <w:t xml:space="preserve">milk </w:t>
      </w:r>
    </w:p>
    <w:p w14:paraId="00B714BC" w14:textId="77777777" w:rsidR="00FC0494" w:rsidRPr="00CD427F" w:rsidRDefault="00FC0494" w:rsidP="00FC0494">
      <w:pPr>
        <w:pStyle w:val="NoSpacing"/>
        <w:rPr>
          <w:rStyle w:val="Strong"/>
        </w:rPr>
      </w:pPr>
      <w:r w:rsidRPr="00CD427F">
        <w:rPr>
          <w:rStyle w:val="Strong"/>
        </w:rPr>
        <w:t>OR</w:t>
      </w:r>
    </w:p>
    <w:p w14:paraId="0AA32739" w14:textId="77777777" w:rsidR="00FC0494" w:rsidRPr="000B75E4" w:rsidRDefault="00FC0494" w:rsidP="00CD427F">
      <w:pPr>
        <w:pStyle w:val="BulletNutrition"/>
      </w:pPr>
      <w:r w:rsidRPr="000B75E4">
        <w:t>sugar solution</w:t>
      </w:r>
    </w:p>
    <w:p w14:paraId="30246EA8" w14:textId="77777777" w:rsidR="00FC0494" w:rsidRPr="000B75E4" w:rsidRDefault="00FC0494" w:rsidP="00CD427F">
      <w:pPr>
        <w:pStyle w:val="BulletDirectionsInstructions"/>
      </w:pPr>
      <w:r w:rsidRPr="000B75E4">
        <w:t>dissolve 3 teaspoons of sugar (15 g) in 200 mL of water; administer 5 mL/kg</w:t>
      </w:r>
    </w:p>
    <w:p w14:paraId="5CF143F1" w14:textId="77777777" w:rsidR="00FC0494" w:rsidRPr="000B75E4" w:rsidRDefault="00FC0494" w:rsidP="00E20E40">
      <w:pPr>
        <w:pStyle w:val="Heading6"/>
      </w:pPr>
      <w:r w:rsidRPr="000B75E4">
        <w:t>Unconscious patient</w:t>
      </w:r>
    </w:p>
    <w:p w14:paraId="2EC85E8A" w14:textId="77777777" w:rsidR="00FC0494" w:rsidRPr="000B75E4" w:rsidRDefault="00FC0494" w:rsidP="00F35DD7">
      <w:pPr>
        <w:pStyle w:val="Heading7"/>
      </w:pPr>
      <w:r w:rsidRPr="000B75E4">
        <w:t>Children</w:t>
      </w:r>
    </w:p>
    <w:p w14:paraId="57DFA3A1" w14:textId="026F9F1A" w:rsidR="00FC0494" w:rsidRPr="000B75E4" w:rsidRDefault="00FC0494" w:rsidP="00F35DD7">
      <w:pPr>
        <w:pStyle w:val="BulletMedicine"/>
      </w:pPr>
      <w:r w:rsidRPr="000B75E4">
        <w:t>Dextrose 10%, IV</w:t>
      </w:r>
      <w:r w:rsidR="007965F1">
        <w:fldChar w:fldCharType="begin"/>
      </w:r>
      <w:r w:rsidR="007965F1">
        <w:instrText xml:space="preserve"> XE "</w:instrText>
      </w:r>
      <w:r w:rsidR="007965F1" w:rsidRPr="00293B76">
        <w:instrText>Dextrose 10%</w:instrText>
      </w:r>
      <w:r w:rsidR="007965F1">
        <w:instrText xml:space="preserve">" </w:instrText>
      </w:r>
      <w:r w:rsidR="001D0DFE">
        <w:instrText>\f "m"</w:instrText>
      </w:r>
      <w:r w:rsidR="007965F1">
        <w:fldChar w:fldCharType="end"/>
      </w:r>
      <w:r w:rsidRPr="000B75E4">
        <w:t>, 2–5 mL/kg.</w:t>
      </w:r>
    </w:p>
    <w:p w14:paraId="2FB6E578" w14:textId="77777777" w:rsidR="00FC0494" w:rsidRPr="000B75E4" w:rsidRDefault="00FC0494" w:rsidP="00F35DD7">
      <w:pPr>
        <w:pStyle w:val="Heading7"/>
      </w:pPr>
      <w:r w:rsidRPr="000B75E4">
        <w:lastRenderedPageBreak/>
        <w:t>IV administration of dextrose in children with hypoglycaemia:</w:t>
      </w:r>
    </w:p>
    <w:p w14:paraId="168DED7C" w14:textId="77777777" w:rsidR="00FC0494" w:rsidRPr="000B75E4" w:rsidRDefault="00FC0494" w:rsidP="007808B8">
      <w:pPr>
        <w:pStyle w:val="ListParagraph"/>
      </w:pPr>
      <w:r w:rsidRPr="000B75E4">
        <w:t xml:space="preserve">Establish an IV line. Do not give excessive volumes of fluid: usually can </w:t>
      </w:r>
      <w:r w:rsidRPr="000B75E4">
        <w:tab/>
        <w:t>keep line open with 2mL/kg/hour.</w:t>
      </w:r>
    </w:p>
    <w:p w14:paraId="5DDC6D0F" w14:textId="77777777" w:rsidR="00FC0494" w:rsidRPr="000B75E4" w:rsidRDefault="00FC0494" w:rsidP="007808B8">
      <w:pPr>
        <w:pStyle w:val="ListParagraph"/>
      </w:pPr>
      <w:r w:rsidRPr="000B75E4">
        <w:t>Take a blood sample for emergency investigations and blood glucose.</w:t>
      </w:r>
    </w:p>
    <w:p w14:paraId="6C50CF6F" w14:textId="77777777" w:rsidR="00FC0494" w:rsidRPr="000B75E4" w:rsidRDefault="00FC0494" w:rsidP="007808B8">
      <w:pPr>
        <w:pStyle w:val="ListParagraph"/>
      </w:pPr>
      <w:r w:rsidRPr="000B75E4">
        <w:t>Check blood glucose.</w:t>
      </w:r>
    </w:p>
    <w:p w14:paraId="7D061284" w14:textId="3DB010FA" w:rsidR="00FC0494" w:rsidRPr="000B75E4" w:rsidRDefault="00FC0494" w:rsidP="007808B8">
      <w:pPr>
        <w:pStyle w:val="ListParagraph"/>
        <w:numPr>
          <w:ilvl w:val="1"/>
          <w:numId w:val="5"/>
        </w:numPr>
      </w:pPr>
      <w:r w:rsidRPr="002728EC">
        <w:rPr>
          <w:rStyle w:val="Strong"/>
        </w:rPr>
        <w:t>If low, i.e. &lt; 2.5 mmol/L or if testing strips are not available, administer 2–5 mL/kg of 10% dextrose solution IV rapidly.</w:t>
      </w:r>
      <w:r w:rsidR="002728EC">
        <w:br/>
      </w:r>
      <w:r w:rsidRPr="000B75E4">
        <w:t xml:space="preserve">In </w:t>
      </w:r>
      <w:proofErr w:type="gramStart"/>
      <w:r w:rsidRPr="000B75E4">
        <w:t>the majority of</w:t>
      </w:r>
      <w:proofErr w:type="gramEnd"/>
      <w:r w:rsidRPr="000B75E4">
        <w:t xml:space="preserve"> cases</w:t>
      </w:r>
      <w:r w:rsidR="008F5893">
        <w:t>,</w:t>
      </w:r>
      <w:r w:rsidRPr="000B75E4">
        <w:t xml:space="preserve"> an immediate clinical response can be expected. </w:t>
      </w:r>
    </w:p>
    <w:p w14:paraId="6D0145DD" w14:textId="2688254F" w:rsidR="00FC0494" w:rsidRPr="000B75E4" w:rsidRDefault="00FC0494" w:rsidP="007808B8">
      <w:pPr>
        <w:pStyle w:val="ListParagraph"/>
      </w:pPr>
      <w:r w:rsidRPr="000B75E4">
        <w:t>Re</w:t>
      </w:r>
      <w:r w:rsidR="008F5893">
        <w:t>-</w:t>
      </w:r>
      <w:r w:rsidRPr="000B75E4">
        <w:t>check the blood glucose after infusion.</w:t>
      </w:r>
    </w:p>
    <w:p w14:paraId="64E22F7C" w14:textId="77777777" w:rsidR="00FC0494" w:rsidRPr="000B75E4" w:rsidRDefault="00FC0494" w:rsidP="002728EC">
      <w:pPr>
        <w:pStyle w:val="ListParagraph"/>
        <w:numPr>
          <w:ilvl w:val="1"/>
          <w:numId w:val="5"/>
        </w:numPr>
      </w:pPr>
      <w:r w:rsidRPr="000B75E4">
        <w:t>If still low, repeat 2 mL/kg of 10% dextrose solution.</w:t>
      </w:r>
    </w:p>
    <w:p w14:paraId="5444A028" w14:textId="77777777" w:rsidR="00FC0494" w:rsidRPr="000B75E4" w:rsidRDefault="00FC0494" w:rsidP="007808B8">
      <w:pPr>
        <w:pStyle w:val="ListParagraph"/>
      </w:pPr>
      <w:r w:rsidRPr="000B75E4">
        <w:t>After recovery, maintain with 5–10% dextrose solution until blood glucose is stabilised.</w:t>
      </w:r>
    </w:p>
    <w:p w14:paraId="67C0FEE3" w14:textId="77777777" w:rsidR="00FC0494" w:rsidRPr="000B75E4" w:rsidRDefault="00FC0494" w:rsidP="007808B8">
      <w:pPr>
        <w:pStyle w:val="ListParagraph"/>
      </w:pPr>
      <w:r w:rsidRPr="000B75E4">
        <w:t>Feed the child as soon as conscious.</w:t>
      </w:r>
    </w:p>
    <w:p w14:paraId="6784AEF3" w14:textId="77777777" w:rsidR="00FC0494" w:rsidRPr="000B75E4" w:rsidRDefault="00FC0494" w:rsidP="00F35DD7">
      <w:pPr>
        <w:pStyle w:val="Heading7"/>
      </w:pPr>
      <w:r w:rsidRPr="000B75E4">
        <w:t>Adults</w:t>
      </w:r>
    </w:p>
    <w:p w14:paraId="68388F18" w14:textId="2E08D989" w:rsidR="00FC0494" w:rsidRPr="000B75E4" w:rsidRDefault="00FC0494" w:rsidP="002728EC">
      <w:pPr>
        <w:pStyle w:val="BulletMedicine"/>
      </w:pPr>
      <w:r w:rsidRPr="000B75E4">
        <w:t>Dextrose 10%</w:t>
      </w:r>
      <w:r w:rsidR="00E26BF0">
        <w:t xml:space="preserve"> </w:t>
      </w:r>
      <w:r w:rsidRPr="000B75E4">
        <w:t>solution, IV</w:t>
      </w:r>
      <w:r w:rsidR="00E26BF0">
        <w:fldChar w:fldCharType="begin"/>
      </w:r>
      <w:r w:rsidR="00E26BF0">
        <w:instrText xml:space="preserve"> XE "</w:instrText>
      </w:r>
      <w:r w:rsidR="00E26BF0" w:rsidRPr="00293B76">
        <w:instrText>Dextrose 10%</w:instrText>
      </w:r>
      <w:r w:rsidR="00E26BF0">
        <w:instrText>"</w:instrText>
      </w:r>
      <w:r w:rsidR="001D0DFE">
        <w:instrText xml:space="preserve"> \f "m"</w:instrText>
      </w:r>
      <w:r w:rsidR="00E26BF0">
        <w:instrText xml:space="preserve"> </w:instrText>
      </w:r>
      <w:r w:rsidR="00E26BF0">
        <w:fldChar w:fldCharType="end"/>
      </w:r>
      <w:r w:rsidRPr="000B75E4">
        <w:t xml:space="preserve">, 2–5 mL/kg. </w:t>
      </w:r>
    </w:p>
    <w:p w14:paraId="5CD67E5C" w14:textId="77777777" w:rsidR="00FC0494" w:rsidRPr="000B75E4" w:rsidRDefault="00FC0494" w:rsidP="002728EC">
      <w:pPr>
        <w:pStyle w:val="BulletDirectionsInstructions"/>
      </w:pPr>
      <w:r w:rsidRPr="000B75E4">
        <w:t>Do not give unless hypoglycaemic or hypoglycaemia strongly suspected.</w:t>
      </w:r>
    </w:p>
    <w:p w14:paraId="2BBA65D1" w14:textId="77777777" w:rsidR="00FC0494" w:rsidRPr="000B75E4" w:rsidRDefault="00FC0494" w:rsidP="002728EC">
      <w:pPr>
        <w:pStyle w:val="BulletDirectionsInstructions"/>
      </w:pPr>
      <w:r w:rsidRPr="000B75E4">
        <w:t>Do not give excessive volumes of fluid.</w:t>
      </w:r>
    </w:p>
    <w:p w14:paraId="28E0C6F6" w14:textId="77777777" w:rsidR="00FC0494" w:rsidRPr="000B75E4" w:rsidRDefault="00FC0494" w:rsidP="002728EC">
      <w:pPr>
        <w:pStyle w:val="BulletDirectionsInstructions"/>
      </w:pPr>
      <w:r w:rsidRPr="000B75E4">
        <w:t xml:space="preserve">If hypoglycaemia is treated: </w:t>
      </w:r>
    </w:p>
    <w:p w14:paraId="523DA282" w14:textId="77777777" w:rsidR="00FC0494" w:rsidRPr="000B75E4" w:rsidRDefault="00FC0494" w:rsidP="005E5DF6">
      <w:pPr>
        <w:pStyle w:val="BulletDirectionsInstructions"/>
        <w:numPr>
          <w:ilvl w:val="1"/>
          <w:numId w:val="2"/>
        </w:numPr>
      </w:pPr>
      <w:r w:rsidRPr="000B75E4">
        <w:t xml:space="preserve">re-check blood glucose 10–15 minutes </w:t>
      </w:r>
      <w:proofErr w:type="gramStart"/>
      <w:r w:rsidRPr="000B75E4">
        <w:t>later;</w:t>
      </w:r>
      <w:proofErr w:type="gramEnd"/>
    </w:p>
    <w:p w14:paraId="21903895" w14:textId="76F79BC9" w:rsidR="00FC0494" w:rsidRPr="000B75E4" w:rsidRDefault="00FC0494" w:rsidP="005E5DF6">
      <w:pPr>
        <w:pStyle w:val="BulletDirectionsInstructions"/>
        <w:numPr>
          <w:ilvl w:val="1"/>
          <w:numId w:val="2"/>
        </w:numPr>
      </w:pPr>
      <w:r w:rsidRPr="000B75E4">
        <w:t xml:space="preserve">if still low, give </w:t>
      </w:r>
      <w:r w:rsidR="008F5893">
        <w:t xml:space="preserve">a </w:t>
      </w:r>
      <w:r w:rsidRPr="000B75E4">
        <w:t>further bolus of dextrose 10%, IV, 2 mL/kg, and commence dextrose 5 or 10%, infusion, 3–5 mL/kg/hour to prevent blood glucose dropping again.</w:t>
      </w:r>
    </w:p>
    <w:tbl>
      <w:tblPr>
        <w:tblStyle w:val="TableGrid"/>
        <w:tblpPr w:leftFromText="180" w:rightFromText="180" w:vertAnchor="text" w:horzAnchor="margin"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5E5DF6" w:rsidRPr="000B75E4" w14:paraId="420BF7C1" w14:textId="77777777" w:rsidTr="005E5DF6">
        <w:tc>
          <w:tcPr>
            <w:tcW w:w="1134" w:type="dxa"/>
            <w:shd w:val="clear" w:color="auto" w:fill="auto"/>
          </w:tcPr>
          <w:p w14:paraId="603A9250" w14:textId="77777777" w:rsidR="005E5DF6" w:rsidRPr="000B75E4" w:rsidRDefault="005E5DF6" w:rsidP="005E5DF6">
            <w:pPr>
              <w:pStyle w:val="LoEText"/>
              <w:framePr w:hSpace="0" w:wrap="auto" w:vAnchor="margin" w:hAnchor="text" w:xAlign="left" w:yAlign="inline"/>
              <w:suppressOverlap w:val="0"/>
            </w:pPr>
            <w:proofErr w:type="spellStart"/>
            <w:proofErr w:type="gramStart"/>
            <w:r w:rsidRPr="000B75E4">
              <w:t>LoE:III</w:t>
            </w:r>
            <w:proofErr w:type="spellEnd"/>
            <w:proofErr w:type="gramEnd"/>
            <w:r w:rsidRPr="005E5DF6">
              <w:rPr>
                <w:rStyle w:val="EndnoteReference"/>
                <w:sz w:val="16"/>
                <w:szCs w:val="16"/>
              </w:rPr>
              <w:endnoteReference w:id="10"/>
            </w:r>
          </w:p>
        </w:tc>
      </w:tr>
    </w:tbl>
    <w:p w14:paraId="34D7806D" w14:textId="77777777" w:rsidR="00FC0494" w:rsidRPr="000B75E4" w:rsidRDefault="00FC0494" w:rsidP="005E5DF6">
      <w:pPr>
        <w:pStyle w:val="NoSpacing"/>
      </w:pPr>
      <w:r w:rsidRPr="000B75E4">
        <w:t>Assess continuously until the patient shows signs of recovery.</w:t>
      </w:r>
    </w:p>
    <w:p w14:paraId="0BB134DD" w14:textId="77777777" w:rsidR="00FC0494" w:rsidRPr="000B75E4" w:rsidRDefault="00FC0494" w:rsidP="00E20E40">
      <w:pPr>
        <w:pStyle w:val="Heading6"/>
      </w:pPr>
      <w:r w:rsidRPr="000B75E4">
        <w:t xml:space="preserve">Alcoholics </w:t>
      </w:r>
      <w:r w:rsidRPr="005E5DF6">
        <w:rPr>
          <w:b w:val="0"/>
          <w:bCs w:val="0"/>
        </w:rPr>
        <w:t>(or where alcohol intake cannot be excluded)</w:t>
      </w:r>
    </w:p>
    <w:p w14:paraId="2845C486" w14:textId="772DAB12" w:rsidR="00FC0494" w:rsidRPr="000B75E4" w:rsidRDefault="00FC0494" w:rsidP="005E5DF6">
      <w:pPr>
        <w:pStyle w:val="BulletMedicine"/>
      </w:pPr>
      <w:r w:rsidRPr="000B75E4">
        <w:t>Thiamine, IV/IM</w:t>
      </w:r>
      <w:r w:rsidR="00E26BF0">
        <w:fldChar w:fldCharType="begin"/>
      </w:r>
      <w:r w:rsidR="00E26BF0">
        <w:instrText xml:space="preserve"> XE "</w:instrText>
      </w:r>
      <w:r w:rsidR="00E26BF0" w:rsidRPr="00293B76">
        <w:instrText>Thiamine</w:instrText>
      </w:r>
      <w:r w:rsidR="00E26BF0">
        <w:instrText xml:space="preserve">" </w:instrText>
      </w:r>
      <w:r w:rsidR="001D0DFE">
        <w:instrText>\f "m"</w:instrText>
      </w:r>
      <w:r w:rsidR="00E26BF0">
        <w:fldChar w:fldCharType="end"/>
      </w:r>
      <w:r w:rsidRPr="000B75E4">
        <w:t xml:space="preserve">, 100 mg immediately. </w:t>
      </w:r>
    </w:p>
    <w:p w14:paraId="7FC04004" w14:textId="6B7DC1B0" w:rsidR="00B92A0D" w:rsidRDefault="005E5DF6" w:rsidP="00B92A0D">
      <w:pPr>
        <w:pStyle w:val="Centeredbox"/>
      </w:pPr>
      <w:r w:rsidRPr="00EC788C">
        <w:rPr>
          <w:rStyle w:val="Strong"/>
        </w:rPr>
        <w:t>CAUTION</w:t>
      </w:r>
      <w:r w:rsidRPr="000B75E4">
        <w:t xml:space="preserve"> </w:t>
      </w:r>
      <w:r w:rsidR="00EC788C">
        <w:br/>
      </w:r>
      <w:r w:rsidRPr="000B75E4">
        <w:t>Thiamine should preferably be administered prior to intravenous glucose to prevent permanent neurological damage.</w:t>
      </w:r>
      <w:r w:rsidR="00EC788C">
        <w:br/>
      </w:r>
      <w:r w:rsidRPr="000B75E4">
        <w:t>Do not delay the dextrose administration in a hypoglycaemic patient.</w:t>
      </w:r>
    </w:p>
    <w:p w14:paraId="0A6CBBC3" w14:textId="77777777" w:rsidR="00B92A0D" w:rsidRDefault="00B92A0D">
      <w:pPr>
        <w:spacing w:before="0" w:after="0"/>
        <w:rPr>
          <w:b/>
          <w:bCs/>
          <w:caps/>
          <w:sz w:val="20"/>
        </w:rPr>
      </w:pPr>
      <w:r>
        <w:br w:type="page"/>
      </w:r>
    </w:p>
    <w:p w14:paraId="60D9368B" w14:textId="527C6CF4" w:rsidR="00FC0494" w:rsidRPr="000B75E4" w:rsidRDefault="00FC0494" w:rsidP="00A16725">
      <w:pPr>
        <w:pStyle w:val="Heading5"/>
      </w:pPr>
      <w:r w:rsidRPr="000B75E4">
        <w:lastRenderedPageBreak/>
        <w:t>REFERRAL</w:t>
      </w:r>
    </w:p>
    <w:p w14:paraId="080E6F08" w14:textId="77777777" w:rsidR="00FC0494" w:rsidRPr="00EC788C" w:rsidRDefault="00FC0494" w:rsidP="00FC0494">
      <w:pPr>
        <w:pStyle w:val="NoSpacing"/>
        <w:rPr>
          <w:rStyle w:val="Strong"/>
        </w:rPr>
      </w:pPr>
      <w:r w:rsidRPr="00EC788C">
        <w:rPr>
          <w:rStyle w:val="Strong"/>
        </w:rPr>
        <w:t>Urgent</w:t>
      </w:r>
    </w:p>
    <w:p w14:paraId="2CC6350A" w14:textId="77777777" w:rsidR="00FC0494" w:rsidRPr="000B75E4" w:rsidRDefault="00FC0494" w:rsidP="00EC788C">
      <w:pPr>
        <w:pStyle w:val="ListParagraph"/>
      </w:pPr>
      <w:r w:rsidRPr="000B75E4">
        <w:t>All hypoglycaemic patients on oral hypoglycaemic agents.</w:t>
      </w:r>
    </w:p>
    <w:p w14:paraId="4AED7DC6" w14:textId="77777777" w:rsidR="00FC0494" w:rsidRPr="000B75E4" w:rsidRDefault="00FC0494" w:rsidP="00EC788C">
      <w:pPr>
        <w:pStyle w:val="ListParagraph"/>
      </w:pPr>
      <w:r w:rsidRPr="000B75E4">
        <w:t>Hypoglycaemic patients who do not recover completely after treatment.</w:t>
      </w:r>
    </w:p>
    <w:p w14:paraId="13FEF72A" w14:textId="76A4D463" w:rsidR="00FC0494" w:rsidRPr="000B75E4" w:rsidRDefault="00FC0494" w:rsidP="00EC788C">
      <w:pPr>
        <w:pStyle w:val="ListParagraph"/>
      </w:pPr>
      <w:r w:rsidRPr="000B75E4">
        <w:t>All children with documented hypoglycaemia unless the cause is clearly</w:t>
      </w:r>
      <w:r w:rsidR="00EC788C">
        <w:t xml:space="preserve"> </w:t>
      </w:r>
      <w:r w:rsidRPr="000B75E4">
        <w:t>identified and safe management instituted to prevent recurrence.</w:t>
      </w:r>
    </w:p>
    <w:p w14:paraId="375CBEC1" w14:textId="77777777" w:rsidR="00FC0494" w:rsidRPr="000B75E4" w:rsidRDefault="00FC0494" w:rsidP="00FC0494">
      <w:pPr>
        <w:pStyle w:val="NoSpacing"/>
      </w:pPr>
    </w:p>
    <w:p w14:paraId="7C0ECA4D" w14:textId="75D2C1CC" w:rsidR="00FC0494" w:rsidRPr="00182A9B" w:rsidRDefault="00B705E8" w:rsidP="00182A9B">
      <w:pPr>
        <w:pStyle w:val="Heading3"/>
      </w:pPr>
      <w:bookmarkStart w:id="11" w:name="_Toc56695566"/>
      <w:r w:rsidRPr="00182A9B">
        <w:t>Severe hyperglycaemia (diabetic ketoacidosis (DKA)</w:t>
      </w:r>
      <w:r w:rsidR="00FC0494" w:rsidRPr="00182A9B">
        <w:t xml:space="preserve"> &amp; </w:t>
      </w:r>
      <w:r w:rsidRPr="00182A9B">
        <w:t>hyperosmolar hyperglycaemic state</w:t>
      </w:r>
      <w:r w:rsidR="00FC0494" w:rsidRPr="00182A9B">
        <w:t xml:space="preserve"> (</w:t>
      </w:r>
      <w:r w:rsidRPr="00182A9B">
        <w:t>HHS)</w:t>
      </w:r>
      <w:bookmarkEnd w:id="11"/>
      <w:r w:rsidR="001D0DFE">
        <w:fldChar w:fldCharType="begin"/>
      </w:r>
      <w:r w:rsidR="001D0DFE">
        <w:instrText xml:space="preserve"> XE "</w:instrText>
      </w:r>
      <w:r w:rsidR="001D0DFE" w:rsidRPr="00ED0C31">
        <w:instrText>Severe hyperglycaemia (diabetic ketoacidosis (DKA) &amp; hyperosmolar hyperglycaemic state (HHS)</w:instrText>
      </w:r>
      <w:r w:rsidR="001D0DFE">
        <w:instrText xml:space="preserve">" </w:instrText>
      </w:r>
      <w:r w:rsidR="001D0DFE" w:rsidRPr="001D0DFE">
        <w:instrText>\f “c”</w:instrText>
      </w:r>
      <w:r w:rsidR="001D0DFE">
        <w:fldChar w:fldCharType="end"/>
      </w:r>
    </w:p>
    <w:p w14:paraId="5E73E428" w14:textId="77777777" w:rsidR="00FC0494" w:rsidRPr="000B75E4" w:rsidRDefault="00FC0494" w:rsidP="00A16725">
      <w:pPr>
        <w:pStyle w:val="ICD10"/>
      </w:pPr>
      <w:r w:rsidRPr="000B75E4">
        <w:t>E10.0-1/E11.0-1/E12.0-1/E13.0-1/E14.0-1</w:t>
      </w:r>
    </w:p>
    <w:p w14:paraId="135AF2E8" w14:textId="77777777" w:rsidR="00FC0494" w:rsidRPr="000B75E4" w:rsidRDefault="00FC0494" w:rsidP="00E07251">
      <w:pPr>
        <w:pStyle w:val="Heading5"/>
      </w:pPr>
      <w:r w:rsidRPr="000B75E4">
        <w:t>DESCRIPTION</w:t>
      </w:r>
    </w:p>
    <w:p w14:paraId="23257AC9" w14:textId="77777777" w:rsidR="00FC0494" w:rsidRPr="000B75E4" w:rsidRDefault="00FC0494" w:rsidP="00FC0494">
      <w:pPr>
        <w:pStyle w:val="NoSpacing"/>
      </w:pPr>
      <w:r w:rsidRPr="000B75E4">
        <w:t>Clinical features of severe hyperglycaemia include:</w:t>
      </w:r>
    </w:p>
    <w:tbl>
      <w:tblPr>
        <w:tblW w:w="5000" w:type="pct"/>
        <w:tblLook w:val="04A0" w:firstRow="1" w:lastRow="0" w:firstColumn="1" w:lastColumn="0" w:noHBand="0" w:noVBand="1"/>
      </w:tblPr>
      <w:tblGrid>
        <w:gridCol w:w="3344"/>
        <w:gridCol w:w="3345"/>
      </w:tblGrid>
      <w:tr w:rsidR="00FC0494" w:rsidRPr="000B75E4" w14:paraId="32BE5830" w14:textId="77777777" w:rsidTr="007B5A6A">
        <w:tc>
          <w:tcPr>
            <w:tcW w:w="2500" w:type="pct"/>
          </w:tcPr>
          <w:p w14:paraId="6FE435F3" w14:textId="77777777" w:rsidR="00FC0494" w:rsidRPr="000B75E4" w:rsidRDefault="00FC0494" w:rsidP="00E07251">
            <w:pPr>
              <w:pStyle w:val="ListParagraph"/>
            </w:pPr>
            <w:r w:rsidRPr="000B75E4">
              <w:t xml:space="preserve">dehydration </w:t>
            </w:r>
          </w:p>
        </w:tc>
        <w:tc>
          <w:tcPr>
            <w:tcW w:w="2500" w:type="pct"/>
          </w:tcPr>
          <w:p w14:paraId="20F6AFAE" w14:textId="77777777" w:rsidR="00FC0494" w:rsidRPr="000B75E4" w:rsidRDefault="00FC0494" w:rsidP="00E07251">
            <w:pPr>
              <w:pStyle w:val="ListParagraph"/>
            </w:pPr>
            <w:r w:rsidRPr="000B75E4">
              <w:t>drowsiness, confusion, coma</w:t>
            </w:r>
          </w:p>
        </w:tc>
      </w:tr>
      <w:tr w:rsidR="00FC0494" w:rsidRPr="000B75E4" w14:paraId="741037FB" w14:textId="77777777" w:rsidTr="007B5A6A">
        <w:tc>
          <w:tcPr>
            <w:tcW w:w="2500" w:type="pct"/>
          </w:tcPr>
          <w:p w14:paraId="4B4A0932" w14:textId="77777777" w:rsidR="00FC0494" w:rsidRPr="000B75E4" w:rsidRDefault="00FC0494" w:rsidP="00E07251">
            <w:pPr>
              <w:pStyle w:val="ListParagraph"/>
            </w:pPr>
            <w:r w:rsidRPr="000B75E4">
              <w:t>abdominal pain</w:t>
            </w:r>
          </w:p>
        </w:tc>
        <w:tc>
          <w:tcPr>
            <w:tcW w:w="2500" w:type="pct"/>
          </w:tcPr>
          <w:p w14:paraId="724FA23F" w14:textId="73FFED84" w:rsidR="00FC0494" w:rsidRPr="000B75E4" w:rsidRDefault="00FC0494" w:rsidP="00E07251">
            <w:pPr>
              <w:pStyle w:val="ListParagraph"/>
            </w:pPr>
            <w:r w:rsidRPr="000B75E4">
              <w:t>acetone/fruity</w:t>
            </w:r>
            <w:r w:rsidR="004F4912">
              <w:t>-</w:t>
            </w:r>
            <w:r w:rsidRPr="000B75E4">
              <w:t>smelling breath</w:t>
            </w:r>
          </w:p>
        </w:tc>
      </w:tr>
      <w:tr w:rsidR="00FC0494" w:rsidRPr="000B75E4" w14:paraId="041CA738" w14:textId="77777777" w:rsidTr="007B5A6A">
        <w:tc>
          <w:tcPr>
            <w:tcW w:w="2500" w:type="pct"/>
          </w:tcPr>
          <w:p w14:paraId="2D408402" w14:textId="77777777" w:rsidR="00FC0494" w:rsidRPr="000B75E4" w:rsidRDefault="00FC0494" w:rsidP="00E07251">
            <w:pPr>
              <w:pStyle w:val="ListParagraph"/>
            </w:pPr>
            <w:r w:rsidRPr="000B75E4">
              <w:t>vomiting</w:t>
            </w:r>
          </w:p>
        </w:tc>
        <w:tc>
          <w:tcPr>
            <w:tcW w:w="2500" w:type="pct"/>
          </w:tcPr>
          <w:p w14:paraId="1F1502E4" w14:textId="77777777" w:rsidR="00FC0494" w:rsidRPr="000B75E4" w:rsidRDefault="00FC0494" w:rsidP="00E07251">
            <w:pPr>
              <w:pStyle w:val="ListParagraph"/>
            </w:pPr>
            <w:r w:rsidRPr="000B75E4">
              <w:t>elevated blood glucose</w:t>
            </w:r>
          </w:p>
        </w:tc>
      </w:tr>
      <w:tr w:rsidR="00FC0494" w:rsidRPr="000B75E4" w14:paraId="02557D7A" w14:textId="77777777" w:rsidTr="007B5A6A">
        <w:tc>
          <w:tcPr>
            <w:tcW w:w="2500" w:type="pct"/>
          </w:tcPr>
          <w:p w14:paraId="5A47C045" w14:textId="77777777" w:rsidR="00FC0494" w:rsidRPr="000B75E4" w:rsidRDefault="00FC0494" w:rsidP="00E07251">
            <w:pPr>
              <w:pStyle w:val="ListParagraph"/>
            </w:pPr>
            <w:r w:rsidRPr="000B75E4">
              <w:t>deep sighing respiration</w:t>
            </w:r>
          </w:p>
        </w:tc>
        <w:tc>
          <w:tcPr>
            <w:tcW w:w="2500" w:type="pct"/>
          </w:tcPr>
          <w:p w14:paraId="0DA8085D" w14:textId="77777777" w:rsidR="00FC0494" w:rsidRPr="000B75E4" w:rsidRDefault="00FC0494" w:rsidP="007B5A6A">
            <w:pPr>
              <w:pStyle w:val="NoSpacing"/>
            </w:pPr>
          </w:p>
        </w:tc>
      </w:tr>
    </w:tbl>
    <w:p w14:paraId="46303F99" w14:textId="77777777" w:rsidR="00FC0494" w:rsidRPr="000B75E4" w:rsidRDefault="00FC0494" w:rsidP="00E07251">
      <w:pPr>
        <w:pStyle w:val="Heading5"/>
      </w:pPr>
      <w:r w:rsidRPr="000B75E4">
        <w:t>MEDICINE TREATMENT</w:t>
      </w:r>
    </w:p>
    <w:p w14:paraId="4404BD9A" w14:textId="77777777" w:rsidR="00FC0494" w:rsidRPr="000B75E4" w:rsidRDefault="00FC0494" w:rsidP="004D64D2">
      <w:pPr>
        <w:pStyle w:val="Heading7"/>
      </w:pPr>
      <w:r w:rsidRPr="000B75E4">
        <w:t>Adults</w:t>
      </w:r>
    </w:p>
    <w:p w14:paraId="04EAA1CD" w14:textId="77777777" w:rsidR="00FC0494" w:rsidRPr="000B75E4" w:rsidRDefault="00FC0494" w:rsidP="00FC0494">
      <w:pPr>
        <w:pStyle w:val="NoSpacing"/>
      </w:pPr>
      <w:r w:rsidRPr="000B75E4">
        <w:t>Average fluid deficit 6 L, and may be as much as 12 L.</w:t>
      </w:r>
    </w:p>
    <w:p w14:paraId="384DFBAE" w14:textId="77777777" w:rsidR="00FC0494" w:rsidRPr="000B75E4" w:rsidRDefault="00FC0494" w:rsidP="00FC0494">
      <w:pPr>
        <w:pStyle w:val="NoSpacing"/>
      </w:pPr>
      <w:r w:rsidRPr="000B75E4">
        <w:t>Be cautious in renal and cardiac disease.</w:t>
      </w:r>
    </w:p>
    <w:p w14:paraId="22BD239F" w14:textId="77777777" w:rsidR="00FC0494" w:rsidRPr="000B75E4" w:rsidRDefault="00FC0494" w:rsidP="00FC0494">
      <w:pPr>
        <w:pStyle w:val="NoSpacing"/>
      </w:pPr>
      <w:r w:rsidRPr="000B75E4">
        <w:t>In the absence of renal or cardiac compromise:</w:t>
      </w:r>
    </w:p>
    <w:p w14:paraId="6A7FF309" w14:textId="6C2F7842" w:rsidR="00FC0494" w:rsidRPr="000B75E4" w:rsidRDefault="00FC0494" w:rsidP="004D64D2">
      <w:pPr>
        <w:pStyle w:val="BulletMedicine"/>
      </w:pPr>
      <w:r w:rsidRPr="000B75E4">
        <w:t>Sodium chloride 0.9%, IV</w:t>
      </w:r>
      <w:r w:rsidR="00E26BF0">
        <w:fldChar w:fldCharType="begin"/>
      </w:r>
      <w:r w:rsidR="00E26BF0">
        <w:instrText xml:space="preserve"> XE "</w:instrText>
      </w:r>
      <w:r w:rsidR="00E26BF0" w:rsidRPr="00293B76">
        <w:instrText>Sodium chloride 0.9%</w:instrText>
      </w:r>
      <w:r w:rsidR="00E26BF0">
        <w:instrText>"</w:instrText>
      </w:r>
      <w:r w:rsidR="001D0DFE">
        <w:instrText xml:space="preserve"> \f "m"</w:instrText>
      </w:r>
      <w:r w:rsidR="00E26BF0">
        <w:instrText xml:space="preserve"> </w:instrText>
      </w:r>
      <w:r w:rsidR="00E26BF0">
        <w:fldChar w:fldCharType="end"/>
      </w:r>
      <w:r w:rsidRPr="000B75E4">
        <w:t>, 15–20 mL/kg in the first hour.</w:t>
      </w:r>
    </w:p>
    <w:p w14:paraId="499B9455" w14:textId="77777777" w:rsidR="00FC0494" w:rsidRPr="000B75E4" w:rsidRDefault="00FC0494" w:rsidP="004D64D2">
      <w:pPr>
        <w:pStyle w:val="BulletDirectionsInstructions"/>
      </w:pPr>
      <w:r w:rsidRPr="000B75E4">
        <w:t>Subsequent infusion rate: 10 mL/kg/hour with 20 mL/kg boluses if shocked.</w:t>
      </w:r>
    </w:p>
    <w:p w14:paraId="70966894" w14:textId="77777777" w:rsidR="00FC0494" w:rsidRPr="000B75E4" w:rsidRDefault="00FC0494" w:rsidP="004D64D2">
      <w:pPr>
        <w:pStyle w:val="BulletDirectionsInstructions"/>
      </w:pPr>
      <w:r w:rsidRPr="000B75E4">
        <w:t>Do not exceed 50 mL/kg in the first 4 hours.</w:t>
      </w:r>
    </w:p>
    <w:p w14:paraId="5536DE97" w14:textId="77777777" w:rsidR="00FC0494" w:rsidRPr="000B75E4" w:rsidRDefault="00FC0494" w:rsidP="004D64D2">
      <w:pPr>
        <w:pStyle w:val="BulletDirectionsInstructions"/>
      </w:pPr>
      <w:r w:rsidRPr="000B75E4">
        <w:t>Correct estimated deficits over 24 hours.</w:t>
      </w:r>
    </w:p>
    <w:p w14:paraId="47CD9694" w14:textId="77777777" w:rsidR="00FC0494" w:rsidRPr="00D8211B" w:rsidRDefault="00FC0494" w:rsidP="004D64D2">
      <w:pPr>
        <w:rPr>
          <w:rStyle w:val="Strong"/>
        </w:rPr>
      </w:pPr>
      <w:r w:rsidRPr="00D8211B">
        <w:rPr>
          <w:rStyle w:val="Strong"/>
        </w:rPr>
        <w:t>Refer urgently with drip in place and running at planned rate.</w:t>
      </w:r>
    </w:p>
    <w:p w14:paraId="35167413" w14:textId="77777777" w:rsidR="00FC0494" w:rsidRPr="000B75E4" w:rsidRDefault="00FC0494" w:rsidP="00FC0494">
      <w:pPr>
        <w:pStyle w:val="NoSpacing"/>
      </w:pPr>
      <w:r w:rsidRPr="000B75E4">
        <w:t xml:space="preserve">When referral will take more than 2 hours and a diagnosis of diabetes with hyperglycaemia is confirmed: </w:t>
      </w:r>
    </w:p>
    <w:p w14:paraId="396FBB3E" w14:textId="742570DD" w:rsidR="00FC0494" w:rsidRPr="000B75E4" w:rsidRDefault="00FC0494" w:rsidP="00D8211B">
      <w:pPr>
        <w:pStyle w:val="BulletMedicine"/>
      </w:pPr>
      <w:r w:rsidRPr="000B75E4">
        <w:t>Insulin, short acting</w:t>
      </w:r>
      <w:r w:rsidR="00B82F62">
        <w:fldChar w:fldCharType="begin"/>
      </w:r>
      <w:r w:rsidR="00B82F62">
        <w:instrText xml:space="preserve"> XE "Insulin, short acting" \f "m" </w:instrText>
      </w:r>
      <w:r w:rsidR="00B82F62">
        <w:fldChar w:fldCharType="end"/>
      </w:r>
      <w:r w:rsidRPr="000B75E4">
        <w:t>, IM, 0.1 unit/kg.</w:t>
      </w:r>
    </w:p>
    <w:p w14:paraId="0E6F1829" w14:textId="77777777" w:rsidR="00FC0494" w:rsidRPr="000B75E4" w:rsidRDefault="00FC0494" w:rsidP="00D8211B">
      <w:pPr>
        <w:pStyle w:val="BulletDirectionsInstructions"/>
      </w:pPr>
      <w:r w:rsidRPr="000B75E4">
        <w:t>When giving insulin IM, do not use insulin needle.</w:t>
      </w:r>
    </w:p>
    <w:p w14:paraId="31BC8B1C" w14:textId="5411EC3C" w:rsidR="00D8211B" w:rsidRPr="000B75E4" w:rsidRDefault="00D8211B" w:rsidP="00D8211B">
      <w:pPr>
        <w:pStyle w:val="Centeredbox"/>
      </w:pPr>
      <w:r w:rsidRPr="00D8211B">
        <w:rPr>
          <w:rStyle w:val="Strong"/>
        </w:rPr>
        <w:t>CAUTION</w:t>
      </w:r>
      <w:r>
        <w:br/>
      </w:r>
      <w:r w:rsidRPr="000B75E4">
        <w:t>Do not administer short acting insulin if the serum electrolyte status, especially potassium</w:t>
      </w:r>
      <w:r w:rsidR="00274E35">
        <w:t>,</w:t>
      </w:r>
      <w:r w:rsidRPr="000B75E4">
        <w:t xml:space="preserve"> is not known. </w:t>
      </w:r>
      <w:r>
        <w:br/>
      </w:r>
      <w:r w:rsidRPr="000B75E4">
        <w:t>Continue with fluids</w:t>
      </w:r>
      <w:r w:rsidR="00274E35">
        <w:t>,</w:t>
      </w:r>
      <w:r w:rsidRPr="000B75E4">
        <w:t xml:space="preserve"> but delay giving insulin in these cases in consultation with referral facility as this delay should not negatively affect the patient, but hypokalaemia with resultant cardiac dysrhythmias </w:t>
      </w:r>
      <w:proofErr w:type="gramStart"/>
      <w:r w:rsidRPr="000B75E4">
        <w:t>definitely will</w:t>
      </w:r>
      <w:proofErr w:type="gramEnd"/>
      <w:r w:rsidRPr="000B75E4">
        <w:t>.</w:t>
      </w:r>
    </w:p>
    <w:p w14:paraId="30CFAC92" w14:textId="77777777" w:rsidR="00FC0494" w:rsidRPr="000B75E4" w:rsidRDefault="00FC0494" w:rsidP="00D8211B">
      <w:pPr>
        <w:pStyle w:val="Heading7"/>
      </w:pPr>
      <w:r w:rsidRPr="000B75E4">
        <w:lastRenderedPageBreak/>
        <w:t>Children</w:t>
      </w:r>
    </w:p>
    <w:p w14:paraId="2A1C1AB5" w14:textId="77777777" w:rsidR="00FC0494" w:rsidRPr="00282E42" w:rsidRDefault="00FC0494" w:rsidP="00960E66">
      <w:pPr>
        <w:pStyle w:val="Heading6"/>
      </w:pPr>
      <w:r w:rsidRPr="00282E42">
        <w:t>If in shock:</w:t>
      </w:r>
    </w:p>
    <w:p w14:paraId="1339580A" w14:textId="05FC68A2" w:rsidR="00FC0494" w:rsidRPr="000B75E4" w:rsidRDefault="00FC0494" w:rsidP="00282E42">
      <w:pPr>
        <w:pStyle w:val="BulletMedicine"/>
      </w:pPr>
      <w:r w:rsidRPr="000B75E4">
        <w:t>Sodium chloride 0.9%, IV</w:t>
      </w:r>
      <w:r w:rsidR="00E26BF0">
        <w:fldChar w:fldCharType="begin"/>
      </w:r>
      <w:r w:rsidR="00E26BF0">
        <w:instrText xml:space="preserve"> XE "</w:instrText>
      </w:r>
      <w:r w:rsidR="00E26BF0" w:rsidRPr="00293B76">
        <w:instrText>Sodium chloride 0.9%</w:instrText>
      </w:r>
      <w:r w:rsidR="00E26BF0">
        <w:instrText>"</w:instrText>
      </w:r>
      <w:r w:rsidR="001D0DFE">
        <w:instrText xml:space="preserve"> \f "m"</w:instrText>
      </w:r>
      <w:r w:rsidR="00E26BF0">
        <w:instrText xml:space="preserve"> </w:instrText>
      </w:r>
      <w:r w:rsidR="00E26BF0">
        <w:fldChar w:fldCharType="end"/>
      </w:r>
      <w:r w:rsidRPr="000B75E4">
        <w:t>, 20 mL/kg as a bolus.</w:t>
      </w:r>
    </w:p>
    <w:p w14:paraId="19F339A6" w14:textId="77777777" w:rsidR="00FC0494" w:rsidRPr="000B75E4" w:rsidRDefault="00FC0494" w:rsidP="00282E42">
      <w:pPr>
        <w:pStyle w:val="BulletDirectionsInstructions"/>
      </w:pPr>
      <w:r w:rsidRPr="000B75E4">
        <w:t>If shock not corrected, repeat the bolus.</w:t>
      </w:r>
    </w:p>
    <w:p w14:paraId="22F749C2" w14:textId="69032B87" w:rsidR="00FC0494" w:rsidRPr="000B75E4" w:rsidRDefault="00FC0494" w:rsidP="00282E42">
      <w:pPr>
        <w:pStyle w:val="BulletDirectionsInstructions"/>
      </w:pPr>
      <w:r w:rsidRPr="000B75E4">
        <w:t xml:space="preserve">If a 3rd bolus is required, consult with </w:t>
      </w:r>
      <w:r w:rsidR="00694529">
        <w:t xml:space="preserve">a </w:t>
      </w:r>
      <w:r w:rsidRPr="000B75E4">
        <w:t>paediatrician.</w:t>
      </w:r>
    </w:p>
    <w:p w14:paraId="2983BA7C" w14:textId="77777777" w:rsidR="00FC0494" w:rsidRPr="000B75E4" w:rsidRDefault="00FC0494" w:rsidP="00960E66">
      <w:pPr>
        <w:pStyle w:val="Heading6"/>
      </w:pPr>
      <w:r w:rsidRPr="000B75E4">
        <w:t>If no shock or aftershock is corrected:</w:t>
      </w:r>
    </w:p>
    <w:p w14:paraId="3D95FA25" w14:textId="35D126AF" w:rsidR="00FC0494" w:rsidRDefault="00FC0494" w:rsidP="00960E66">
      <w:pPr>
        <w:pStyle w:val="BulletMedicine"/>
      </w:pPr>
      <w:r w:rsidRPr="000B75E4">
        <w:t>Sodium chloride 0.9%, IV</w:t>
      </w:r>
      <w:r w:rsidR="00E26BF0">
        <w:fldChar w:fldCharType="begin"/>
      </w:r>
      <w:r w:rsidR="00E26BF0">
        <w:instrText xml:space="preserve"> XE "</w:instrText>
      </w:r>
      <w:r w:rsidR="00E26BF0" w:rsidRPr="00293B76">
        <w:instrText>Sodium chloride 0.9%</w:instrText>
      </w:r>
      <w:r w:rsidR="00E26BF0">
        <w:instrText xml:space="preserve">" </w:instrText>
      </w:r>
      <w:r w:rsidR="001D0DFE">
        <w:instrText xml:space="preserve">\f "m" </w:instrText>
      </w:r>
      <w:r w:rsidR="00E26BF0">
        <w:fldChar w:fldCharType="end"/>
      </w:r>
      <w:r w:rsidRPr="000B75E4">
        <w:t>.</w:t>
      </w:r>
    </w:p>
    <w:p w14:paraId="59231879" w14:textId="326ED211" w:rsidR="00960E66" w:rsidRDefault="00960E66" w:rsidP="00E82C9F">
      <w:pPr>
        <w:pStyle w:val="NoSpacing"/>
      </w:pPr>
    </w:p>
    <w:tbl>
      <w:tblPr>
        <w:tblStyle w:val="SamplePHCTable"/>
        <w:tblW w:w="5000" w:type="pct"/>
        <w:tblLook w:val="04A0" w:firstRow="1" w:lastRow="0" w:firstColumn="1" w:lastColumn="0" w:noHBand="0" w:noVBand="1"/>
      </w:tblPr>
      <w:tblGrid>
        <w:gridCol w:w="3760"/>
        <w:gridCol w:w="2919"/>
      </w:tblGrid>
      <w:tr w:rsidR="00FC0494" w:rsidRPr="000B75E4" w14:paraId="711165C8" w14:textId="77777777" w:rsidTr="00E82C9F">
        <w:trPr>
          <w:cnfStyle w:val="100000000000" w:firstRow="1" w:lastRow="0" w:firstColumn="0" w:lastColumn="0" w:oddVBand="0" w:evenVBand="0" w:oddHBand="0" w:evenHBand="0" w:firstRowFirstColumn="0" w:firstRowLastColumn="0" w:lastRowFirstColumn="0" w:lastRowLastColumn="0"/>
          <w:trHeight w:val="259"/>
        </w:trPr>
        <w:tc>
          <w:tcPr>
            <w:tcW w:w="2815" w:type="pct"/>
          </w:tcPr>
          <w:p w14:paraId="3DAA21C7" w14:textId="77777777" w:rsidR="00FC0494" w:rsidRPr="000B75E4" w:rsidRDefault="00FC0494" w:rsidP="00E82C9F">
            <w:pPr>
              <w:pStyle w:val="NoSpacing"/>
              <w:keepNext/>
            </w:pPr>
            <w:r w:rsidRPr="000B75E4">
              <w:t>Fluid rates of sodium chloride 0.9%, IV (if no shock) in children awaiting transfer.</w:t>
            </w:r>
          </w:p>
        </w:tc>
        <w:tc>
          <w:tcPr>
            <w:tcW w:w="2185" w:type="pct"/>
          </w:tcPr>
          <w:p w14:paraId="42DE9BF2" w14:textId="77777777" w:rsidR="00FC0494" w:rsidRPr="000B75E4" w:rsidRDefault="00FC0494" w:rsidP="00E82C9F">
            <w:pPr>
              <w:pStyle w:val="NoSpacing"/>
              <w:keepNext/>
            </w:pPr>
            <w:r w:rsidRPr="000B75E4">
              <w:t>Check regularly for shock or increasing dehydration</w:t>
            </w:r>
          </w:p>
        </w:tc>
      </w:tr>
      <w:tr w:rsidR="00FC0494" w:rsidRPr="000B75E4" w14:paraId="4E22195F" w14:textId="77777777" w:rsidTr="00E82C9F">
        <w:trPr>
          <w:trHeight w:val="495"/>
        </w:trPr>
        <w:tc>
          <w:tcPr>
            <w:tcW w:w="2815" w:type="pct"/>
          </w:tcPr>
          <w:p w14:paraId="437AA5D0" w14:textId="77777777" w:rsidR="00FC0494" w:rsidRPr="007616D3" w:rsidRDefault="00FC0494" w:rsidP="007B5A6A">
            <w:pPr>
              <w:pStyle w:val="NoSpacing"/>
              <w:rPr>
                <w:rStyle w:val="Strong"/>
              </w:rPr>
            </w:pPr>
            <w:r w:rsidRPr="007616D3">
              <w:rPr>
                <w:rStyle w:val="Strong"/>
              </w:rPr>
              <w:t>Weight range</w:t>
            </w:r>
          </w:p>
          <w:p w14:paraId="5337F5A7" w14:textId="77777777" w:rsidR="00FC0494" w:rsidRPr="000B75E4" w:rsidRDefault="00FC0494" w:rsidP="007B5A6A">
            <w:pPr>
              <w:pStyle w:val="NoSpacing"/>
            </w:pPr>
            <w:r w:rsidRPr="000B75E4">
              <w:t>kg</w:t>
            </w:r>
          </w:p>
        </w:tc>
        <w:tc>
          <w:tcPr>
            <w:tcW w:w="2185" w:type="pct"/>
          </w:tcPr>
          <w:p w14:paraId="24D7E063" w14:textId="77777777" w:rsidR="00FC0494" w:rsidRPr="000B75E4" w:rsidRDefault="00FC0494" w:rsidP="007B5A6A">
            <w:pPr>
              <w:pStyle w:val="NoSpacing"/>
            </w:pPr>
            <w:r w:rsidRPr="007616D3">
              <w:rPr>
                <w:rStyle w:val="Strong"/>
              </w:rPr>
              <w:t>Rate</w:t>
            </w:r>
            <w:r w:rsidRPr="000B75E4">
              <w:t>(mL/hr)</w:t>
            </w:r>
          </w:p>
          <w:p w14:paraId="08C7EBD8" w14:textId="77777777" w:rsidR="00FC0494" w:rsidRPr="000B75E4" w:rsidRDefault="00FC0494" w:rsidP="007B5A6A">
            <w:pPr>
              <w:pStyle w:val="NoSpacing"/>
            </w:pPr>
            <w:r w:rsidRPr="000B75E4">
              <w:t>(2–10 kg: 6 mL/kg/hr)</w:t>
            </w:r>
          </w:p>
          <w:p w14:paraId="78AF6195" w14:textId="77777777" w:rsidR="00FC0494" w:rsidRPr="000B75E4" w:rsidRDefault="00FC0494" w:rsidP="007B5A6A">
            <w:pPr>
              <w:pStyle w:val="NoSpacing"/>
            </w:pPr>
            <w:r w:rsidRPr="000B75E4">
              <w:t>(&gt;10-–20 kg: 5 mL/kg/hr)</w:t>
            </w:r>
          </w:p>
          <w:p w14:paraId="7B3F8018" w14:textId="77777777" w:rsidR="00FC0494" w:rsidRPr="000B75E4" w:rsidRDefault="00FC0494" w:rsidP="007B5A6A">
            <w:pPr>
              <w:pStyle w:val="NoSpacing"/>
            </w:pPr>
            <w:r w:rsidRPr="000B75E4">
              <w:t>(&gt;20–40 kg: 4 mL/kg/hr)</w:t>
            </w:r>
          </w:p>
        </w:tc>
      </w:tr>
      <w:tr w:rsidR="00FC0494" w:rsidRPr="000B75E4" w14:paraId="1CE46352" w14:textId="77777777" w:rsidTr="00E82C9F">
        <w:trPr>
          <w:trHeight w:val="196"/>
        </w:trPr>
        <w:tc>
          <w:tcPr>
            <w:tcW w:w="2815" w:type="pct"/>
            <w:hideMark/>
          </w:tcPr>
          <w:p w14:paraId="0D3426B5" w14:textId="77777777" w:rsidR="00FC0494" w:rsidRPr="000B75E4" w:rsidRDefault="00FC0494" w:rsidP="007B5A6A">
            <w:pPr>
              <w:pStyle w:val="NoSpacing"/>
            </w:pPr>
            <w:r w:rsidRPr="000B75E4">
              <w:t>&gt;4–6</w:t>
            </w:r>
          </w:p>
        </w:tc>
        <w:tc>
          <w:tcPr>
            <w:tcW w:w="2185" w:type="pct"/>
          </w:tcPr>
          <w:p w14:paraId="24BDB563" w14:textId="77777777" w:rsidR="00FC0494" w:rsidRPr="000B75E4" w:rsidDel="001C189C" w:rsidRDefault="00FC0494" w:rsidP="007B5A6A">
            <w:pPr>
              <w:pStyle w:val="NoSpacing"/>
            </w:pPr>
            <w:r w:rsidRPr="000B75E4">
              <w:t>25</w:t>
            </w:r>
          </w:p>
        </w:tc>
      </w:tr>
      <w:tr w:rsidR="00FC0494" w:rsidRPr="000B75E4" w14:paraId="2EE5FB21" w14:textId="77777777" w:rsidTr="00E82C9F">
        <w:trPr>
          <w:trHeight w:val="95"/>
        </w:trPr>
        <w:tc>
          <w:tcPr>
            <w:tcW w:w="2815" w:type="pct"/>
            <w:hideMark/>
          </w:tcPr>
          <w:p w14:paraId="00C2F7CA" w14:textId="77777777" w:rsidR="00FC0494" w:rsidRPr="000B75E4" w:rsidRDefault="00FC0494" w:rsidP="007B5A6A">
            <w:pPr>
              <w:pStyle w:val="NoSpacing"/>
            </w:pPr>
            <w:r w:rsidRPr="000B75E4">
              <w:t>&gt;6–10</w:t>
            </w:r>
          </w:p>
        </w:tc>
        <w:tc>
          <w:tcPr>
            <w:tcW w:w="2185" w:type="pct"/>
          </w:tcPr>
          <w:p w14:paraId="52A8C04C" w14:textId="77777777" w:rsidR="00FC0494" w:rsidRPr="000B75E4" w:rsidRDefault="00FC0494" w:rsidP="007B5A6A">
            <w:pPr>
              <w:pStyle w:val="NoSpacing"/>
            </w:pPr>
            <w:r w:rsidRPr="000B75E4">
              <w:t>40</w:t>
            </w:r>
          </w:p>
        </w:tc>
      </w:tr>
      <w:tr w:rsidR="00FC0494" w:rsidRPr="000B75E4" w14:paraId="3A4D99D5" w14:textId="77777777" w:rsidTr="00E82C9F">
        <w:trPr>
          <w:trHeight w:val="188"/>
        </w:trPr>
        <w:tc>
          <w:tcPr>
            <w:tcW w:w="2815" w:type="pct"/>
            <w:hideMark/>
          </w:tcPr>
          <w:p w14:paraId="47DFE5EC" w14:textId="77777777" w:rsidR="00FC0494" w:rsidRPr="000B75E4" w:rsidRDefault="00FC0494" w:rsidP="007B5A6A">
            <w:pPr>
              <w:pStyle w:val="NoSpacing"/>
            </w:pPr>
            <w:r w:rsidRPr="000B75E4">
              <w:t>&gt;10–15</w:t>
            </w:r>
          </w:p>
        </w:tc>
        <w:tc>
          <w:tcPr>
            <w:tcW w:w="2185" w:type="pct"/>
          </w:tcPr>
          <w:p w14:paraId="73846CC4" w14:textId="77777777" w:rsidR="00FC0494" w:rsidRPr="000B75E4" w:rsidRDefault="00FC0494" w:rsidP="007B5A6A">
            <w:pPr>
              <w:pStyle w:val="NoSpacing"/>
            </w:pPr>
            <w:r w:rsidRPr="000B75E4">
              <w:t>60</w:t>
            </w:r>
          </w:p>
        </w:tc>
      </w:tr>
      <w:tr w:rsidR="00FC0494" w:rsidRPr="000B75E4" w14:paraId="291CC428" w14:textId="77777777" w:rsidTr="00E82C9F">
        <w:trPr>
          <w:trHeight w:val="106"/>
        </w:trPr>
        <w:tc>
          <w:tcPr>
            <w:tcW w:w="2815" w:type="pct"/>
            <w:hideMark/>
          </w:tcPr>
          <w:p w14:paraId="4E135951" w14:textId="77777777" w:rsidR="00FC0494" w:rsidRPr="000B75E4" w:rsidRDefault="00FC0494" w:rsidP="007B5A6A">
            <w:pPr>
              <w:pStyle w:val="NoSpacing"/>
            </w:pPr>
            <w:r w:rsidRPr="000B75E4">
              <w:t>&gt;15–20</w:t>
            </w:r>
          </w:p>
        </w:tc>
        <w:tc>
          <w:tcPr>
            <w:tcW w:w="2185" w:type="pct"/>
          </w:tcPr>
          <w:p w14:paraId="57566991" w14:textId="77777777" w:rsidR="00FC0494" w:rsidRPr="000B75E4" w:rsidRDefault="00FC0494" w:rsidP="007B5A6A">
            <w:pPr>
              <w:pStyle w:val="NoSpacing"/>
            </w:pPr>
            <w:r w:rsidRPr="000B75E4">
              <w:t>85</w:t>
            </w:r>
          </w:p>
        </w:tc>
      </w:tr>
      <w:tr w:rsidR="00FC0494" w:rsidRPr="000B75E4" w14:paraId="00CC77FA" w14:textId="77777777" w:rsidTr="00E82C9F">
        <w:trPr>
          <w:trHeight w:val="50"/>
        </w:trPr>
        <w:tc>
          <w:tcPr>
            <w:tcW w:w="2815" w:type="pct"/>
            <w:hideMark/>
          </w:tcPr>
          <w:p w14:paraId="4F9DFC43" w14:textId="77777777" w:rsidR="00FC0494" w:rsidRPr="000B75E4" w:rsidRDefault="00FC0494" w:rsidP="007B5A6A">
            <w:pPr>
              <w:pStyle w:val="NoSpacing"/>
            </w:pPr>
            <w:r w:rsidRPr="000B75E4">
              <w:t>&gt;20–30</w:t>
            </w:r>
          </w:p>
        </w:tc>
        <w:tc>
          <w:tcPr>
            <w:tcW w:w="2185" w:type="pct"/>
          </w:tcPr>
          <w:p w14:paraId="7AE365FC" w14:textId="77777777" w:rsidR="00FC0494" w:rsidRPr="000B75E4" w:rsidRDefault="00FC0494" w:rsidP="007B5A6A">
            <w:pPr>
              <w:pStyle w:val="NoSpacing"/>
            </w:pPr>
            <w:r w:rsidRPr="000B75E4">
              <w:t>100</w:t>
            </w:r>
          </w:p>
        </w:tc>
      </w:tr>
      <w:tr w:rsidR="00FC0494" w:rsidRPr="000B75E4" w14:paraId="39FFDB51" w14:textId="77777777" w:rsidTr="00E82C9F">
        <w:trPr>
          <w:trHeight w:val="84"/>
        </w:trPr>
        <w:tc>
          <w:tcPr>
            <w:tcW w:w="2815" w:type="pct"/>
            <w:hideMark/>
          </w:tcPr>
          <w:p w14:paraId="3F235603" w14:textId="77777777" w:rsidR="00FC0494" w:rsidRPr="000B75E4" w:rsidRDefault="00FC0494" w:rsidP="007B5A6A">
            <w:pPr>
              <w:pStyle w:val="NoSpacing"/>
            </w:pPr>
            <w:r w:rsidRPr="000B75E4">
              <w:t>&gt;30–45</w:t>
            </w:r>
          </w:p>
        </w:tc>
        <w:tc>
          <w:tcPr>
            <w:tcW w:w="2185" w:type="pct"/>
          </w:tcPr>
          <w:p w14:paraId="49A780AA" w14:textId="77777777" w:rsidR="00FC0494" w:rsidRPr="000B75E4" w:rsidRDefault="00FC0494" w:rsidP="007B5A6A">
            <w:pPr>
              <w:pStyle w:val="NoSpacing"/>
            </w:pPr>
            <w:r w:rsidRPr="000B75E4">
              <w:t>150</w:t>
            </w:r>
          </w:p>
        </w:tc>
      </w:tr>
      <w:tr w:rsidR="00FC0494" w:rsidRPr="000B75E4" w14:paraId="3C4B2A79" w14:textId="77777777" w:rsidTr="00E82C9F">
        <w:trPr>
          <w:trHeight w:val="50"/>
        </w:trPr>
        <w:tc>
          <w:tcPr>
            <w:tcW w:w="2815" w:type="pct"/>
            <w:hideMark/>
          </w:tcPr>
          <w:p w14:paraId="278D78EF" w14:textId="77777777" w:rsidR="00FC0494" w:rsidRPr="000B75E4" w:rsidRDefault="00FC0494" w:rsidP="007B5A6A">
            <w:pPr>
              <w:pStyle w:val="NoSpacing"/>
            </w:pPr>
            <w:r w:rsidRPr="000B75E4">
              <w:t>&gt;45–80</w:t>
            </w:r>
          </w:p>
        </w:tc>
        <w:tc>
          <w:tcPr>
            <w:tcW w:w="2185" w:type="pct"/>
          </w:tcPr>
          <w:p w14:paraId="79653FBD" w14:textId="77777777" w:rsidR="00FC0494" w:rsidRPr="000B75E4" w:rsidRDefault="00FC0494" w:rsidP="007B5A6A">
            <w:pPr>
              <w:pStyle w:val="NoSpacing"/>
            </w:pPr>
            <w:r w:rsidRPr="000B75E4">
              <w:t>200</w:t>
            </w:r>
          </w:p>
        </w:tc>
      </w:tr>
    </w:tbl>
    <w:p w14:paraId="3ABD00E2" w14:textId="77777777" w:rsidR="00FC0494" w:rsidRPr="000B75E4" w:rsidRDefault="00FC0494" w:rsidP="00AC076A">
      <w:r w:rsidRPr="00AC076A">
        <w:rPr>
          <w:rStyle w:val="Strong"/>
        </w:rPr>
        <w:t>Refer urgently</w:t>
      </w:r>
      <w:r w:rsidRPr="000B75E4">
        <w:t xml:space="preserve"> with drip in place and running at planned rate.</w:t>
      </w:r>
    </w:p>
    <w:p w14:paraId="1253A33E" w14:textId="77777777" w:rsidR="00FC0494" w:rsidRPr="000B75E4" w:rsidRDefault="00FC0494" w:rsidP="00FC0494">
      <w:pPr>
        <w:pStyle w:val="NoSpacing"/>
      </w:pPr>
      <w:r w:rsidRPr="000B75E4">
        <w:t>When referral will take &gt; 2 hours and a diagnosis of diabetes with hyperglycaemia is confirmed and provided glucose is monitored hourly:</w:t>
      </w:r>
    </w:p>
    <w:p w14:paraId="2DAA3C32" w14:textId="5C0A09FF" w:rsidR="00FC0494" w:rsidRPr="000B75E4" w:rsidRDefault="00FC0494" w:rsidP="008A23DD">
      <w:pPr>
        <w:pStyle w:val="BulletMedicine"/>
      </w:pPr>
      <w:r w:rsidRPr="000B75E4">
        <w:t>Insulin, short acting</w:t>
      </w:r>
      <w:r w:rsidR="00B82F62">
        <w:fldChar w:fldCharType="begin"/>
      </w:r>
      <w:r w:rsidR="00B82F62">
        <w:instrText xml:space="preserve"> XE "Insulin, short acting" \f "m" </w:instrText>
      </w:r>
      <w:r w:rsidR="00B82F62">
        <w:fldChar w:fldCharType="end"/>
      </w:r>
      <w:r w:rsidRPr="000B75E4">
        <w:t>, IM</w:t>
      </w:r>
      <w:r w:rsidR="001D0DFE">
        <w:t xml:space="preserve">, </w:t>
      </w:r>
      <w:r w:rsidRPr="000B75E4">
        <w:t>0.1 units/kg after 1st hour of infusion of saline</w:t>
      </w:r>
    </w:p>
    <w:p w14:paraId="76D40641" w14:textId="77777777" w:rsidR="00FC0494" w:rsidRPr="000B75E4" w:rsidRDefault="00FC0494" w:rsidP="008A23DD">
      <w:pPr>
        <w:pStyle w:val="BulletDirectionsInstructions"/>
      </w:pPr>
      <w:r w:rsidRPr="000B75E4">
        <w:t>When giving insulin IM, do not use insulin needle.</w:t>
      </w:r>
    </w:p>
    <w:p w14:paraId="7FF036FD" w14:textId="77777777" w:rsidR="00FC0494" w:rsidRPr="000B75E4" w:rsidRDefault="00FC0494" w:rsidP="00FC0494">
      <w:pPr>
        <w:pStyle w:val="NoSpacing"/>
      </w:pPr>
    </w:p>
    <w:p w14:paraId="3D7A86EA" w14:textId="49993EF4" w:rsidR="00FC0494" w:rsidRPr="00D52AC4" w:rsidRDefault="00D52AC4" w:rsidP="00D52AC4">
      <w:pPr>
        <w:pStyle w:val="Heading2"/>
      </w:pPr>
      <w:bookmarkStart w:id="12" w:name="_Toc56695567"/>
      <w:r w:rsidRPr="00D52AC4">
        <w:t>Microvascular complications of diabetes</w:t>
      </w:r>
      <w:bookmarkEnd w:id="12"/>
      <w:r w:rsidR="001D0DFE">
        <w:fldChar w:fldCharType="begin"/>
      </w:r>
      <w:r w:rsidR="001D0DFE">
        <w:instrText xml:space="preserve"> XE "</w:instrText>
      </w:r>
      <w:r w:rsidR="001D0DFE" w:rsidRPr="00ED0C31">
        <w:instrText>Microvascular complications of diabetes</w:instrText>
      </w:r>
      <w:r w:rsidR="001D0DFE">
        <w:instrText xml:space="preserve">" </w:instrText>
      </w:r>
      <w:r w:rsidR="001D0DFE" w:rsidRPr="001D0DFE">
        <w:instrText>\f “c”</w:instrText>
      </w:r>
      <w:r w:rsidR="001D0DFE">
        <w:fldChar w:fldCharType="end"/>
      </w:r>
    </w:p>
    <w:p w14:paraId="2096945A" w14:textId="77777777" w:rsidR="00FC0494" w:rsidRPr="000B75E4" w:rsidRDefault="00FC0494" w:rsidP="00FC0494">
      <w:pPr>
        <w:pStyle w:val="NoSpacing"/>
      </w:pPr>
    </w:p>
    <w:p w14:paraId="4BC61643" w14:textId="2A83BF4B" w:rsidR="00FC0494" w:rsidRPr="00D52AC4" w:rsidRDefault="00D52AC4" w:rsidP="00D52AC4">
      <w:pPr>
        <w:pStyle w:val="Heading3"/>
      </w:pPr>
      <w:bookmarkStart w:id="13" w:name="_Toc56695568"/>
      <w:r w:rsidRPr="00D52AC4">
        <w:t>Diabetic neuropathy</w:t>
      </w:r>
      <w:bookmarkEnd w:id="13"/>
      <w:r w:rsidR="001D0DFE">
        <w:fldChar w:fldCharType="begin"/>
      </w:r>
      <w:r w:rsidR="001D0DFE">
        <w:instrText xml:space="preserve"> XE "</w:instrText>
      </w:r>
      <w:r w:rsidR="001D0DFE" w:rsidRPr="00ED0C31">
        <w:instrText>Diabetic neuropathy</w:instrText>
      </w:r>
      <w:r w:rsidR="001D0DFE">
        <w:instrText xml:space="preserve">" </w:instrText>
      </w:r>
      <w:r w:rsidR="001D0DFE" w:rsidRPr="001D0DFE">
        <w:instrText>\f “c”</w:instrText>
      </w:r>
      <w:r w:rsidR="001D0DFE">
        <w:fldChar w:fldCharType="end"/>
      </w:r>
    </w:p>
    <w:p w14:paraId="0950F2D1" w14:textId="77777777" w:rsidR="00FC0494" w:rsidRPr="000B75E4" w:rsidRDefault="00FC0494" w:rsidP="00064AFC">
      <w:pPr>
        <w:pStyle w:val="ICD10"/>
      </w:pPr>
      <w:r w:rsidRPr="000B75E4">
        <w:t>E10.4/E11.4 + (G63.2*/G99.0*/G59.0*)</w:t>
      </w:r>
    </w:p>
    <w:p w14:paraId="24B3ECB8" w14:textId="77777777" w:rsidR="00FC0494" w:rsidRPr="000B75E4" w:rsidRDefault="00FC0494" w:rsidP="00064AFC">
      <w:pPr>
        <w:pStyle w:val="Heading5"/>
      </w:pPr>
      <w:r w:rsidRPr="000B75E4">
        <w:t>DESCRIPTION</w:t>
      </w:r>
    </w:p>
    <w:p w14:paraId="258D2384" w14:textId="77777777" w:rsidR="00FC0494" w:rsidRPr="000B75E4" w:rsidRDefault="00FC0494" w:rsidP="00EB1B75">
      <w:r w:rsidRPr="000B75E4">
        <w:t>Neuropathies are a common complication of diabetes. They play an important role in the morbidity and mortality suffered by people with diabetes.</w:t>
      </w:r>
    </w:p>
    <w:p w14:paraId="170262F9" w14:textId="77777777" w:rsidR="00FC0494" w:rsidRPr="000B75E4" w:rsidRDefault="00FC0494" w:rsidP="00FC0494">
      <w:pPr>
        <w:pStyle w:val="NoSpacing"/>
      </w:pPr>
      <w:r w:rsidRPr="000B75E4">
        <w:t>There are three major categories:</w:t>
      </w:r>
    </w:p>
    <w:p w14:paraId="519B9F3E" w14:textId="77777777" w:rsidR="00FC0494" w:rsidRPr="000B75E4" w:rsidRDefault="00FC0494" w:rsidP="00EB1B75">
      <w:pPr>
        <w:pStyle w:val="ListParagraph"/>
      </w:pPr>
      <w:r w:rsidRPr="000B75E4">
        <w:t>peripheral neuropathy</w:t>
      </w:r>
    </w:p>
    <w:p w14:paraId="5A38F93B" w14:textId="77777777" w:rsidR="00FC0494" w:rsidRPr="000B75E4" w:rsidRDefault="00FC0494" w:rsidP="00EB1B75">
      <w:pPr>
        <w:pStyle w:val="ListParagraph"/>
      </w:pPr>
      <w:r w:rsidRPr="000B75E4">
        <w:t>autonomic neuropathy</w:t>
      </w:r>
    </w:p>
    <w:p w14:paraId="56BE3D93" w14:textId="77777777" w:rsidR="00FC0494" w:rsidRPr="000B75E4" w:rsidRDefault="00FC0494" w:rsidP="00EB1B75">
      <w:pPr>
        <w:pStyle w:val="ListParagraph"/>
      </w:pPr>
      <w:r w:rsidRPr="000B75E4">
        <w:t>acute onset neuropathies</w:t>
      </w:r>
    </w:p>
    <w:p w14:paraId="3726EBD5" w14:textId="77777777" w:rsidR="00FC0494" w:rsidRPr="000B75E4" w:rsidRDefault="00FC0494" w:rsidP="00064AFC">
      <w:pPr>
        <w:pStyle w:val="Heading5"/>
      </w:pPr>
      <w:r w:rsidRPr="000B75E4">
        <w:lastRenderedPageBreak/>
        <w:t>GENERAL MEASURES</w:t>
      </w:r>
    </w:p>
    <w:p w14:paraId="6B321A06" w14:textId="77777777" w:rsidR="00FC0494" w:rsidRPr="000B75E4" w:rsidRDefault="00FC0494" w:rsidP="00EB1B75">
      <w:pPr>
        <w:pStyle w:val="ListParagraph"/>
      </w:pPr>
      <w:r w:rsidRPr="000B75E4">
        <w:t>Educate patient regarding appropriate footwear and good foot care.</w:t>
      </w:r>
    </w:p>
    <w:p w14:paraId="7C1D5B9A" w14:textId="77777777" w:rsidR="00FC0494" w:rsidRPr="000B75E4" w:rsidRDefault="00FC0494" w:rsidP="00EB1B75">
      <w:pPr>
        <w:pStyle w:val="ListParagraph"/>
      </w:pPr>
      <w:r w:rsidRPr="000B75E4">
        <w:t xml:space="preserve">Patients with neuropathy should have their feet examined at every visit. </w:t>
      </w:r>
    </w:p>
    <w:p w14:paraId="5416D4EF" w14:textId="77777777" w:rsidR="00FC0494" w:rsidRPr="000B75E4" w:rsidRDefault="00FC0494" w:rsidP="00064AFC">
      <w:pPr>
        <w:pStyle w:val="Heading5"/>
      </w:pPr>
      <w:r w:rsidRPr="000B75E4">
        <w:t>MEDICINE TREATMENT</w:t>
      </w:r>
    </w:p>
    <w:p w14:paraId="0AF3B1E4" w14:textId="77777777" w:rsidR="00FC0494" w:rsidRPr="000B75E4" w:rsidRDefault="00FC0494" w:rsidP="00FC0494">
      <w:pPr>
        <w:pStyle w:val="NoSpacing"/>
      </w:pPr>
      <w:r w:rsidRPr="000B75E4">
        <w:t>Ensure appropriate glycaemic control.</w:t>
      </w:r>
    </w:p>
    <w:p w14:paraId="41FC1BDE" w14:textId="77777777" w:rsidR="00FC0494" w:rsidRPr="000B75E4" w:rsidRDefault="00FC0494" w:rsidP="00FC0494">
      <w:pPr>
        <w:pStyle w:val="NoSpacing"/>
      </w:pPr>
      <w:r w:rsidRPr="000B75E4">
        <w:t>Exclude or treat other contributory factors e.g.:</w:t>
      </w:r>
    </w:p>
    <w:tbl>
      <w:tblPr>
        <w:tblW w:w="0" w:type="auto"/>
        <w:tblLook w:val="04A0" w:firstRow="1" w:lastRow="0" w:firstColumn="1" w:lastColumn="0" w:noHBand="0" w:noVBand="1"/>
      </w:tblPr>
      <w:tblGrid>
        <w:gridCol w:w="3349"/>
        <w:gridCol w:w="3340"/>
      </w:tblGrid>
      <w:tr w:rsidR="00FC0494" w:rsidRPr="000B75E4" w14:paraId="53D07A6E" w14:textId="77777777" w:rsidTr="007B5A6A">
        <w:tc>
          <w:tcPr>
            <w:tcW w:w="3453" w:type="dxa"/>
          </w:tcPr>
          <w:p w14:paraId="7FC5FBA5" w14:textId="77777777" w:rsidR="00FC0494" w:rsidRPr="000B75E4" w:rsidRDefault="00FC0494" w:rsidP="00EB1B75">
            <w:pPr>
              <w:pStyle w:val="ListParagraph"/>
            </w:pPr>
            <w:r w:rsidRPr="000B75E4">
              <w:t>alcohol excess</w:t>
            </w:r>
          </w:p>
        </w:tc>
        <w:tc>
          <w:tcPr>
            <w:tcW w:w="3453" w:type="dxa"/>
          </w:tcPr>
          <w:p w14:paraId="6953EDA3" w14:textId="77777777" w:rsidR="00FC0494" w:rsidRPr="000B75E4" w:rsidRDefault="00FC0494" w:rsidP="00EB1B75">
            <w:pPr>
              <w:pStyle w:val="ListParagraph"/>
            </w:pPr>
            <w:r w:rsidRPr="000B75E4">
              <w:t>uraemia</w:t>
            </w:r>
          </w:p>
        </w:tc>
      </w:tr>
      <w:tr w:rsidR="00FC0494" w:rsidRPr="000B75E4" w14:paraId="20C25353" w14:textId="77777777" w:rsidTr="007B5A6A">
        <w:tc>
          <w:tcPr>
            <w:tcW w:w="3453" w:type="dxa"/>
          </w:tcPr>
          <w:p w14:paraId="7FF59D3B" w14:textId="77777777" w:rsidR="00FC0494" w:rsidRPr="000B75E4" w:rsidRDefault="00FC0494" w:rsidP="00EB1B75">
            <w:pPr>
              <w:pStyle w:val="ListParagraph"/>
            </w:pPr>
            <w:r w:rsidRPr="000B75E4">
              <w:t>vitamin B12 deficiency, if suspected</w:t>
            </w:r>
          </w:p>
        </w:tc>
        <w:tc>
          <w:tcPr>
            <w:tcW w:w="3453" w:type="dxa"/>
          </w:tcPr>
          <w:p w14:paraId="0C9DE762" w14:textId="77777777" w:rsidR="00FC0494" w:rsidRPr="000B75E4" w:rsidRDefault="00FC0494" w:rsidP="00EB1B75">
            <w:pPr>
              <w:pStyle w:val="ListParagraph"/>
            </w:pPr>
            <w:r w:rsidRPr="000B75E4">
              <w:t>HIV infection</w:t>
            </w:r>
          </w:p>
        </w:tc>
      </w:tr>
    </w:tbl>
    <w:p w14:paraId="4E3592EC" w14:textId="77777777" w:rsidR="00FC0494" w:rsidRPr="000B75E4" w:rsidRDefault="00FC0494" w:rsidP="00EB1B75">
      <w:pPr>
        <w:pStyle w:val="Heading6"/>
      </w:pPr>
      <w:r w:rsidRPr="000B75E4">
        <w:t>Pain</w:t>
      </w:r>
    </w:p>
    <w:p w14:paraId="7852502E" w14:textId="1E4081BF" w:rsidR="00FC0494" w:rsidRPr="000B75E4" w:rsidRDefault="00FC0494" w:rsidP="00EB1B75">
      <w:pPr>
        <w:pStyle w:val="BulletMedicine"/>
      </w:pPr>
      <w:r w:rsidRPr="000B75E4">
        <w:t>Amitriptyline, oral</w:t>
      </w:r>
      <w:r w:rsidR="00E26BF0">
        <w:fldChar w:fldCharType="begin"/>
      </w:r>
      <w:r w:rsidR="001D0DFE">
        <w:instrText xml:space="preserve"> XE "Amitriptyline, oral" \f "m"</w:instrText>
      </w:r>
      <w:r w:rsidR="00E26BF0">
        <w:instrText xml:space="preserve"> </w:instrText>
      </w:r>
      <w:r w:rsidR="00E26BF0">
        <w:fldChar w:fldCharType="end"/>
      </w:r>
      <w:r w:rsidRPr="000B75E4">
        <w:t>, 10–25 mg at night increasing to 100 mg, if necessary.</w:t>
      </w:r>
    </w:p>
    <w:p w14:paraId="08DAFCDC" w14:textId="77777777" w:rsidR="00FC0494" w:rsidRPr="003952D8" w:rsidRDefault="00FC0494" w:rsidP="00FC0494">
      <w:pPr>
        <w:pStyle w:val="NoSpacing"/>
        <w:rPr>
          <w:rStyle w:val="Strong"/>
        </w:rPr>
      </w:pPr>
      <w:r w:rsidRPr="003952D8">
        <w:rPr>
          <w:rStyle w:val="Strong"/>
        </w:rPr>
        <w:t>AND/OR</w:t>
      </w:r>
    </w:p>
    <w:p w14:paraId="2750B1CF" w14:textId="77777777" w:rsidR="005E45E3" w:rsidRPr="00027E12" w:rsidRDefault="005E45E3" w:rsidP="005E45E3">
      <w:pPr>
        <w:pStyle w:val="BulletMedicine"/>
        <w:jc w:val="both"/>
        <w:rPr>
          <w:rFonts w:cs="Arial"/>
        </w:rPr>
      </w:pPr>
      <w:r w:rsidRPr="00027E12">
        <w:rPr>
          <w:rFonts w:cs="Arial"/>
        </w:rPr>
        <w:t>Paracetamol, oral</w:t>
      </w:r>
      <w:r w:rsidRPr="00027E12">
        <w:rPr>
          <w:rFonts w:cs="Arial"/>
        </w:rPr>
        <w:fldChar w:fldCharType="begin"/>
      </w:r>
      <w:r w:rsidRPr="00027E12">
        <w:rPr>
          <w:rFonts w:cs="Arial"/>
        </w:rPr>
        <w:instrText xml:space="preserve"> XE "Paracetamol, oral" \f "m" </w:instrText>
      </w:r>
      <w:r w:rsidRPr="00027E12">
        <w:rPr>
          <w:rFonts w:cs="Arial"/>
        </w:rPr>
        <w:fldChar w:fldCharType="end"/>
      </w:r>
      <w:r w:rsidRPr="00027E12">
        <w:rPr>
          <w:rFonts w:cs="Arial"/>
        </w:rPr>
        <w:t xml:space="preserve">, 500 mg to 1 g, 4 to 6 hourly as required </w:t>
      </w:r>
      <w:bookmarkStart w:id="14" w:name="_Hlk145301396"/>
      <w:r w:rsidRPr="00027E12">
        <w:rPr>
          <w:rFonts w:cs="Arial"/>
        </w:rPr>
        <w:t>(to a maximum of 4 g in 24 hours).</w:t>
      </w:r>
    </w:p>
    <w:bookmarkEnd w:id="14"/>
    <w:p w14:paraId="5DC213E9" w14:textId="77777777" w:rsidR="005E45E3" w:rsidRPr="00027E12" w:rsidRDefault="005E45E3" w:rsidP="005E45E3">
      <w:pPr>
        <w:pStyle w:val="BulletDirectionsInstructions"/>
        <w:numPr>
          <w:ilvl w:val="0"/>
          <w:numId w:val="17"/>
        </w:numPr>
        <w:jc w:val="both"/>
        <w:rPr>
          <w:rFonts w:cs="Arial"/>
        </w:rPr>
      </w:pPr>
      <w:r w:rsidRPr="00027E12">
        <w:rPr>
          <w:rFonts w:cs="Arial"/>
        </w:rPr>
        <w:t xml:space="preserve">Maximum dose: 15 mg/kg/dose. </w:t>
      </w:r>
    </w:p>
    <w:p w14:paraId="3DF11517" w14:textId="77777777" w:rsidR="00FC0494" w:rsidRPr="000B75E4" w:rsidRDefault="00FC0494" w:rsidP="003952D8">
      <w:pPr>
        <w:pStyle w:val="Heading6"/>
      </w:pPr>
      <w:r w:rsidRPr="000B75E4">
        <w:t>Gastroparesis:</w:t>
      </w:r>
    </w:p>
    <w:p w14:paraId="64C2E660" w14:textId="49EDA311" w:rsidR="00FC0494" w:rsidRPr="000B75E4" w:rsidRDefault="00FC0494" w:rsidP="00EB1B75">
      <w:pPr>
        <w:pStyle w:val="BulletMedicine"/>
      </w:pPr>
      <w:r w:rsidRPr="000B75E4">
        <w:t>Metoclopramide, oral</w:t>
      </w:r>
      <w:r w:rsidR="00E26BF0">
        <w:fldChar w:fldCharType="begin"/>
      </w:r>
      <w:r w:rsidR="001D0DFE">
        <w:instrText xml:space="preserve"> XE "Metoclopramide, oral" \f "m"</w:instrText>
      </w:r>
      <w:r w:rsidR="00E26BF0">
        <w:instrText xml:space="preserve"> </w:instrText>
      </w:r>
      <w:r w:rsidR="00E26BF0">
        <w:fldChar w:fldCharType="end"/>
      </w:r>
      <w:r w:rsidRPr="000B75E4">
        <w:t>, 10 mg 8 hourly before meals.</w:t>
      </w:r>
    </w:p>
    <w:p w14:paraId="1B450F15" w14:textId="77777777" w:rsidR="00FC0494" w:rsidRPr="000B75E4" w:rsidRDefault="00FC0494" w:rsidP="00064AFC">
      <w:pPr>
        <w:pStyle w:val="Heading5"/>
      </w:pPr>
      <w:r w:rsidRPr="000B75E4">
        <w:t>REFERRAL</w:t>
      </w:r>
    </w:p>
    <w:p w14:paraId="43606B20" w14:textId="39A9D65A" w:rsidR="00FC0494" w:rsidRPr="000B75E4" w:rsidRDefault="00FC0494" w:rsidP="00FC0494">
      <w:pPr>
        <w:pStyle w:val="NoSpacing"/>
      </w:pPr>
      <w:r w:rsidRPr="000B75E4">
        <w:t>For further treatment</w:t>
      </w:r>
      <w:r w:rsidR="00694529">
        <w:t>,</w:t>
      </w:r>
      <w:r w:rsidRPr="000B75E4">
        <w:t xml:space="preserve"> if the above measures do not control symptoms adequately.</w:t>
      </w:r>
    </w:p>
    <w:p w14:paraId="64FA83F0" w14:textId="77777777" w:rsidR="00FC0494" w:rsidRPr="000B75E4" w:rsidRDefault="00FC0494" w:rsidP="00FC0494">
      <w:pPr>
        <w:pStyle w:val="NoSpacing"/>
      </w:pPr>
    </w:p>
    <w:p w14:paraId="79A47BCE" w14:textId="6055BA8E" w:rsidR="00FC0494" w:rsidRPr="00D52AC4" w:rsidRDefault="00D52AC4" w:rsidP="00D52AC4">
      <w:pPr>
        <w:pStyle w:val="Heading3"/>
      </w:pPr>
      <w:bookmarkStart w:id="15" w:name="_Toc56695569"/>
      <w:r w:rsidRPr="00D52AC4">
        <w:t>Diabetic foot ulcers</w:t>
      </w:r>
      <w:bookmarkEnd w:id="15"/>
      <w:r w:rsidR="001D0DFE">
        <w:fldChar w:fldCharType="begin"/>
      </w:r>
      <w:r w:rsidR="001D0DFE">
        <w:instrText xml:space="preserve"> XE "</w:instrText>
      </w:r>
      <w:r w:rsidR="001D0DFE" w:rsidRPr="00ED0C31">
        <w:instrText>Diabetic foot ulcers</w:instrText>
      </w:r>
      <w:r w:rsidR="001D0DFE">
        <w:instrText xml:space="preserve">" </w:instrText>
      </w:r>
      <w:r w:rsidR="001D0DFE" w:rsidRPr="001D0DFE">
        <w:instrText>\f “c”</w:instrText>
      </w:r>
      <w:r w:rsidR="001D0DFE">
        <w:fldChar w:fldCharType="end"/>
      </w:r>
    </w:p>
    <w:p w14:paraId="362E8413" w14:textId="77777777" w:rsidR="00FC0494" w:rsidRPr="000B75E4" w:rsidRDefault="00FC0494" w:rsidP="00064AFC">
      <w:pPr>
        <w:pStyle w:val="ICD10"/>
      </w:pPr>
      <w:r w:rsidRPr="000B75E4">
        <w:t>L97/L08.8 + (E10.5/E11.5/E12.5/E13.5/E14.5)</w:t>
      </w:r>
    </w:p>
    <w:p w14:paraId="20263103" w14:textId="77777777" w:rsidR="00FC0494" w:rsidRPr="000B75E4" w:rsidRDefault="00FC0494" w:rsidP="00922071">
      <w:pPr>
        <w:pStyle w:val="Heading5"/>
      </w:pPr>
      <w:r w:rsidRPr="000B75E4">
        <w:t>DESCRIPTION</w:t>
      </w:r>
    </w:p>
    <w:p w14:paraId="7432FA9B" w14:textId="77777777" w:rsidR="00FC0494" w:rsidRPr="000B75E4" w:rsidRDefault="00FC0494" w:rsidP="00FC0494">
      <w:pPr>
        <w:pStyle w:val="NoSpacing"/>
      </w:pPr>
      <w:r w:rsidRPr="000B75E4">
        <w:t>Ulcers develop at the tips of the toes and on the plantar surfaces of the metatarsal heads and are often preceded by callus formation.</w:t>
      </w:r>
    </w:p>
    <w:p w14:paraId="62C50730" w14:textId="0C227B36" w:rsidR="00FC0494" w:rsidRPr="000B75E4" w:rsidRDefault="00FC0494" w:rsidP="00FC0494">
      <w:pPr>
        <w:pStyle w:val="NoSpacing"/>
      </w:pPr>
      <w:r w:rsidRPr="000B75E4">
        <w:t xml:space="preserve">If the callus is not removed, then haemorrhage and tissue necrosis occur below the plaque of callus, which leads to ulceration. Ulcers can be secondarily infected by staphylococci, streptococci, coliforms, and anaerobic bacteria which can lead to cellulitis, abscess formation, gangrene, and osteomyelitis. </w:t>
      </w:r>
    </w:p>
    <w:p w14:paraId="2BFDB87E" w14:textId="77777777" w:rsidR="00FC0494" w:rsidRPr="000B75E4" w:rsidRDefault="00FC0494" w:rsidP="00922071">
      <w:pPr>
        <w:pStyle w:val="Heading5"/>
      </w:pPr>
      <w:r w:rsidRPr="000B75E4">
        <w:t>DIAGNOSIS</w:t>
      </w:r>
    </w:p>
    <w:p w14:paraId="3F9B93C3" w14:textId="77777777" w:rsidR="00FC0494" w:rsidRPr="000B75E4" w:rsidRDefault="00FC0494" w:rsidP="00FC0494">
      <w:pPr>
        <w:pStyle w:val="NoSpacing"/>
      </w:pPr>
      <w:r w:rsidRPr="000B75E4">
        <w:t>The three main factors that lead to tissue necrosis in the diabetic foot are:</w:t>
      </w:r>
    </w:p>
    <w:p w14:paraId="4E807F73" w14:textId="77777777" w:rsidR="00FC0494" w:rsidRPr="000B75E4" w:rsidRDefault="00FC0494" w:rsidP="002F482E">
      <w:pPr>
        <w:pStyle w:val="ListParagraph"/>
      </w:pPr>
      <w:r w:rsidRPr="000B75E4">
        <w:t>neuropathy,</w:t>
      </w:r>
    </w:p>
    <w:p w14:paraId="32A62FED" w14:textId="77777777" w:rsidR="00FC0494" w:rsidRPr="000B75E4" w:rsidRDefault="00FC0494" w:rsidP="002F482E">
      <w:pPr>
        <w:pStyle w:val="ListParagraph"/>
      </w:pPr>
      <w:r w:rsidRPr="000B75E4">
        <w:t xml:space="preserve">infection, and </w:t>
      </w:r>
    </w:p>
    <w:p w14:paraId="2C896613" w14:textId="77777777" w:rsidR="00FC0494" w:rsidRPr="000B75E4" w:rsidRDefault="00FC0494" w:rsidP="002F482E">
      <w:pPr>
        <w:pStyle w:val="ListParagraph"/>
      </w:pPr>
      <w:r w:rsidRPr="000B75E4">
        <w:t xml:space="preserve">ischaemia. </w:t>
      </w:r>
    </w:p>
    <w:p w14:paraId="434D6F2A" w14:textId="77777777" w:rsidR="00FC0494" w:rsidRPr="000B75E4" w:rsidRDefault="00FC0494" w:rsidP="00922071">
      <w:pPr>
        <w:pStyle w:val="Heading5"/>
      </w:pPr>
      <w:r w:rsidRPr="000B75E4">
        <w:t>GENERAL MEASURES</w:t>
      </w:r>
    </w:p>
    <w:p w14:paraId="0CAE82E4" w14:textId="77777777" w:rsidR="00FC0494" w:rsidRPr="000B75E4" w:rsidRDefault="00FC0494" w:rsidP="002F482E">
      <w:pPr>
        <w:pStyle w:val="ListParagraph"/>
      </w:pPr>
      <w:r w:rsidRPr="000B75E4">
        <w:t>Metabolic control.</w:t>
      </w:r>
    </w:p>
    <w:p w14:paraId="1DE01622" w14:textId="77777777" w:rsidR="00FC0494" w:rsidRPr="000B75E4" w:rsidRDefault="00FC0494" w:rsidP="002F482E">
      <w:pPr>
        <w:pStyle w:val="ListParagraph"/>
      </w:pPr>
      <w:r w:rsidRPr="000B75E4">
        <w:t>Treat underlying comorbidity.</w:t>
      </w:r>
    </w:p>
    <w:p w14:paraId="38BDDDC2" w14:textId="77777777" w:rsidR="00FC0494" w:rsidRPr="000B75E4" w:rsidRDefault="00FC0494" w:rsidP="002F482E">
      <w:pPr>
        <w:pStyle w:val="ListParagraph"/>
      </w:pPr>
      <w:r w:rsidRPr="000B75E4">
        <w:t>Relieve pressure: non-weight bearing is essential.</w:t>
      </w:r>
    </w:p>
    <w:p w14:paraId="66F13949" w14:textId="77777777" w:rsidR="00FC0494" w:rsidRPr="000B75E4" w:rsidRDefault="00FC0494" w:rsidP="002F482E">
      <w:pPr>
        <w:pStyle w:val="ListParagraph"/>
      </w:pPr>
      <w:r w:rsidRPr="000B75E4">
        <w:t>Smoking cessation is essential.</w:t>
      </w:r>
    </w:p>
    <w:p w14:paraId="4F2F8F3E" w14:textId="77777777" w:rsidR="00FC0494" w:rsidRPr="000B75E4" w:rsidRDefault="00FC0494" w:rsidP="002F482E">
      <w:pPr>
        <w:pStyle w:val="ListParagraph"/>
      </w:pPr>
      <w:r w:rsidRPr="000B75E4">
        <w:lastRenderedPageBreak/>
        <w:t xml:space="preserve">Frequent (e.g. weekly) removal of excess keratin by a chiropodist with a scalpel blade to expose the floor of the ulcer and allow efficient drainage of the lesion. </w:t>
      </w:r>
    </w:p>
    <w:p w14:paraId="6E9722AD" w14:textId="77777777" w:rsidR="00FC0494" w:rsidRPr="000B75E4" w:rsidRDefault="00FC0494" w:rsidP="002F482E">
      <w:pPr>
        <w:pStyle w:val="ListParagraph"/>
      </w:pPr>
      <w:r w:rsidRPr="000B75E4">
        <w:t>Cleanse with sodium chloride 0.9% solution daily and apply non-adherent dressing.</w:t>
      </w:r>
    </w:p>
    <w:p w14:paraId="01A10376" w14:textId="77777777" w:rsidR="00FC0494" w:rsidRPr="000B75E4" w:rsidRDefault="00FC0494" w:rsidP="00922071">
      <w:pPr>
        <w:pStyle w:val="Heading5"/>
      </w:pPr>
      <w:r w:rsidRPr="000B75E4">
        <w:t>MEDICINE TREATMENT</w:t>
      </w:r>
    </w:p>
    <w:p w14:paraId="190E86E8" w14:textId="0140CCE1" w:rsidR="00FC0494" w:rsidRPr="000B75E4" w:rsidRDefault="00FC0494" w:rsidP="002F482E">
      <w:pPr>
        <w:pStyle w:val="BulletMedicine"/>
      </w:pPr>
      <w:r w:rsidRPr="000B75E4">
        <w:t>Amoxicillin/clavulanic acid</w:t>
      </w:r>
      <w:r w:rsidR="00572DA9">
        <w:t>, oral</w:t>
      </w:r>
      <w:r w:rsidR="00572DA9">
        <w:fldChar w:fldCharType="begin"/>
      </w:r>
      <w:r w:rsidR="00572DA9">
        <w:instrText xml:space="preserve"> XE "</w:instrText>
      </w:r>
      <w:r w:rsidR="00572DA9" w:rsidRPr="00293B76">
        <w:instrText>Amoxicillin/clavulanic acid, oral</w:instrText>
      </w:r>
      <w:r w:rsidR="00572DA9">
        <w:instrText xml:space="preserve">" </w:instrText>
      </w:r>
      <w:r w:rsidR="001D0DFE">
        <w:instrText xml:space="preserve">\f "m" </w:instrText>
      </w:r>
      <w:r w:rsidR="00572DA9">
        <w:fldChar w:fldCharType="end"/>
      </w:r>
      <w:r w:rsidR="00572DA9">
        <w:t>,</w:t>
      </w:r>
      <w:r w:rsidRPr="000B75E4">
        <w:t xml:space="preserve"> 875/125 mg 12 hourly for 10 days.</w:t>
      </w:r>
    </w:p>
    <w:p w14:paraId="26D17CDE" w14:textId="77777777" w:rsidR="002F482E" w:rsidRDefault="00FC0494" w:rsidP="002F482E">
      <w:pPr>
        <w:pStyle w:val="Heading7"/>
      </w:pPr>
      <w:r w:rsidRPr="000B75E4">
        <w:t>Severe penicillin allergy:</w:t>
      </w:r>
    </w:p>
    <w:p w14:paraId="6A38B4AD" w14:textId="4DB00CD1" w:rsidR="00FC0494" w:rsidRPr="000B75E4" w:rsidRDefault="00FC0494" w:rsidP="002F482E">
      <w:pPr>
        <w:pStyle w:val="ICD10"/>
      </w:pPr>
      <w:r w:rsidRPr="000B75E4">
        <w:t>Z88.0</w:t>
      </w:r>
    </w:p>
    <w:p w14:paraId="57B316F9" w14:textId="49337072" w:rsidR="00CE6FFD" w:rsidRDefault="00FC0494" w:rsidP="00D34B5C">
      <w:pPr>
        <w:pStyle w:val="NoSpacing"/>
      </w:pPr>
      <w:r w:rsidRPr="000B75E4">
        <w:t>Refer.</w:t>
      </w:r>
    </w:p>
    <w:p w14:paraId="361B1BB8" w14:textId="3F34627C" w:rsidR="00FC0494" w:rsidRPr="000B75E4" w:rsidRDefault="00FC0494" w:rsidP="00922071">
      <w:pPr>
        <w:pStyle w:val="Heading5"/>
      </w:pPr>
      <w:r w:rsidRPr="000B75E4">
        <w:t>REFERRAL</w:t>
      </w:r>
    </w:p>
    <w:p w14:paraId="490338D6" w14:textId="77777777" w:rsidR="00FC0494" w:rsidRPr="0044482F" w:rsidRDefault="00FC0494" w:rsidP="00FC0494">
      <w:pPr>
        <w:pStyle w:val="NoSpacing"/>
        <w:rPr>
          <w:rStyle w:val="Strong"/>
        </w:rPr>
      </w:pPr>
      <w:r w:rsidRPr="0044482F">
        <w:rPr>
          <w:rStyle w:val="Strong"/>
        </w:rPr>
        <w:t>Urgent</w:t>
      </w:r>
    </w:p>
    <w:p w14:paraId="1BA83F2A" w14:textId="77777777" w:rsidR="00FC0494" w:rsidRPr="000B75E4" w:rsidRDefault="00FC0494" w:rsidP="00FC0494">
      <w:pPr>
        <w:pStyle w:val="NoSpacing"/>
      </w:pPr>
      <w:r w:rsidRPr="000B75E4">
        <w:t>Threatened limb, i.e. if the ulcer is associated with:</w:t>
      </w:r>
    </w:p>
    <w:p w14:paraId="208BE46F" w14:textId="77777777" w:rsidR="00FC0494" w:rsidRPr="000B75E4" w:rsidRDefault="00FC0494" w:rsidP="0044482F">
      <w:pPr>
        <w:pStyle w:val="ListParagraph"/>
      </w:pPr>
      <w:r w:rsidRPr="000B75E4">
        <w:t>cellulitis,</w:t>
      </w:r>
    </w:p>
    <w:p w14:paraId="31C73650" w14:textId="77777777" w:rsidR="00FC0494" w:rsidRPr="000B75E4" w:rsidRDefault="00FC0494" w:rsidP="0044482F">
      <w:pPr>
        <w:pStyle w:val="ListParagraph"/>
      </w:pPr>
      <w:r w:rsidRPr="000B75E4">
        <w:t>severe hyperglycaemia,</w:t>
      </w:r>
    </w:p>
    <w:p w14:paraId="427B798C" w14:textId="77777777" w:rsidR="00FC0494" w:rsidRPr="000B75E4" w:rsidRDefault="00FC0494" w:rsidP="0044482F">
      <w:pPr>
        <w:pStyle w:val="ListParagraph"/>
      </w:pPr>
      <w:r w:rsidRPr="000B75E4">
        <w:t>abscess,</w:t>
      </w:r>
    </w:p>
    <w:p w14:paraId="15F2CB93" w14:textId="77777777" w:rsidR="00FC0494" w:rsidRPr="000B75E4" w:rsidRDefault="00FC0494" w:rsidP="0044482F">
      <w:pPr>
        <w:pStyle w:val="ListParagraph"/>
      </w:pPr>
      <w:r w:rsidRPr="000B75E4">
        <w:t xml:space="preserve">discolouration of surrounding skin, or </w:t>
      </w:r>
    </w:p>
    <w:p w14:paraId="1E788678" w14:textId="77777777" w:rsidR="00FC0494" w:rsidRPr="000B75E4" w:rsidRDefault="00FC0494" w:rsidP="0044482F">
      <w:pPr>
        <w:pStyle w:val="ListParagraph"/>
      </w:pPr>
      <w:r w:rsidRPr="000B75E4">
        <w:t>crepitus.</w:t>
      </w:r>
    </w:p>
    <w:p w14:paraId="667BD92A" w14:textId="77777777" w:rsidR="00FC0494" w:rsidRPr="0044482F" w:rsidRDefault="00FC0494" w:rsidP="0044482F">
      <w:pPr>
        <w:rPr>
          <w:rStyle w:val="Strong"/>
        </w:rPr>
      </w:pPr>
      <w:r w:rsidRPr="0044482F">
        <w:rPr>
          <w:rStyle w:val="Strong"/>
        </w:rPr>
        <w:t>Non-urgent</w:t>
      </w:r>
    </w:p>
    <w:p w14:paraId="3847070F" w14:textId="77777777" w:rsidR="00FC0494" w:rsidRPr="000B75E4" w:rsidRDefault="00FC0494" w:rsidP="0044482F">
      <w:pPr>
        <w:pStyle w:val="ListParagraph"/>
      </w:pPr>
      <w:r w:rsidRPr="000B75E4">
        <w:t>Claudication.</w:t>
      </w:r>
    </w:p>
    <w:p w14:paraId="17E6AC62" w14:textId="77777777" w:rsidR="00FC0494" w:rsidRPr="000B75E4" w:rsidRDefault="00FC0494" w:rsidP="0044482F">
      <w:pPr>
        <w:pStyle w:val="ListParagraph"/>
      </w:pPr>
      <w:r w:rsidRPr="000B75E4">
        <w:t>Ulcers not responding to adequate treatment.</w:t>
      </w:r>
    </w:p>
    <w:p w14:paraId="076FEE97" w14:textId="77777777" w:rsidR="00FC0494" w:rsidRPr="000B75E4" w:rsidRDefault="00FC0494" w:rsidP="0044482F">
      <w:pPr>
        <w:pStyle w:val="ListParagraph"/>
      </w:pPr>
      <w:r w:rsidRPr="000B75E4">
        <w:t>Severe penicillin allergy.</w:t>
      </w:r>
    </w:p>
    <w:p w14:paraId="6C20D92A" w14:textId="77777777" w:rsidR="00FC0494" w:rsidRPr="000B75E4" w:rsidRDefault="00FC0494" w:rsidP="00FC0494">
      <w:pPr>
        <w:pStyle w:val="NoSpacing"/>
      </w:pPr>
    </w:p>
    <w:p w14:paraId="433816F2" w14:textId="5593B891" w:rsidR="00FC0494" w:rsidRPr="00D52AC4" w:rsidRDefault="00D52AC4" w:rsidP="00D52AC4">
      <w:pPr>
        <w:pStyle w:val="Heading3"/>
      </w:pPr>
      <w:bookmarkStart w:id="16" w:name="_Toc56695570"/>
      <w:r w:rsidRPr="00D52AC4">
        <w:t>Diabetic nephropathy</w:t>
      </w:r>
      <w:bookmarkEnd w:id="16"/>
      <w:r w:rsidR="001D0DFE">
        <w:fldChar w:fldCharType="begin"/>
      </w:r>
      <w:r w:rsidR="001D0DFE">
        <w:instrText xml:space="preserve"> XE "</w:instrText>
      </w:r>
      <w:r w:rsidR="001D0DFE" w:rsidRPr="00ED0C31">
        <w:instrText>Diabetic nephropathy</w:instrText>
      </w:r>
      <w:r w:rsidR="001D0DFE">
        <w:instrText xml:space="preserve">" </w:instrText>
      </w:r>
      <w:r w:rsidR="001D0DFE" w:rsidRPr="001D0DFE">
        <w:instrText>\f “c”</w:instrText>
      </w:r>
      <w:r w:rsidR="001D0DFE">
        <w:fldChar w:fldCharType="end"/>
      </w:r>
    </w:p>
    <w:p w14:paraId="59D510F6" w14:textId="77777777" w:rsidR="00FC0494" w:rsidRPr="000B75E4" w:rsidRDefault="00FC0494" w:rsidP="0044482F">
      <w:pPr>
        <w:pStyle w:val="ICD10"/>
      </w:pPr>
      <w:r w:rsidRPr="000B75E4">
        <w:t>E10.2/E11.2/E12.2/E13.2/E14.2 + (N18.1-5/N18.9)</w:t>
      </w:r>
    </w:p>
    <w:p w14:paraId="26084428" w14:textId="77777777" w:rsidR="00FC0494" w:rsidRPr="000B75E4" w:rsidRDefault="00FC0494" w:rsidP="0044482F">
      <w:pPr>
        <w:pStyle w:val="Heading5"/>
      </w:pPr>
      <w:r w:rsidRPr="000B75E4">
        <w:t>DESCRIPTION</w:t>
      </w:r>
    </w:p>
    <w:p w14:paraId="262B712C" w14:textId="77777777" w:rsidR="00FC0494" w:rsidRPr="000B75E4" w:rsidRDefault="00FC0494" w:rsidP="0044482F">
      <w:pPr>
        <w:pStyle w:val="Heading7"/>
      </w:pPr>
      <w:r w:rsidRPr="000B75E4">
        <w:t>Screening</w:t>
      </w:r>
    </w:p>
    <w:p w14:paraId="6BA17920" w14:textId="77777777" w:rsidR="00FC0494" w:rsidRPr="000B75E4" w:rsidRDefault="00FC0494" w:rsidP="00981AF2">
      <w:pPr>
        <w:pStyle w:val="ListParagraph"/>
      </w:pPr>
      <w:r w:rsidRPr="000B75E4">
        <w:t xml:space="preserve">Check annually for proteinuria using </w:t>
      </w:r>
      <w:proofErr w:type="spellStart"/>
      <w:r w:rsidRPr="000B75E4">
        <w:t>dipstix</w:t>
      </w:r>
      <w:proofErr w:type="spellEnd"/>
      <w:r w:rsidRPr="000B75E4">
        <w:t>.</w:t>
      </w:r>
    </w:p>
    <w:p w14:paraId="2CB0C028" w14:textId="3A4782BC" w:rsidR="00FC0494" w:rsidRPr="000B75E4" w:rsidRDefault="00FC0494" w:rsidP="00981AF2">
      <w:pPr>
        <w:pStyle w:val="ListParagraph"/>
      </w:pPr>
      <w:r w:rsidRPr="000B75E4">
        <w:t xml:space="preserve">A diagnosis of nephropathy can be made on either a positive </w:t>
      </w:r>
      <w:proofErr w:type="spellStart"/>
      <w:r w:rsidRPr="000B75E4">
        <w:t>dipstix</w:t>
      </w:r>
      <w:proofErr w:type="spellEnd"/>
      <w:r w:rsidRPr="000B75E4">
        <w:t xml:space="preserve"> or, if </w:t>
      </w:r>
      <w:proofErr w:type="spellStart"/>
      <w:r w:rsidRPr="000B75E4">
        <w:t>dipstix</w:t>
      </w:r>
      <w:proofErr w:type="spellEnd"/>
      <w:r w:rsidRPr="000B75E4">
        <w:t xml:space="preserve"> negative, send urine to laboratory for albumin:</w:t>
      </w:r>
      <w:r w:rsidR="00467949">
        <w:t xml:space="preserve"> </w:t>
      </w:r>
      <w:r w:rsidRPr="000B75E4">
        <w:t>creatinine ratio. If ratio &gt; 30 mg/g (3 mg/mmol), diagnose nephropathy.</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C0494" w:rsidRPr="000B75E4" w14:paraId="0CB07E0E" w14:textId="77777777" w:rsidTr="007B5A6A">
        <w:tc>
          <w:tcPr>
            <w:tcW w:w="1134" w:type="dxa"/>
            <w:shd w:val="clear" w:color="auto" w:fill="auto"/>
          </w:tcPr>
          <w:p w14:paraId="13C87801" w14:textId="77777777" w:rsidR="00FC0494" w:rsidRPr="000B75E4" w:rsidRDefault="00FC0494" w:rsidP="00981AF2">
            <w:pPr>
              <w:pStyle w:val="LoEText"/>
              <w:framePr w:hSpace="0" w:wrap="auto" w:vAnchor="margin" w:hAnchor="text" w:xAlign="left" w:yAlign="inline"/>
              <w:suppressOverlap w:val="0"/>
            </w:pPr>
            <w:proofErr w:type="spellStart"/>
            <w:r w:rsidRPr="000B75E4">
              <w:t>LoE</w:t>
            </w:r>
            <w:proofErr w:type="spellEnd"/>
            <w:r w:rsidRPr="000B75E4">
              <w:t>: III</w:t>
            </w:r>
            <w:r w:rsidRPr="00981AF2">
              <w:rPr>
                <w:rStyle w:val="EndnoteReference"/>
                <w:sz w:val="16"/>
                <w:szCs w:val="16"/>
              </w:rPr>
              <w:endnoteReference w:id="11"/>
            </w:r>
          </w:p>
        </w:tc>
      </w:tr>
    </w:tbl>
    <w:p w14:paraId="69A815DC" w14:textId="646F3A70" w:rsidR="00FC0494" w:rsidRPr="000B75E4" w:rsidRDefault="00FC0494" w:rsidP="00981AF2">
      <w:pPr>
        <w:pStyle w:val="ListParagraph"/>
      </w:pPr>
      <w:r w:rsidRPr="000B75E4">
        <w:t>Measure serum creatinine annually and estimate eGFR.</w:t>
      </w:r>
    </w:p>
    <w:p w14:paraId="00F7E160" w14:textId="77777777" w:rsidR="00FC0494" w:rsidRPr="000B75E4" w:rsidRDefault="00FC0494" w:rsidP="0044482F">
      <w:pPr>
        <w:pStyle w:val="Heading7"/>
      </w:pPr>
      <w:r w:rsidRPr="000B75E4">
        <w:t>Diet and lifestyle</w:t>
      </w:r>
    </w:p>
    <w:p w14:paraId="408DD6F3" w14:textId="77777777" w:rsidR="00FC0494" w:rsidRPr="000B75E4" w:rsidRDefault="00FC0494" w:rsidP="00981AF2">
      <w:pPr>
        <w:pStyle w:val="ListParagraph"/>
      </w:pPr>
      <w:r w:rsidRPr="000B75E4">
        <w:t xml:space="preserve">Limit protein intake &lt; 0.8 g/kg daily, if </w:t>
      </w:r>
      <w:proofErr w:type="spellStart"/>
      <w:r w:rsidRPr="000B75E4">
        <w:t>proteinuric</w:t>
      </w:r>
      <w:proofErr w:type="spellEnd"/>
      <w:r w:rsidRPr="000B75E4">
        <w:t>.</w:t>
      </w:r>
    </w:p>
    <w:p w14:paraId="1C7BEF2A" w14:textId="77777777" w:rsidR="00FC0494" w:rsidRPr="000B75E4" w:rsidRDefault="00FC0494" w:rsidP="00981AF2">
      <w:pPr>
        <w:pStyle w:val="ListParagraph"/>
      </w:pPr>
      <w:r w:rsidRPr="000B75E4">
        <w:t>Advise smoking cessation.</w:t>
      </w:r>
    </w:p>
    <w:p w14:paraId="7145824D" w14:textId="77777777" w:rsidR="00FC0494" w:rsidRPr="000B75E4" w:rsidRDefault="00FC0494" w:rsidP="0044482F">
      <w:pPr>
        <w:pStyle w:val="Heading5"/>
      </w:pPr>
      <w:r w:rsidRPr="000B75E4">
        <w:t>MEDICINE TREATMENT</w:t>
      </w:r>
    </w:p>
    <w:p w14:paraId="12A4BC29" w14:textId="2E0089FD" w:rsidR="00FC0494" w:rsidRPr="000B75E4" w:rsidRDefault="00FC0494" w:rsidP="00FC0494">
      <w:pPr>
        <w:pStyle w:val="NoSpacing"/>
      </w:pPr>
      <w:r w:rsidRPr="000B75E4">
        <w:t>Start treatment with an ACE-inhibitor and increase gradually to maximal dose if tolerated.</w:t>
      </w:r>
    </w:p>
    <w:p w14:paraId="54D331DB" w14:textId="24000289" w:rsidR="00FC0494" w:rsidRPr="000B75E4" w:rsidRDefault="00FC0494" w:rsidP="00981AF2">
      <w:pPr>
        <w:pStyle w:val="BulletTherapeuticclass"/>
      </w:pPr>
      <w:r w:rsidRPr="000B75E4">
        <w:t>ACE-inhibitor</w:t>
      </w:r>
      <w:r w:rsidR="00572DA9">
        <w:fldChar w:fldCharType="begin"/>
      </w:r>
      <w:r w:rsidR="001D0DFE">
        <w:instrText xml:space="preserve"> XE "ACE-inhibitor" \f "m"</w:instrText>
      </w:r>
      <w:r w:rsidR="00572DA9">
        <w:instrText xml:space="preserve"> </w:instrText>
      </w:r>
      <w:r w:rsidR="00572DA9">
        <w:fldChar w:fldCharType="end"/>
      </w:r>
      <w:r w:rsidRPr="000B75E4">
        <w:t>, e.g.:</w:t>
      </w:r>
    </w:p>
    <w:p w14:paraId="452C8AE8" w14:textId="0DC18751" w:rsidR="00FC0494" w:rsidRPr="000B75E4" w:rsidRDefault="00FC0494" w:rsidP="00981AF2">
      <w:pPr>
        <w:pStyle w:val="BulletMedicine"/>
      </w:pPr>
      <w:r w:rsidRPr="000B75E4">
        <w:lastRenderedPageBreak/>
        <w:t>Enalapril, oral</w:t>
      </w:r>
      <w:r w:rsidR="00572DA9">
        <w:fldChar w:fldCharType="begin"/>
      </w:r>
      <w:r w:rsidR="001D0DFE">
        <w:instrText xml:space="preserve"> XE "Enalapril, oral" \f "m"</w:instrText>
      </w:r>
      <w:r w:rsidR="00572DA9">
        <w:instrText xml:space="preserve"> </w:instrText>
      </w:r>
      <w:r w:rsidR="00572DA9">
        <w:fldChar w:fldCharType="end"/>
      </w:r>
      <w:r w:rsidRPr="000B75E4">
        <w:t xml:space="preserve">, initiate with 5 mg 12 hourly. </w:t>
      </w:r>
    </w:p>
    <w:p w14:paraId="58D9B2C8" w14:textId="77777777" w:rsidR="00FC0494" w:rsidRPr="000B75E4" w:rsidRDefault="00FC0494" w:rsidP="00981AF2">
      <w:pPr>
        <w:pStyle w:val="BulletDirectionsInstructions"/>
      </w:pPr>
      <w:r w:rsidRPr="000B75E4">
        <w:t>Increase to maximum daily dose of 20 mg.</w:t>
      </w:r>
    </w:p>
    <w:tbl>
      <w:tblPr>
        <w:tblpPr w:leftFromText="180" w:rightFromText="180" w:vertAnchor="text" w:horzAnchor="margin" w:tblpXSpec="right" w:tblpY="-22"/>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BB0293" w:rsidRPr="000B75E4" w14:paraId="40BC32FF" w14:textId="77777777" w:rsidTr="00BB0293">
        <w:tc>
          <w:tcPr>
            <w:tcW w:w="1134" w:type="dxa"/>
            <w:shd w:val="clear" w:color="auto" w:fill="auto"/>
          </w:tcPr>
          <w:p w14:paraId="437D809F" w14:textId="77777777" w:rsidR="00BB0293" w:rsidRPr="000B75E4" w:rsidRDefault="00BB0293" w:rsidP="00BB0293">
            <w:pPr>
              <w:pStyle w:val="LoEText"/>
              <w:framePr w:hSpace="0" w:wrap="auto" w:vAnchor="margin" w:hAnchor="text" w:xAlign="left" w:yAlign="inline"/>
              <w:suppressOverlap w:val="0"/>
            </w:pPr>
            <w:proofErr w:type="spellStart"/>
            <w:r w:rsidRPr="000B75E4">
              <w:t>LoE</w:t>
            </w:r>
            <w:proofErr w:type="spellEnd"/>
            <w:r w:rsidRPr="000B75E4">
              <w:t>: I</w:t>
            </w:r>
            <w:r w:rsidRPr="00BB0293">
              <w:rPr>
                <w:rStyle w:val="EndnoteReference"/>
                <w:sz w:val="16"/>
                <w:szCs w:val="16"/>
              </w:rPr>
              <w:endnoteReference w:id="12"/>
            </w:r>
          </w:p>
        </w:tc>
      </w:tr>
    </w:tbl>
    <w:p w14:paraId="32AC8DF4" w14:textId="77777777" w:rsidR="00FC0494" w:rsidRPr="000B75E4" w:rsidRDefault="00FC0494" w:rsidP="00981AF2">
      <w:pPr>
        <w:pStyle w:val="BulletDirectionsInstructions"/>
      </w:pPr>
      <w:r w:rsidRPr="000B75E4">
        <w:t>Monitor potassium, at baseline, within 1 month, and annually.</w:t>
      </w:r>
    </w:p>
    <w:p w14:paraId="2501105C" w14:textId="77777777" w:rsidR="00FC0494" w:rsidRPr="000B75E4" w:rsidRDefault="00FC0494" w:rsidP="00BB0293">
      <w:pPr>
        <w:pStyle w:val="Heading6"/>
      </w:pPr>
      <w:r w:rsidRPr="000B75E4">
        <w:t>Persistent proteinuria</w:t>
      </w:r>
    </w:p>
    <w:p w14:paraId="34DD5FC8" w14:textId="1FA3522C" w:rsidR="00FC0494" w:rsidRPr="000B75E4" w:rsidRDefault="00FC0494" w:rsidP="00FC0494">
      <w:pPr>
        <w:pStyle w:val="NoSpacing"/>
      </w:pPr>
      <w:r w:rsidRPr="000B75E4">
        <w:t xml:space="preserve">See Chapter </w:t>
      </w:r>
      <w:r w:rsidR="00505F60">
        <w:t>8</w:t>
      </w:r>
      <w:r w:rsidRPr="000B75E4">
        <w:t>: Kidney and urological disorders.</w:t>
      </w:r>
    </w:p>
    <w:p w14:paraId="2445F7E9" w14:textId="77777777" w:rsidR="00FC0494" w:rsidRPr="000B75E4" w:rsidRDefault="00FC0494" w:rsidP="00BB0293">
      <w:pPr>
        <w:pStyle w:val="Heading6"/>
      </w:pPr>
      <w:r w:rsidRPr="000B75E4">
        <w:t>Hypertension</w:t>
      </w:r>
    </w:p>
    <w:p w14:paraId="2B445F31" w14:textId="77777777" w:rsidR="00FC0494" w:rsidRPr="000B75E4" w:rsidRDefault="00FC0494" w:rsidP="00FC0494">
      <w:pPr>
        <w:pStyle w:val="NoSpacing"/>
      </w:pPr>
      <w:r w:rsidRPr="000B75E4">
        <w:t>Target BP: &lt; 140/90 mmHg. See Section 4.7: Hypertension.</w:t>
      </w:r>
    </w:p>
    <w:p w14:paraId="41B2EA5C" w14:textId="77777777" w:rsidR="00FC0494" w:rsidRPr="000B75E4" w:rsidRDefault="00FC0494" w:rsidP="00BB0293">
      <w:pPr>
        <w:pStyle w:val="Heading6"/>
      </w:pPr>
      <w:r w:rsidRPr="000B75E4">
        <w:t>Diabetes mellitus</w:t>
      </w:r>
    </w:p>
    <w:p w14:paraId="07D591C9" w14:textId="77777777" w:rsidR="00FC0494" w:rsidRPr="000B75E4" w:rsidRDefault="00FC0494" w:rsidP="00FC0494">
      <w:pPr>
        <w:pStyle w:val="NoSpacing"/>
      </w:pPr>
      <w:r w:rsidRPr="000B75E4">
        <w:t>Target HbA1c &lt; 7.5%.</w:t>
      </w:r>
    </w:p>
    <w:p w14:paraId="540F39E8" w14:textId="77777777" w:rsidR="00FC0494" w:rsidRPr="000B75E4" w:rsidRDefault="00FC0494" w:rsidP="0079142A">
      <w:r w:rsidRPr="000B75E4">
        <w:t>Intensify other renal and cardiovascular protection measures (not smoking, aspirin therapy, lipid-lowering therapy).</w:t>
      </w:r>
    </w:p>
    <w:p w14:paraId="51C37375" w14:textId="77777777" w:rsidR="00FC0494" w:rsidRPr="000B75E4" w:rsidRDefault="00FC0494" w:rsidP="0044482F">
      <w:pPr>
        <w:pStyle w:val="Heading5"/>
      </w:pPr>
      <w:r w:rsidRPr="000B75E4">
        <w:t>REFERRAL</w:t>
      </w:r>
    </w:p>
    <w:p w14:paraId="5231345B" w14:textId="77777777" w:rsidR="00FC0494" w:rsidRPr="000B75E4" w:rsidRDefault="00FC0494" w:rsidP="00FC0494">
      <w:pPr>
        <w:pStyle w:val="NoSpacing"/>
      </w:pPr>
      <w:r w:rsidRPr="000B75E4">
        <w:t>To specialist: When eGFR&lt;30 mL/minute or earlier if symptomatic.</w:t>
      </w:r>
    </w:p>
    <w:p w14:paraId="0D0AC8E6" w14:textId="77777777" w:rsidR="00FC0494" w:rsidRPr="000B75E4" w:rsidRDefault="00FC0494" w:rsidP="00FC0494">
      <w:pPr>
        <w:pStyle w:val="NoSpacing"/>
      </w:pPr>
    </w:p>
    <w:p w14:paraId="71C9D81F" w14:textId="0822F96F" w:rsidR="00FC0494" w:rsidRPr="00275896" w:rsidRDefault="00275896" w:rsidP="00275896">
      <w:pPr>
        <w:pStyle w:val="Heading2"/>
      </w:pPr>
      <w:bookmarkStart w:id="17" w:name="_Toc56695571"/>
      <w:r w:rsidRPr="00275896">
        <w:t>Cardiovascular risk in diabetes</w:t>
      </w:r>
      <w:bookmarkEnd w:id="17"/>
      <w:r w:rsidR="001D0DFE">
        <w:fldChar w:fldCharType="begin"/>
      </w:r>
      <w:r w:rsidR="001D0DFE">
        <w:instrText xml:space="preserve"> XE "</w:instrText>
      </w:r>
      <w:r w:rsidR="001D0DFE" w:rsidRPr="00ED0C31">
        <w:instrText>Cardiovascular risk in diabetes</w:instrText>
      </w:r>
      <w:r w:rsidR="001D0DFE">
        <w:instrText xml:space="preserve">" </w:instrText>
      </w:r>
      <w:r w:rsidR="001D0DFE" w:rsidRPr="001D0DFE">
        <w:instrText>\f “c”</w:instrText>
      </w:r>
      <w:r w:rsidR="001D0DFE">
        <w:fldChar w:fldCharType="end"/>
      </w:r>
    </w:p>
    <w:p w14:paraId="677522C8" w14:textId="77777777" w:rsidR="00FC0494" w:rsidRPr="000B75E4" w:rsidRDefault="00FC0494" w:rsidP="004254CF">
      <w:pPr>
        <w:pStyle w:val="ICD10"/>
      </w:pPr>
      <w:r w:rsidRPr="000B75E4">
        <w:t>E10.5-9/E11.5-9</w:t>
      </w:r>
    </w:p>
    <w:p w14:paraId="13C446E0" w14:textId="77777777" w:rsidR="00FC0494" w:rsidRPr="000B75E4" w:rsidRDefault="00FC0494" w:rsidP="00FC0494">
      <w:pPr>
        <w:pStyle w:val="NoSpacing"/>
      </w:pPr>
      <w:r w:rsidRPr="000B75E4">
        <w:t>See section 4.1: Prevention of ischaemic heart disease and atherosclerosis.</w:t>
      </w:r>
    </w:p>
    <w:p w14:paraId="6BDFA849" w14:textId="77777777" w:rsidR="00FC0494" w:rsidRPr="000B75E4" w:rsidRDefault="00FC0494" w:rsidP="00FC0494">
      <w:pPr>
        <w:pStyle w:val="NoSpacing"/>
      </w:pPr>
    </w:p>
    <w:p w14:paraId="7E47D919" w14:textId="723354A7" w:rsidR="00FC0494" w:rsidRPr="00275896" w:rsidRDefault="00275896" w:rsidP="00275896">
      <w:pPr>
        <w:pStyle w:val="Heading3"/>
      </w:pPr>
      <w:bookmarkStart w:id="18" w:name="_Toc56695572"/>
      <w:r w:rsidRPr="00275896">
        <w:t>Obesity in diabetes</w:t>
      </w:r>
      <w:bookmarkEnd w:id="18"/>
      <w:r w:rsidR="001D0DFE">
        <w:fldChar w:fldCharType="begin"/>
      </w:r>
      <w:r w:rsidR="001D0DFE">
        <w:instrText xml:space="preserve"> XE "</w:instrText>
      </w:r>
      <w:r w:rsidR="001D0DFE" w:rsidRPr="00ED0C31">
        <w:instrText>Obesity in diabetes</w:instrText>
      </w:r>
      <w:r w:rsidR="001D0DFE">
        <w:instrText xml:space="preserve">" </w:instrText>
      </w:r>
      <w:r w:rsidR="001D0DFE" w:rsidRPr="001D0DFE">
        <w:instrText>\f “c”</w:instrText>
      </w:r>
      <w:r w:rsidR="001D0DFE">
        <w:fldChar w:fldCharType="end"/>
      </w:r>
    </w:p>
    <w:p w14:paraId="25609988" w14:textId="77777777" w:rsidR="00FC0494" w:rsidRPr="000B75E4" w:rsidRDefault="00FC0494" w:rsidP="00D709E5">
      <w:pPr>
        <w:pStyle w:val="ICD10"/>
      </w:pPr>
      <w:r w:rsidRPr="000B75E4">
        <w:t>E66.0/E66.8-9 + (E10.5-9/ E11.5-9)</w:t>
      </w:r>
    </w:p>
    <w:p w14:paraId="32DDB369" w14:textId="77777777" w:rsidR="00FC0494" w:rsidRPr="000B75E4" w:rsidRDefault="00FC0494" w:rsidP="00D709E5">
      <w:pPr>
        <w:pStyle w:val="Heading5"/>
      </w:pPr>
      <w:r w:rsidRPr="000B75E4">
        <w:t>DESCRIPTION</w:t>
      </w:r>
    </w:p>
    <w:p w14:paraId="58BDF154" w14:textId="2DC37D5C" w:rsidR="00FC0494" w:rsidRPr="000B75E4" w:rsidRDefault="00FC0494" w:rsidP="00D709E5">
      <w:r w:rsidRPr="000B75E4">
        <w:t xml:space="preserve">Abdominal obesity is a waist circumference &gt;94 cm in men, and &gt; 80 cm in women. </w:t>
      </w:r>
      <w:r w:rsidR="00AC532A">
        <w:br/>
      </w:r>
      <w:r w:rsidRPr="000B75E4">
        <w:t>BMI is determined by weight in kg/height in m2.</w:t>
      </w:r>
    </w:p>
    <w:tbl>
      <w:tblPr>
        <w:tblStyle w:val="SamplePHCTable"/>
        <w:tblW w:w="5000" w:type="pct"/>
        <w:tblLook w:val="01A0" w:firstRow="1" w:lastRow="0" w:firstColumn="1" w:lastColumn="1" w:noHBand="0" w:noVBand="0"/>
      </w:tblPr>
      <w:tblGrid>
        <w:gridCol w:w="2950"/>
        <w:gridCol w:w="3734"/>
      </w:tblGrid>
      <w:tr w:rsidR="00FC0494" w:rsidRPr="000B75E4" w14:paraId="4C55C196" w14:textId="77777777" w:rsidTr="00AC532A">
        <w:trPr>
          <w:cnfStyle w:val="100000000000" w:firstRow="1" w:lastRow="0" w:firstColumn="0" w:lastColumn="0" w:oddVBand="0" w:evenVBand="0" w:oddHBand="0" w:evenHBand="0" w:firstRowFirstColumn="0" w:firstRowLastColumn="0" w:lastRowFirstColumn="0" w:lastRowLastColumn="0"/>
        </w:trPr>
        <w:tc>
          <w:tcPr>
            <w:tcW w:w="2207" w:type="pct"/>
          </w:tcPr>
          <w:p w14:paraId="70C260D5" w14:textId="77777777" w:rsidR="00FC0494" w:rsidRPr="000B75E4" w:rsidRDefault="00FC0494" w:rsidP="00AC532A">
            <w:pPr>
              <w:pStyle w:val="NoSpacing"/>
              <w:jc w:val="center"/>
            </w:pPr>
            <w:r w:rsidRPr="000B75E4">
              <w:t>BMI (kg/m</w:t>
            </w:r>
            <w:r w:rsidRPr="00AC532A">
              <w:rPr>
                <w:vertAlign w:val="superscript"/>
              </w:rPr>
              <w:t>2</w:t>
            </w:r>
            <w:r w:rsidRPr="000B75E4">
              <w:t>)</w:t>
            </w:r>
          </w:p>
        </w:tc>
        <w:tc>
          <w:tcPr>
            <w:tcW w:w="2793" w:type="pct"/>
            <w:tcBorders>
              <w:top w:val="nil"/>
              <w:right w:val="nil"/>
            </w:tcBorders>
            <w:shd w:val="clear" w:color="auto" w:fill="auto"/>
          </w:tcPr>
          <w:p w14:paraId="6C09BAF2" w14:textId="77777777" w:rsidR="00FC0494" w:rsidRPr="000B75E4" w:rsidRDefault="00FC0494" w:rsidP="007B5A6A">
            <w:pPr>
              <w:pStyle w:val="NoSpacing"/>
            </w:pPr>
          </w:p>
        </w:tc>
      </w:tr>
      <w:tr w:rsidR="00FC0494" w:rsidRPr="000B75E4" w14:paraId="2C746C85" w14:textId="77777777" w:rsidTr="00AC532A">
        <w:tc>
          <w:tcPr>
            <w:tcW w:w="2207" w:type="pct"/>
          </w:tcPr>
          <w:p w14:paraId="10F07215" w14:textId="77777777" w:rsidR="00FC0494" w:rsidRPr="000B75E4" w:rsidRDefault="00FC0494" w:rsidP="007B5A6A">
            <w:pPr>
              <w:pStyle w:val="NoSpacing"/>
            </w:pPr>
            <w:r w:rsidRPr="000B75E4">
              <w:t>18.5–24.9</w:t>
            </w:r>
          </w:p>
        </w:tc>
        <w:tc>
          <w:tcPr>
            <w:tcW w:w="2793" w:type="pct"/>
          </w:tcPr>
          <w:p w14:paraId="73555A41" w14:textId="77777777" w:rsidR="00FC0494" w:rsidRPr="000B75E4" w:rsidRDefault="00FC0494" w:rsidP="007B5A6A">
            <w:pPr>
              <w:pStyle w:val="NoSpacing"/>
            </w:pPr>
            <w:r w:rsidRPr="000B75E4">
              <w:t>normal</w:t>
            </w:r>
          </w:p>
        </w:tc>
      </w:tr>
      <w:tr w:rsidR="00FC0494" w:rsidRPr="000B75E4" w14:paraId="7E3A53A6" w14:textId="77777777" w:rsidTr="00AC532A">
        <w:tc>
          <w:tcPr>
            <w:tcW w:w="2207" w:type="pct"/>
          </w:tcPr>
          <w:p w14:paraId="0973FC5E" w14:textId="77777777" w:rsidR="00FC0494" w:rsidRPr="000B75E4" w:rsidRDefault="00FC0494" w:rsidP="007B5A6A">
            <w:pPr>
              <w:pStyle w:val="NoSpacing"/>
            </w:pPr>
            <w:r w:rsidRPr="000B75E4">
              <w:t>25.0–29.9</w:t>
            </w:r>
          </w:p>
        </w:tc>
        <w:tc>
          <w:tcPr>
            <w:tcW w:w="2793" w:type="pct"/>
          </w:tcPr>
          <w:p w14:paraId="41A551A7" w14:textId="77777777" w:rsidR="00FC0494" w:rsidRPr="000B75E4" w:rsidRDefault="00FC0494" w:rsidP="007B5A6A">
            <w:pPr>
              <w:pStyle w:val="NoSpacing"/>
            </w:pPr>
            <w:r w:rsidRPr="000B75E4">
              <w:t>overweight</w:t>
            </w:r>
          </w:p>
        </w:tc>
      </w:tr>
      <w:tr w:rsidR="00FC0494" w:rsidRPr="000B75E4" w14:paraId="6275FFC4" w14:textId="77777777" w:rsidTr="00AC532A">
        <w:tc>
          <w:tcPr>
            <w:tcW w:w="2207" w:type="pct"/>
          </w:tcPr>
          <w:p w14:paraId="1EA7FB4C" w14:textId="77777777" w:rsidR="00FC0494" w:rsidRPr="000B75E4" w:rsidRDefault="00FC0494" w:rsidP="007B5A6A">
            <w:pPr>
              <w:pStyle w:val="NoSpacing"/>
            </w:pPr>
            <w:r w:rsidRPr="000B75E4">
              <w:t>30.0–34.9</w:t>
            </w:r>
          </w:p>
        </w:tc>
        <w:tc>
          <w:tcPr>
            <w:tcW w:w="2793" w:type="pct"/>
          </w:tcPr>
          <w:p w14:paraId="2D604CFB" w14:textId="77777777" w:rsidR="00FC0494" w:rsidRPr="000B75E4" w:rsidRDefault="00FC0494" w:rsidP="007B5A6A">
            <w:pPr>
              <w:pStyle w:val="NoSpacing"/>
            </w:pPr>
            <w:r w:rsidRPr="000B75E4">
              <w:t>mildly obese</w:t>
            </w:r>
          </w:p>
        </w:tc>
      </w:tr>
      <w:tr w:rsidR="00FC0494" w:rsidRPr="000B75E4" w14:paraId="27ADC69C" w14:textId="77777777" w:rsidTr="00AC532A">
        <w:tc>
          <w:tcPr>
            <w:tcW w:w="2207" w:type="pct"/>
          </w:tcPr>
          <w:p w14:paraId="63E1E016" w14:textId="77777777" w:rsidR="00FC0494" w:rsidRPr="000B75E4" w:rsidRDefault="00FC0494" w:rsidP="007B5A6A">
            <w:pPr>
              <w:pStyle w:val="NoSpacing"/>
            </w:pPr>
            <w:r w:rsidRPr="000B75E4">
              <w:t>35.0–39.9</w:t>
            </w:r>
          </w:p>
        </w:tc>
        <w:tc>
          <w:tcPr>
            <w:tcW w:w="2793" w:type="pct"/>
          </w:tcPr>
          <w:p w14:paraId="6B5E9CAF" w14:textId="77777777" w:rsidR="00FC0494" w:rsidRPr="000B75E4" w:rsidRDefault="00FC0494" w:rsidP="007B5A6A">
            <w:pPr>
              <w:pStyle w:val="NoSpacing"/>
            </w:pPr>
            <w:r w:rsidRPr="000B75E4">
              <w:t>moderately obese</w:t>
            </w:r>
          </w:p>
        </w:tc>
      </w:tr>
      <w:tr w:rsidR="00FC0494" w:rsidRPr="000B75E4" w14:paraId="415F4607" w14:textId="77777777" w:rsidTr="00AC532A">
        <w:tc>
          <w:tcPr>
            <w:tcW w:w="2207" w:type="pct"/>
          </w:tcPr>
          <w:p w14:paraId="50A90AD7" w14:textId="77777777" w:rsidR="00FC0494" w:rsidRPr="000B75E4" w:rsidRDefault="00FC0494" w:rsidP="007B5A6A">
            <w:pPr>
              <w:pStyle w:val="NoSpacing"/>
            </w:pPr>
            <w:r w:rsidRPr="000B75E4">
              <w:t>&gt;40</w:t>
            </w:r>
          </w:p>
        </w:tc>
        <w:tc>
          <w:tcPr>
            <w:tcW w:w="2793" w:type="pct"/>
          </w:tcPr>
          <w:p w14:paraId="0011AE7B" w14:textId="77777777" w:rsidR="00FC0494" w:rsidRPr="000B75E4" w:rsidRDefault="00FC0494" w:rsidP="007B5A6A">
            <w:pPr>
              <w:pStyle w:val="NoSpacing"/>
            </w:pPr>
            <w:r w:rsidRPr="000B75E4">
              <w:t>extremely obese</w:t>
            </w:r>
          </w:p>
        </w:tc>
      </w:tr>
    </w:tbl>
    <w:p w14:paraId="62CDFE29" w14:textId="77777777" w:rsidR="00FC0494" w:rsidRPr="000B75E4" w:rsidRDefault="00FC0494" w:rsidP="00D709E5">
      <w:pPr>
        <w:pStyle w:val="Heading5"/>
      </w:pPr>
      <w:r w:rsidRPr="000B75E4">
        <w:t>GENERAL MEASURES</w:t>
      </w:r>
    </w:p>
    <w:p w14:paraId="139C53DF" w14:textId="77777777" w:rsidR="00FC0494" w:rsidRPr="000B75E4" w:rsidRDefault="00FC0494" w:rsidP="00FC0494">
      <w:pPr>
        <w:pStyle w:val="NoSpacing"/>
      </w:pPr>
      <w:r w:rsidRPr="000B75E4">
        <w:t xml:space="preserve">A decrease in food intake together with an increase in physical activity is crucial to losing weight. </w:t>
      </w:r>
    </w:p>
    <w:p w14:paraId="1218DE66" w14:textId="77777777" w:rsidR="00FC0494" w:rsidRPr="000B75E4" w:rsidRDefault="00FC0494" w:rsidP="00D709E5">
      <w:pPr>
        <w:pStyle w:val="Heading5"/>
      </w:pPr>
      <w:r w:rsidRPr="000B75E4">
        <w:t>MEDICINE TREATMENT</w:t>
      </w:r>
    </w:p>
    <w:p w14:paraId="5F18BC4E" w14:textId="77777777" w:rsidR="00FC0494" w:rsidRPr="000B75E4" w:rsidRDefault="00FC0494" w:rsidP="00FC0494">
      <w:pPr>
        <w:pStyle w:val="NoSpacing"/>
      </w:pPr>
      <w:r w:rsidRPr="000B75E4">
        <w:t>Treat the metabolic risk factors, i.e. dyslipidaemia, hypertension, and hyperglycaemia.</w:t>
      </w:r>
    </w:p>
    <w:p w14:paraId="4A40DC0B" w14:textId="1948E89B" w:rsidR="00FC0494" w:rsidRPr="00275896" w:rsidRDefault="00275896" w:rsidP="00275896">
      <w:pPr>
        <w:pStyle w:val="Heading3"/>
      </w:pPr>
      <w:bookmarkStart w:id="19" w:name="_Toc56695573"/>
      <w:r w:rsidRPr="00275896">
        <w:t>Dyslipidaemia</w:t>
      </w:r>
      <w:r w:rsidR="00FC0494" w:rsidRPr="00275896">
        <w:t xml:space="preserve"> </w:t>
      </w:r>
      <w:r w:rsidRPr="00275896">
        <w:t>in</w:t>
      </w:r>
      <w:r w:rsidR="00FC0494" w:rsidRPr="00275896">
        <w:t xml:space="preserve"> </w:t>
      </w:r>
      <w:r w:rsidRPr="00275896">
        <w:t>diabetes</w:t>
      </w:r>
      <w:bookmarkEnd w:id="19"/>
      <w:r w:rsidR="001D0DFE">
        <w:fldChar w:fldCharType="begin"/>
      </w:r>
      <w:r w:rsidR="001D0DFE">
        <w:instrText xml:space="preserve"> XE "</w:instrText>
      </w:r>
      <w:r w:rsidR="001D0DFE" w:rsidRPr="00ED0C31">
        <w:instrText>Dyslipidaemia in diabetes</w:instrText>
      </w:r>
      <w:r w:rsidR="001D0DFE">
        <w:instrText xml:space="preserve">" </w:instrText>
      </w:r>
      <w:r w:rsidR="001D0DFE" w:rsidRPr="001D0DFE">
        <w:instrText>\f “c”</w:instrText>
      </w:r>
      <w:r w:rsidR="001D0DFE">
        <w:fldChar w:fldCharType="end"/>
      </w:r>
    </w:p>
    <w:p w14:paraId="35466E02" w14:textId="77777777" w:rsidR="00FC0494" w:rsidRPr="000B75E4" w:rsidRDefault="00FC0494" w:rsidP="00D709E5">
      <w:pPr>
        <w:pStyle w:val="ICD10"/>
      </w:pPr>
      <w:r w:rsidRPr="000B75E4">
        <w:t>E78.0-6/E78.8-9</w:t>
      </w:r>
    </w:p>
    <w:p w14:paraId="486034BA" w14:textId="77777777" w:rsidR="00FC0494" w:rsidRPr="000B75E4" w:rsidRDefault="00FC0494" w:rsidP="00D709E5">
      <w:pPr>
        <w:pStyle w:val="Heading5"/>
      </w:pPr>
      <w:r w:rsidRPr="000B75E4">
        <w:lastRenderedPageBreak/>
        <w:t>DESCRIPTION</w:t>
      </w:r>
    </w:p>
    <w:p w14:paraId="2DD39CA9" w14:textId="77777777" w:rsidR="00FC0494" w:rsidRPr="000B75E4" w:rsidRDefault="00FC0494" w:rsidP="00FC0494">
      <w:pPr>
        <w:pStyle w:val="NoSpacing"/>
      </w:pPr>
      <w:r w:rsidRPr="000B75E4">
        <w:t>Dyslipidaemia in type 2 diabetes is usually characterised by increased fasting plasma triglycerides (&gt; 1.7 mmol/L), decreased HDL cholesterol (&lt; 1.0 mmol/L in men and &lt; 1.3 mmol/L in women) and to a lesser extent, increased LDL cholesterol. In those with type 1 diabetes, triglycerides, and to a lesser extent cholesterol concentration, are usually increased.</w:t>
      </w:r>
    </w:p>
    <w:p w14:paraId="3BC88669" w14:textId="77777777" w:rsidR="00FC0494" w:rsidRPr="000B75E4" w:rsidRDefault="00FC0494" w:rsidP="00CA196B">
      <w:pPr>
        <w:pStyle w:val="Heading5"/>
      </w:pPr>
      <w:r w:rsidRPr="000B75E4">
        <w:t>MONITORING</w:t>
      </w:r>
    </w:p>
    <w:p w14:paraId="16D934A0" w14:textId="1A21DA38" w:rsidR="00FC0494" w:rsidRPr="000B75E4" w:rsidRDefault="00FC0494" w:rsidP="00FC0494">
      <w:pPr>
        <w:pStyle w:val="NoSpacing"/>
      </w:pPr>
      <w:r w:rsidRPr="000B75E4">
        <w:t>See Section 9.2.2: Type 2 diabetes mellitus in adults.</w:t>
      </w:r>
    </w:p>
    <w:p w14:paraId="043D2E27" w14:textId="77777777" w:rsidR="00FC0494" w:rsidRPr="000B75E4" w:rsidRDefault="00FC0494" w:rsidP="00CA196B">
      <w:pPr>
        <w:pStyle w:val="Heading5"/>
      </w:pPr>
      <w:r w:rsidRPr="000B75E4">
        <w:t>MEDICINE TREATMENT</w:t>
      </w:r>
    </w:p>
    <w:p w14:paraId="3A2035F5" w14:textId="77777777" w:rsidR="00FC0494" w:rsidRPr="000B75E4" w:rsidRDefault="00FC0494" w:rsidP="00E05702">
      <w:r w:rsidRPr="000B75E4">
        <w:t>Dyslipidaemia may successfully be treated through lifestyle modifications alone.</w:t>
      </w:r>
    </w:p>
    <w:p w14:paraId="49D1617B" w14:textId="7AB367B5" w:rsidR="00FC0494" w:rsidRPr="000B75E4" w:rsidRDefault="00FC0494" w:rsidP="00E05702">
      <w:pPr>
        <w:pStyle w:val="BulletTherapeuticclass"/>
      </w:pPr>
      <w:proofErr w:type="spellStart"/>
      <w:r w:rsidRPr="000B75E4">
        <w:t>HMGCoA</w:t>
      </w:r>
      <w:proofErr w:type="spellEnd"/>
      <w:r w:rsidRPr="000B75E4">
        <w:t xml:space="preserve"> reductase inhibitor</w:t>
      </w:r>
      <w:r w:rsidR="00B06908">
        <w:fldChar w:fldCharType="begin"/>
      </w:r>
      <w:r w:rsidR="00B06908">
        <w:instrText xml:space="preserve"> XE "</w:instrText>
      </w:r>
      <w:r w:rsidR="00B06908" w:rsidRPr="00293B76">
        <w:instrText>HMGCoA reductase inhibitor</w:instrText>
      </w:r>
      <w:r w:rsidR="00B06908">
        <w:instrText xml:space="preserve">" </w:instrText>
      </w:r>
      <w:r w:rsidR="001D0DFE">
        <w:instrText>\f "m"</w:instrText>
      </w:r>
      <w:r w:rsidR="00B06908">
        <w:fldChar w:fldCharType="end"/>
      </w:r>
      <w:r w:rsidRPr="000B75E4">
        <w:t xml:space="preserve"> (statin) therapy should be added to lifestyle modifications, regardless of baseline lipid concentrations, for all type 2 diabetic patients, who:</w:t>
      </w:r>
    </w:p>
    <w:p w14:paraId="00958C32" w14:textId="77777777" w:rsidR="00FC0494" w:rsidRPr="000B75E4" w:rsidRDefault="00FC0494" w:rsidP="00FD2F3A">
      <w:pPr>
        <w:pStyle w:val="ListParagraph"/>
        <w:numPr>
          <w:ilvl w:val="1"/>
          <w:numId w:val="5"/>
        </w:numPr>
      </w:pPr>
      <w:r w:rsidRPr="000B75E4">
        <w:t xml:space="preserve">are &gt; 40 years of </w:t>
      </w:r>
      <w:proofErr w:type="gramStart"/>
      <w:r w:rsidRPr="000B75E4">
        <w:t>age;</w:t>
      </w:r>
      <w:proofErr w:type="gramEnd"/>
    </w:p>
    <w:p w14:paraId="0430174F" w14:textId="77777777" w:rsidR="00FC0494" w:rsidRPr="000B75E4" w:rsidRDefault="00FC0494" w:rsidP="00FD2F3A">
      <w:pPr>
        <w:pStyle w:val="ListParagraph"/>
        <w:numPr>
          <w:ilvl w:val="1"/>
          <w:numId w:val="5"/>
        </w:numPr>
      </w:pPr>
      <w:r w:rsidRPr="000B75E4">
        <w:t xml:space="preserve">have had diabetes for &gt; 10 </w:t>
      </w:r>
      <w:proofErr w:type="gramStart"/>
      <w:r w:rsidRPr="000B75E4">
        <w:t>years;</w:t>
      </w:r>
      <w:proofErr w:type="gramEnd"/>
    </w:p>
    <w:p w14:paraId="43FAED91" w14:textId="77777777" w:rsidR="00FC0494" w:rsidRPr="000B75E4" w:rsidRDefault="00FC0494" w:rsidP="00FD2F3A">
      <w:pPr>
        <w:pStyle w:val="ListParagraph"/>
        <w:numPr>
          <w:ilvl w:val="1"/>
          <w:numId w:val="5"/>
        </w:numPr>
      </w:pPr>
      <w:r w:rsidRPr="000B75E4">
        <w:t>have existing cardiovascular disease (for example angina pectoris, previous myocardial infarction, peripheral vascular disease or stroke</w:t>
      </w:r>
      <w:proofErr w:type="gramStart"/>
      <w:r w:rsidRPr="000B75E4">
        <w:t>);</w:t>
      </w:r>
      <w:proofErr w:type="gramEnd"/>
    </w:p>
    <w:p w14:paraId="0C78BE09" w14:textId="77777777" w:rsidR="00FC0494" w:rsidRPr="000B75E4" w:rsidRDefault="00FC0494" w:rsidP="00FD2F3A">
      <w:pPr>
        <w:pStyle w:val="ListParagraph"/>
        <w:numPr>
          <w:ilvl w:val="1"/>
          <w:numId w:val="5"/>
        </w:numPr>
      </w:pPr>
      <w:r w:rsidRPr="000B75E4">
        <w:t>have chronic kidney disease (eGFR &lt; 60 mL/minute</w:t>
      </w:r>
      <w:proofErr w:type="gramStart"/>
      <w:r w:rsidRPr="000B75E4">
        <w:t>);</w:t>
      </w:r>
      <w:proofErr w:type="gramEnd"/>
    </w:p>
    <w:tbl>
      <w:tblPr>
        <w:tblpPr w:leftFromText="180" w:rightFromText="180" w:vertAnchor="text" w:horzAnchor="margin" w:tblpXSpec="right" w:tblpY="1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
      </w:tblGrid>
      <w:tr w:rsidR="00FD2F3A" w:rsidRPr="000B75E4" w14:paraId="496650DC" w14:textId="77777777" w:rsidTr="00FD2F3A">
        <w:tc>
          <w:tcPr>
            <w:tcW w:w="1134" w:type="dxa"/>
            <w:shd w:val="clear" w:color="auto" w:fill="auto"/>
          </w:tcPr>
          <w:p w14:paraId="0194ED75" w14:textId="77777777" w:rsidR="00FD2F3A" w:rsidRPr="000B75E4" w:rsidRDefault="00FD2F3A" w:rsidP="00FD2F3A">
            <w:pPr>
              <w:pStyle w:val="LoEText"/>
              <w:framePr w:hSpace="0" w:wrap="auto" w:vAnchor="margin" w:hAnchor="text" w:xAlign="left" w:yAlign="inline"/>
              <w:suppressOverlap w:val="0"/>
            </w:pPr>
            <w:proofErr w:type="spellStart"/>
            <w:proofErr w:type="gramStart"/>
            <w:r w:rsidRPr="000B75E4">
              <w:t>LoE:I</w:t>
            </w:r>
            <w:proofErr w:type="spellEnd"/>
            <w:proofErr w:type="gramEnd"/>
            <w:r w:rsidRPr="00FD2F3A">
              <w:rPr>
                <w:rStyle w:val="EndnoteReference"/>
                <w:sz w:val="16"/>
                <w:szCs w:val="16"/>
              </w:rPr>
              <w:endnoteReference w:id="13"/>
            </w:r>
          </w:p>
        </w:tc>
      </w:tr>
    </w:tbl>
    <w:p w14:paraId="0F1F1825" w14:textId="77777777" w:rsidR="00FC0494" w:rsidRPr="000B75E4" w:rsidRDefault="00FC0494" w:rsidP="00FD2F3A">
      <w:pPr>
        <w:pStyle w:val="ListParagraph"/>
        <w:numPr>
          <w:ilvl w:val="1"/>
          <w:numId w:val="5"/>
        </w:numPr>
      </w:pPr>
      <w:r w:rsidRPr="000B75E4">
        <w:t>type 1 diabetes with microalbuminuria</w:t>
      </w:r>
    </w:p>
    <w:p w14:paraId="75DA0832" w14:textId="0ABFF44B" w:rsidR="00FC0494" w:rsidRPr="000B75E4" w:rsidRDefault="00FC0494" w:rsidP="00FD2F3A">
      <w:pPr>
        <w:pStyle w:val="BulletMedicine"/>
      </w:pPr>
      <w:r w:rsidRPr="000B75E4">
        <w:t>e.g.</w:t>
      </w:r>
      <w:r w:rsidR="00467949">
        <w:t>,</w:t>
      </w:r>
      <w:r w:rsidRPr="000B75E4">
        <w:t xml:space="preserve"> Simvastatin, oral</w:t>
      </w:r>
      <w:r w:rsidR="00B06908">
        <w:fldChar w:fldCharType="begin"/>
      </w:r>
      <w:r w:rsidR="00B06908">
        <w:instrText xml:space="preserve"> XE "</w:instrText>
      </w:r>
      <w:r w:rsidR="00B06908" w:rsidRPr="00293B76">
        <w:instrText>Simvastatin, oral</w:instrText>
      </w:r>
      <w:r w:rsidR="00B06908">
        <w:instrText>"</w:instrText>
      </w:r>
      <w:r w:rsidR="001D0DFE">
        <w:instrText xml:space="preserve"> \f "m"</w:instrText>
      </w:r>
      <w:r w:rsidR="00B06908">
        <w:instrText xml:space="preserve"> </w:instrText>
      </w:r>
      <w:r w:rsidR="00B06908">
        <w:fldChar w:fldCharType="end"/>
      </w:r>
      <w:r w:rsidRPr="000B75E4">
        <w:t>, 10 mg at night.</w:t>
      </w:r>
    </w:p>
    <w:p w14:paraId="48796518" w14:textId="77777777" w:rsidR="00FC0494" w:rsidRPr="000B75E4" w:rsidRDefault="00FC0494" w:rsidP="00FC0494">
      <w:pPr>
        <w:pStyle w:val="NoSpacing"/>
      </w:pPr>
      <w:r w:rsidRPr="000B75E4">
        <w:t>In patients &lt; 40 years of age, risk assess as for dyslipidaemia; patients on protease inhibitors or amlodipine, see Section 4.1: Prevention of ischaemic heart disease and atherosclerosis.</w:t>
      </w:r>
    </w:p>
    <w:p w14:paraId="41340A47" w14:textId="77777777" w:rsidR="00FC0494" w:rsidRPr="000B75E4" w:rsidRDefault="00FC0494" w:rsidP="00CA196B">
      <w:pPr>
        <w:pStyle w:val="Heading5"/>
      </w:pPr>
      <w:r w:rsidRPr="000B75E4">
        <w:t>REFERRAL</w:t>
      </w:r>
    </w:p>
    <w:p w14:paraId="047B2BED" w14:textId="77777777" w:rsidR="00FC0494" w:rsidRPr="000B75E4" w:rsidRDefault="00FC0494" w:rsidP="00FC0494">
      <w:pPr>
        <w:pStyle w:val="NoSpacing"/>
      </w:pPr>
      <w:r w:rsidRPr="000B75E4">
        <w:t>Random cholesterol &gt; 7.5 mmol/L.</w:t>
      </w:r>
    </w:p>
    <w:p w14:paraId="0450C651" w14:textId="77777777" w:rsidR="00FC0494" w:rsidRPr="000B75E4" w:rsidRDefault="00FC0494" w:rsidP="00FC0494">
      <w:pPr>
        <w:pStyle w:val="NoSpacing"/>
      </w:pPr>
      <w:r w:rsidRPr="000B75E4">
        <w:t>Fasting (14 hours) triglycerides &gt; 10 mmol/L.</w:t>
      </w:r>
    </w:p>
    <w:p w14:paraId="29D4D324" w14:textId="77777777" w:rsidR="00FC0494" w:rsidRPr="000B75E4" w:rsidRDefault="00FC0494" w:rsidP="00FC0494">
      <w:pPr>
        <w:pStyle w:val="NoSpacing"/>
      </w:pPr>
    </w:p>
    <w:p w14:paraId="64B4CB04" w14:textId="240E1FD2" w:rsidR="00FC0494" w:rsidRPr="00275896" w:rsidRDefault="00275896" w:rsidP="00275896">
      <w:pPr>
        <w:pStyle w:val="Heading3"/>
      </w:pPr>
      <w:bookmarkStart w:id="20" w:name="_Toc56695574"/>
      <w:r w:rsidRPr="00275896">
        <w:t>Hypertension</w:t>
      </w:r>
      <w:r w:rsidR="00FC0494" w:rsidRPr="00275896">
        <w:t xml:space="preserve"> </w:t>
      </w:r>
      <w:r w:rsidRPr="00275896">
        <w:t>in diabetes</w:t>
      </w:r>
      <w:bookmarkEnd w:id="20"/>
      <w:r w:rsidR="001D0DFE">
        <w:fldChar w:fldCharType="begin"/>
      </w:r>
      <w:r w:rsidR="001D0DFE">
        <w:instrText xml:space="preserve"> XE "</w:instrText>
      </w:r>
      <w:r w:rsidR="001D0DFE" w:rsidRPr="00ED0C31">
        <w:instrText>Hypertension in diabetes</w:instrText>
      </w:r>
      <w:r w:rsidR="001D0DFE">
        <w:instrText xml:space="preserve">" </w:instrText>
      </w:r>
      <w:r w:rsidR="001D0DFE" w:rsidRPr="001D0DFE">
        <w:instrText>\f “c”</w:instrText>
      </w:r>
      <w:r w:rsidR="001D0DFE">
        <w:fldChar w:fldCharType="end"/>
      </w:r>
    </w:p>
    <w:p w14:paraId="06DD487A" w14:textId="77777777" w:rsidR="00FC0494" w:rsidRPr="000B75E4" w:rsidRDefault="00FC0494" w:rsidP="00FD2F3A">
      <w:pPr>
        <w:pStyle w:val="ICD10"/>
      </w:pPr>
      <w:r w:rsidRPr="000B75E4">
        <w:t>I10</w:t>
      </w:r>
    </w:p>
    <w:p w14:paraId="0601D867" w14:textId="77777777" w:rsidR="00FC0494" w:rsidRPr="000B75E4" w:rsidRDefault="00FC0494" w:rsidP="00FD2F3A">
      <w:r w:rsidRPr="000B75E4">
        <w:t>BP lowering in hypertensive patients reduces cardiovascular risk. The diagnosis of hypertension is confirmed if the blood pressure remains &gt; 140/90 mmHg on two separate days. See Section 4.7: Hypertension.</w:t>
      </w:r>
    </w:p>
    <w:p w14:paraId="5B027005" w14:textId="77777777" w:rsidR="00FC0494" w:rsidRPr="000B75E4" w:rsidRDefault="00FC0494" w:rsidP="00FC0494">
      <w:pPr>
        <w:pStyle w:val="NoSpacing"/>
      </w:pPr>
    </w:p>
    <w:p w14:paraId="07905EA4" w14:textId="7006F6EB" w:rsidR="00FC0494" w:rsidRPr="00275896" w:rsidRDefault="00275896" w:rsidP="00275896">
      <w:pPr>
        <w:pStyle w:val="Heading2"/>
      </w:pPr>
      <w:bookmarkStart w:id="21" w:name="_Toc56695575"/>
      <w:r w:rsidRPr="00275896">
        <w:t>Hypothyroidism</w:t>
      </w:r>
      <w:bookmarkEnd w:id="21"/>
      <w:r w:rsidR="001D0DFE">
        <w:fldChar w:fldCharType="begin"/>
      </w:r>
      <w:r w:rsidR="001D0DFE">
        <w:instrText xml:space="preserve"> XE "</w:instrText>
      </w:r>
      <w:r w:rsidR="001D0DFE" w:rsidRPr="00ED0C31">
        <w:instrText>Hypothyroidism</w:instrText>
      </w:r>
      <w:r w:rsidR="001D0DFE">
        <w:instrText xml:space="preserve">" </w:instrText>
      </w:r>
      <w:r w:rsidR="001D0DFE" w:rsidRPr="001D0DFE">
        <w:instrText>\f “c”</w:instrText>
      </w:r>
      <w:r w:rsidR="001D0DFE">
        <w:fldChar w:fldCharType="end"/>
      </w:r>
    </w:p>
    <w:p w14:paraId="488B5F7E" w14:textId="77777777" w:rsidR="00FC0494" w:rsidRPr="000B75E4" w:rsidRDefault="00FC0494" w:rsidP="00FC0494">
      <w:pPr>
        <w:pStyle w:val="NoSpacing"/>
      </w:pPr>
    </w:p>
    <w:p w14:paraId="25DB3B2B" w14:textId="78CE9D54" w:rsidR="00FC0494" w:rsidRPr="00275896" w:rsidRDefault="00275896" w:rsidP="00275896">
      <w:pPr>
        <w:pStyle w:val="Heading3"/>
      </w:pPr>
      <w:bookmarkStart w:id="22" w:name="_Toc56695576"/>
      <w:r w:rsidRPr="00275896">
        <w:t>Hypothyroidism in neonates</w:t>
      </w:r>
      <w:bookmarkEnd w:id="22"/>
      <w:r w:rsidR="001D0DFE">
        <w:fldChar w:fldCharType="begin"/>
      </w:r>
      <w:r w:rsidR="001D0DFE">
        <w:instrText xml:space="preserve"> XE "</w:instrText>
      </w:r>
      <w:r w:rsidR="001D0DFE" w:rsidRPr="00ED0C31">
        <w:instrText>Hypothyroidism in neonates</w:instrText>
      </w:r>
      <w:r w:rsidR="001D0DFE">
        <w:instrText xml:space="preserve">" </w:instrText>
      </w:r>
      <w:r w:rsidR="001D0DFE" w:rsidRPr="001D0DFE">
        <w:instrText>\f “c”</w:instrText>
      </w:r>
      <w:r w:rsidR="001D0DFE">
        <w:fldChar w:fldCharType="end"/>
      </w:r>
    </w:p>
    <w:p w14:paraId="6679A4A7" w14:textId="77777777" w:rsidR="00FC0494" w:rsidRPr="000B75E4" w:rsidRDefault="00FC0494" w:rsidP="00FD2F3A">
      <w:pPr>
        <w:pStyle w:val="ICD10"/>
      </w:pPr>
      <w:r w:rsidRPr="000B75E4">
        <w:t>E03.0-5/E03.8-9</w:t>
      </w:r>
    </w:p>
    <w:p w14:paraId="3C10B357" w14:textId="77777777" w:rsidR="00FC0494" w:rsidRPr="000B75E4" w:rsidRDefault="00FC0494" w:rsidP="00FD2F3A">
      <w:pPr>
        <w:pStyle w:val="Heading5"/>
      </w:pPr>
      <w:r w:rsidRPr="000B75E4">
        <w:lastRenderedPageBreak/>
        <w:t>DESCRIPTION</w:t>
      </w:r>
    </w:p>
    <w:p w14:paraId="67BCE4E6" w14:textId="77777777" w:rsidR="00FC0494" w:rsidRPr="000B75E4" w:rsidRDefault="00FC0494" w:rsidP="00FC0494">
      <w:pPr>
        <w:pStyle w:val="NoSpacing"/>
      </w:pPr>
      <w:r w:rsidRPr="000B75E4">
        <w:t>Congenital deficiency of thyroid hormone due to aplasia/hypoplasia of the thyroid gland, defects in thyroid hormone biosynthesis or intrauterine exposure to antithyroid medicines. Congenital hypothyroidism is one of the common treatable causes of preventable mental retardation in children. Congenital hypothyroidism must be treated as early as possible to avoid intellectual impairment.</w:t>
      </w:r>
    </w:p>
    <w:p w14:paraId="06F22E7A" w14:textId="77777777" w:rsidR="00FC0494" w:rsidRPr="000B75E4" w:rsidRDefault="00FC0494" w:rsidP="00FD2F3A">
      <w:pPr>
        <w:pStyle w:val="Heading5"/>
      </w:pPr>
      <w:r w:rsidRPr="000B75E4">
        <w:t>DIAGNOSIS</w:t>
      </w:r>
    </w:p>
    <w:p w14:paraId="13EDB0D3" w14:textId="77777777" w:rsidR="00FC0494" w:rsidRPr="000B75E4" w:rsidRDefault="00FC0494" w:rsidP="00FC0494">
      <w:pPr>
        <w:pStyle w:val="NoSpacing"/>
      </w:pPr>
      <w:r w:rsidRPr="000B75E4">
        <w:t>Clinical</w:t>
      </w:r>
    </w:p>
    <w:tbl>
      <w:tblPr>
        <w:tblW w:w="0" w:type="auto"/>
        <w:tblLook w:val="04A0" w:firstRow="1" w:lastRow="0" w:firstColumn="1" w:lastColumn="0" w:noHBand="0" w:noVBand="1"/>
      </w:tblPr>
      <w:tblGrid>
        <w:gridCol w:w="3343"/>
        <w:gridCol w:w="3346"/>
      </w:tblGrid>
      <w:tr w:rsidR="00FC0494" w:rsidRPr="000B75E4" w14:paraId="3F56E123" w14:textId="77777777" w:rsidTr="007B5A6A">
        <w:tc>
          <w:tcPr>
            <w:tcW w:w="3453" w:type="dxa"/>
          </w:tcPr>
          <w:p w14:paraId="20A55277" w14:textId="77777777" w:rsidR="00FC0494" w:rsidRPr="000B75E4" w:rsidRDefault="00FC0494" w:rsidP="005639B6">
            <w:pPr>
              <w:pStyle w:val="ListParagraph"/>
            </w:pPr>
            <w:r w:rsidRPr="000B75E4">
              <w:t>prolonged jaundice</w:t>
            </w:r>
          </w:p>
          <w:p w14:paraId="01596179" w14:textId="77777777" w:rsidR="00FC0494" w:rsidRPr="000B75E4" w:rsidRDefault="00FC0494" w:rsidP="005639B6">
            <w:pPr>
              <w:pStyle w:val="ListParagraph"/>
            </w:pPr>
            <w:r w:rsidRPr="000B75E4">
              <w:t>feeding difficulties</w:t>
            </w:r>
          </w:p>
          <w:p w14:paraId="5CFD01F2" w14:textId="77777777" w:rsidR="00FC0494" w:rsidRPr="000B75E4" w:rsidRDefault="00FC0494" w:rsidP="005639B6">
            <w:pPr>
              <w:pStyle w:val="ListParagraph"/>
            </w:pPr>
            <w:r w:rsidRPr="000B75E4">
              <w:t>lethargy</w:t>
            </w:r>
          </w:p>
          <w:p w14:paraId="5672048B" w14:textId="465EF554" w:rsidR="00FC0494" w:rsidRPr="000B75E4" w:rsidRDefault="00FC0494" w:rsidP="005639B6">
            <w:pPr>
              <w:pStyle w:val="ListParagraph"/>
            </w:pPr>
            <w:r w:rsidRPr="000B75E4">
              <w:t>constipation</w:t>
            </w:r>
          </w:p>
        </w:tc>
        <w:tc>
          <w:tcPr>
            <w:tcW w:w="3453" w:type="dxa"/>
          </w:tcPr>
          <w:p w14:paraId="6F252F85" w14:textId="77777777" w:rsidR="00FC0494" w:rsidRPr="000B75E4" w:rsidRDefault="00FC0494" w:rsidP="005639B6">
            <w:pPr>
              <w:pStyle w:val="ListParagraph"/>
            </w:pPr>
            <w:r w:rsidRPr="000B75E4">
              <w:t>swollen hands, feet and genitals</w:t>
            </w:r>
          </w:p>
          <w:p w14:paraId="009CF828" w14:textId="77777777" w:rsidR="00FC0494" w:rsidRPr="000B75E4" w:rsidRDefault="00FC0494" w:rsidP="005639B6">
            <w:pPr>
              <w:pStyle w:val="ListParagraph"/>
            </w:pPr>
            <w:r w:rsidRPr="000B75E4">
              <w:t>decreased muscle tone</w:t>
            </w:r>
          </w:p>
          <w:p w14:paraId="20E8CD4E" w14:textId="77777777" w:rsidR="00FC0494" w:rsidRPr="000B75E4" w:rsidRDefault="00FC0494" w:rsidP="005639B6">
            <w:pPr>
              <w:pStyle w:val="ListParagraph"/>
            </w:pPr>
            <w:r w:rsidRPr="000B75E4">
              <w:t>delayed achievement of milestones</w:t>
            </w:r>
          </w:p>
          <w:p w14:paraId="1E18FAB6" w14:textId="77777777" w:rsidR="00FC0494" w:rsidRPr="000B75E4" w:rsidRDefault="00FC0494" w:rsidP="005639B6">
            <w:pPr>
              <w:pStyle w:val="ListParagraph"/>
            </w:pPr>
            <w:r w:rsidRPr="000B75E4">
              <w:t>enlarged tongue</w:t>
            </w:r>
          </w:p>
        </w:tc>
      </w:tr>
    </w:tbl>
    <w:p w14:paraId="0307C2B7" w14:textId="77777777" w:rsidR="00FC0494" w:rsidRPr="000B75E4" w:rsidRDefault="00FC0494" w:rsidP="00FD2F3A">
      <w:pPr>
        <w:pStyle w:val="Heading5"/>
      </w:pPr>
      <w:r w:rsidRPr="000B75E4">
        <w:t>REFERRAL</w:t>
      </w:r>
    </w:p>
    <w:p w14:paraId="5BC58ABF" w14:textId="77777777" w:rsidR="00FC0494" w:rsidRPr="000B75E4" w:rsidRDefault="00FC0494" w:rsidP="00FC0494">
      <w:pPr>
        <w:pStyle w:val="NoSpacing"/>
      </w:pPr>
      <w:r w:rsidRPr="000B75E4">
        <w:t>All patients for investigation and initiation of therapy.</w:t>
      </w:r>
    </w:p>
    <w:p w14:paraId="446897EE" w14:textId="77777777" w:rsidR="00FC0494" w:rsidRPr="000B75E4" w:rsidRDefault="00FC0494" w:rsidP="00FC0494">
      <w:pPr>
        <w:pStyle w:val="NoSpacing"/>
      </w:pPr>
    </w:p>
    <w:p w14:paraId="7B996E6F" w14:textId="0E01729A" w:rsidR="00FC0494" w:rsidRPr="00275896" w:rsidRDefault="00275896" w:rsidP="00275896">
      <w:pPr>
        <w:pStyle w:val="Heading3"/>
      </w:pPr>
      <w:bookmarkStart w:id="23" w:name="_Toc56695577"/>
      <w:r w:rsidRPr="00275896">
        <w:t>Hypothyroidism in children and adolescents</w:t>
      </w:r>
      <w:bookmarkEnd w:id="23"/>
      <w:r w:rsidR="001D0DFE">
        <w:fldChar w:fldCharType="begin"/>
      </w:r>
      <w:r w:rsidR="001D0DFE">
        <w:instrText xml:space="preserve"> XE "</w:instrText>
      </w:r>
      <w:r w:rsidR="001D0DFE" w:rsidRPr="00ED0C31">
        <w:instrText>Hypothyroidism in children and adolescents</w:instrText>
      </w:r>
      <w:r w:rsidR="001D0DFE">
        <w:instrText xml:space="preserve">" </w:instrText>
      </w:r>
      <w:r w:rsidR="001D0DFE" w:rsidRPr="001D0DFE">
        <w:instrText>\f “c”</w:instrText>
      </w:r>
      <w:r w:rsidR="001D0DFE">
        <w:fldChar w:fldCharType="end"/>
      </w:r>
    </w:p>
    <w:p w14:paraId="482E8485" w14:textId="77777777" w:rsidR="00FC0494" w:rsidRPr="000B75E4" w:rsidRDefault="00FC0494" w:rsidP="005639B6">
      <w:pPr>
        <w:pStyle w:val="ICD10"/>
      </w:pPr>
      <w:r w:rsidRPr="000B75E4">
        <w:t>E03.0-5/E03.8-9</w:t>
      </w:r>
    </w:p>
    <w:p w14:paraId="554E8910" w14:textId="77777777" w:rsidR="00FC0494" w:rsidRPr="000B75E4" w:rsidRDefault="00FC0494" w:rsidP="005639B6">
      <w:pPr>
        <w:pStyle w:val="Heading5"/>
      </w:pPr>
      <w:r w:rsidRPr="000B75E4">
        <w:t>DESCRIPTION</w:t>
      </w:r>
    </w:p>
    <w:p w14:paraId="40ED0819" w14:textId="77777777" w:rsidR="00FC0494" w:rsidRPr="000B75E4" w:rsidRDefault="00FC0494" w:rsidP="00FC0494">
      <w:pPr>
        <w:pStyle w:val="NoSpacing"/>
      </w:pPr>
      <w:r w:rsidRPr="000B75E4">
        <w:t>Hypothyroidism in children causes decreased growth, lethargy, cold intolerance and dry skin. Physical signs may include goitre, short stature, bradycardia and delayed deep tendon reflexes.</w:t>
      </w:r>
    </w:p>
    <w:p w14:paraId="605C8664" w14:textId="77777777" w:rsidR="00FC0494" w:rsidRPr="000B75E4" w:rsidRDefault="00FC0494" w:rsidP="00FC0494">
      <w:pPr>
        <w:pStyle w:val="NoSpacing"/>
      </w:pPr>
      <w:r w:rsidRPr="000B75E4">
        <w:t>Congenital hypothyroidism may present in childhood. Acquired hypothyroidism in children and adolescents may be caused by:</w:t>
      </w:r>
    </w:p>
    <w:tbl>
      <w:tblPr>
        <w:tblW w:w="0" w:type="auto"/>
        <w:tblLook w:val="04A0" w:firstRow="1" w:lastRow="0" w:firstColumn="1" w:lastColumn="0" w:noHBand="0" w:noVBand="1"/>
      </w:tblPr>
      <w:tblGrid>
        <w:gridCol w:w="3346"/>
        <w:gridCol w:w="3343"/>
      </w:tblGrid>
      <w:tr w:rsidR="00FC0494" w:rsidRPr="000B75E4" w14:paraId="3FFAFF03" w14:textId="77777777" w:rsidTr="007B5A6A">
        <w:tc>
          <w:tcPr>
            <w:tcW w:w="3453" w:type="dxa"/>
          </w:tcPr>
          <w:p w14:paraId="589C85F7" w14:textId="77777777" w:rsidR="00FC0494" w:rsidRPr="000B75E4" w:rsidRDefault="00FC0494" w:rsidP="005639B6">
            <w:pPr>
              <w:pStyle w:val="ListParagraph"/>
            </w:pPr>
            <w:r w:rsidRPr="000B75E4">
              <w:t>chronic lymphocytic thyroiditis</w:t>
            </w:r>
          </w:p>
        </w:tc>
        <w:tc>
          <w:tcPr>
            <w:tcW w:w="3453" w:type="dxa"/>
          </w:tcPr>
          <w:p w14:paraId="07CC3431" w14:textId="77777777" w:rsidR="00FC0494" w:rsidRPr="000B75E4" w:rsidRDefault="00FC0494" w:rsidP="005639B6">
            <w:pPr>
              <w:pStyle w:val="ListParagraph"/>
            </w:pPr>
            <w:r w:rsidRPr="000B75E4">
              <w:t>radioactive iodine</w:t>
            </w:r>
          </w:p>
        </w:tc>
      </w:tr>
      <w:tr w:rsidR="00FC0494" w:rsidRPr="000B75E4" w14:paraId="61222A91" w14:textId="77777777" w:rsidTr="007B5A6A">
        <w:tc>
          <w:tcPr>
            <w:tcW w:w="3453" w:type="dxa"/>
          </w:tcPr>
          <w:p w14:paraId="1B15ED4F" w14:textId="77777777" w:rsidR="00FC0494" w:rsidRPr="000B75E4" w:rsidRDefault="00FC0494" w:rsidP="005639B6">
            <w:pPr>
              <w:pStyle w:val="ListParagraph"/>
            </w:pPr>
            <w:r w:rsidRPr="000B75E4">
              <w:t>iodine deficiency</w:t>
            </w:r>
          </w:p>
        </w:tc>
        <w:tc>
          <w:tcPr>
            <w:tcW w:w="3453" w:type="dxa"/>
          </w:tcPr>
          <w:p w14:paraId="333DB3A9" w14:textId="77777777" w:rsidR="00FC0494" w:rsidRPr="000B75E4" w:rsidRDefault="00FC0494" w:rsidP="005639B6">
            <w:pPr>
              <w:pStyle w:val="ListParagraph"/>
            </w:pPr>
            <w:r w:rsidRPr="000B75E4">
              <w:t>infiltrations</w:t>
            </w:r>
          </w:p>
        </w:tc>
      </w:tr>
      <w:tr w:rsidR="00FC0494" w:rsidRPr="000B75E4" w14:paraId="28A6B69E" w14:textId="77777777" w:rsidTr="007B5A6A">
        <w:tc>
          <w:tcPr>
            <w:tcW w:w="3453" w:type="dxa"/>
          </w:tcPr>
          <w:p w14:paraId="76C7E426" w14:textId="77777777" w:rsidR="00FC0494" w:rsidRPr="000B75E4" w:rsidRDefault="00FC0494" w:rsidP="005639B6">
            <w:pPr>
              <w:pStyle w:val="ListParagraph"/>
            </w:pPr>
            <w:r w:rsidRPr="000B75E4">
              <w:t>surgery</w:t>
            </w:r>
          </w:p>
        </w:tc>
        <w:tc>
          <w:tcPr>
            <w:tcW w:w="3453" w:type="dxa"/>
          </w:tcPr>
          <w:p w14:paraId="6D888016" w14:textId="77777777" w:rsidR="00FC0494" w:rsidRPr="000B75E4" w:rsidRDefault="00FC0494" w:rsidP="007B5A6A">
            <w:pPr>
              <w:pStyle w:val="NoSpacing"/>
            </w:pPr>
          </w:p>
        </w:tc>
      </w:tr>
    </w:tbl>
    <w:p w14:paraId="29A5897E" w14:textId="77777777" w:rsidR="00FC0494" w:rsidRPr="000B75E4" w:rsidRDefault="00FC0494" w:rsidP="005639B6">
      <w:pPr>
        <w:pStyle w:val="Heading5"/>
      </w:pPr>
      <w:r w:rsidRPr="000B75E4">
        <w:t>DIAGNOSIS</w:t>
      </w:r>
    </w:p>
    <w:p w14:paraId="4E987812" w14:textId="77777777" w:rsidR="00FC0494" w:rsidRPr="000B75E4" w:rsidRDefault="00FC0494" w:rsidP="00FC0494">
      <w:pPr>
        <w:pStyle w:val="NoSpacing"/>
      </w:pPr>
      <w:r w:rsidRPr="000B75E4">
        <w:t>Elevated TSH and low T4 concentrations.</w:t>
      </w:r>
    </w:p>
    <w:p w14:paraId="0D4D499C" w14:textId="77777777" w:rsidR="00FC0494" w:rsidRPr="000B75E4" w:rsidRDefault="00FC0494" w:rsidP="005639B6">
      <w:pPr>
        <w:pStyle w:val="Heading5"/>
      </w:pPr>
      <w:r w:rsidRPr="000B75E4">
        <w:t>MEDICINE TREATMENT</w:t>
      </w:r>
    </w:p>
    <w:p w14:paraId="690DAF8D" w14:textId="05C3DC18" w:rsidR="00FC0494" w:rsidRPr="000B75E4" w:rsidRDefault="00FC0494" w:rsidP="00D3206D">
      <w:pPr>
        <w:pStyle w:val="BulletMedicine"/>
      </w:pPr>
      <w:r w:rsidRPr="000B75E4">
        <w:t>Levothyroxine, oral</w:t>
      </w:r>
      <w:r w:rsidR="009E1FD2">
        <w:fldChar w:fldCharType="begin"/>
      </w:r>
      <w:r w:rsidR="009E1FD2">
        <w:instrText xml:space="preserve"> XE "</w:instrText>
      </w:r>
      <w:r w:rsidR="009E1FD2" w:rsidRPr="00293B76">
        <w:instrText>Levothyroxine, oral</w:instrText>
      </w:r>
      <w:r w:rsidR="009E1FD2">
        <w:instrText>"</w:instrText>
      </w:r>
      <w:r w:rsidR="001D0DFE">
        <w:instrText xml:space="preserve"> \f "m"</w:instrText>
      </w:r>
      <w:r w:rsidR="009E1FD2">
        <w:instrText xml:space="preserve"> </w:instrText>
      </w:r>
      <w:r w:rsidR="009E1FD2">
        <w:fldChar w:fldCharType="end"/>
      </w:r>
      <w:r w:rsidRPr="000B75E4">
        <w:t>, 100 mcg/m2 once daily, preferably on an empty stomach (Doctor initiated).</w:t>
      </w:r>
    </w:p>
    <w:p w14:paraId="292A8705" w14:textId="77777777" w:rsidR="00FC0494" w:rsidRPr="000B75E4" w:rsidRDefault="00FC0494" w:rsidP="005639B6">
      <w:pPr>
        <w:pStyle w:val="Heading5"/>
      </w:pPr>
      <w:r w:rsidRPr="000B75E4">
        <w:t>REFERRAL</w:t>
      </w:r>
    </w:p>
    <w:p w14:paraId="5F8A95F8" w14:textId="77777777" w:rsidR="00FC0494" w:rsidRPr="000B75E4" w:rsidRDefault="00FC0494" w:rsidP="005639B6">
      <w:pPr>
        <w:pStyle w:val="NoSpacing"/>
      </w:pPr>
      <w:r w:rsidRPr="000B75E4">
        <w:t>All cases for investigation and initiation of therapy.</w:t>
      </w:r>
    </w:p>
    <w:p w14:paraId="62A82C0D" w14:textId="77777777" w:rsidR="00FC0494" w:rsidRPr="000B75E4" w:rsidRDefault="00FC0494" w:rsidP="00FC0494">
      <w:pPr>
        <w:pStyle w:val="NoSpacing"/>
      </w:pPr>
    </w:p>
    <w:p w14:paraId="68AECA35" w14:textId="7E5A838B" w:rsidR="00FC0494" w:rsidRPr="00275896" w:rsidRDefault="00275896" w:rsidP="00275896">
      <w:pPr>
        <w:pStyle w:val="Heading3"/>
      </w:pPr>
      <w:bookmarkStart w:id="24" w:name="_Toc56695578"/>
      <w:r w:rsidRPr="00275896">
        <w:t>Hypothyroidism in adults</w:t>
      </w:r>
      <w:bookmarkEnd w:id="24"/>
      <w:r w:rsidR="001D0DFE">
        <w:fldChar w:fldCharType="begin"/>
      </w:r>
      <w:r w:rsidR="001D0DFE">
        <w:instrText xml:space="preserve"> XE "</w:instrText>
      </w:r>
      <w:r w:rsidR="001D0DFE" w:rsidRPr="00ED0C31">
        <w:instrText>Hypothyroidism in adults</w:instrText>
      </w:r>
      <w:r w:rsidR="001D0DFE">
        <w:instrText xml:space="preserve">" </w:instrText>
      </w:r>
      <w:r w:rsidR="001D0DFE" w:rsidRPr="001D0DFE">
        <w:instrText>\f “c”</w:instrText>
      </w:r>
      <w:r w:rsidR="001D0DFE">
        <w:fldChar w:fldCharType="end"/>
      </w:r>
    </w:p>
    <w:p w14:paraId="14904B24" w14:textId="77777777" w:rsidR="00FC0494" w:rsidRPr="000B75E4" w:rsidRDefault="00FC0494" w:rsidP="00D3206D">
      <w:pPr>
        <w:pStyle w:val="ICD10"/>
      </w:pPr>
      <w:r w:rsidRPr="000B75E4">
        <w:t>E03.0-5/E03.8-9</w:t>
      </w:r>
    </w:p>
    <w:p w14:paraId="45868AE0" w14:textId="77777777" w:rsidR="00FC0494" w:rsidRPr="000B75E4" w:rsidRDefault="00FC0494" w:rsidP="00D3206D">
      <w:pPr>
        <w:pStyle w:val="Heading5"/>
      </w:pPr>
      <w:r w:rsidRPr="000B75E4">
        <w:lastRenderedPageBreak/>
        <w:t>DESCRIPTION</w:t>
      </w:r>
    </w:p>
    <w:p w14:paraId="558A7E87" w14:textId="77777777" w:rsidR="00FC0494" w:rsidRPr="000B75E4" w:rsidRDefault="00FC0494" w:rsidP="00FC0494">
      <w:pPr>
        <w:pStyle w:val="NoSpacing"/>
      </w:pPr>
      <w:r w:rsidRPr="000B75E4">
        <w:t>Hypothyroidism causes general slowing of metabolism, which results in symptoms that include fatigue, slow movement and speech, hoarse voice, weight gain, constipation, cold intolerance, depression and impaired memory. Physical signs may include bradycardia, dry, coarse skin, hair loss and delayed relaxation of deep tendon reflexes.</w:t>
      </w:r>
    </w:p>
    <w:p w14:paraId="4AFEF57D" w14:textId="77777777" w:rsidR="00FC0494" w:rsidRPr="000B75E4" w:rsidRDefault="00FC0494" w:rsidP="00C358F7">
      <w:r w:rsidRPr="000B75E4">
        <w:t>Common causes of primary hypothyroidism are:</w:t>
      </w:r>
    </w:p>
    <w:tbl>
      <w:tblPr>
        <w:tblW w:w="0" w:type="auto"/>
        <w:tblLook w:val="04A0" w:firstRow="1" w:lastRow="0" w:firstColumn="1" w:lastColumn="0" w:noHBand="0" w:noVBand="1"/>
      </w:tblPr>
      <w:tblGrid>
        <w:gridCol w:w="3353"/>
        <w:gridCol w:w="3336"/>
      </w:tblGrid>
      <w:tr w:rsidR="00FC0494" w:rsidRPr="000B75E4" w14:paraId="526BDB42" w14:textId="77777777" w:rsidTr="007B5A6A">
        <w:tc>
          <w:tcPr>
            <w:tcW w:w="3453" w:type="dxa"/>
          </w:tcPr>
          <w:p w14:paraId="321C8DEF" w14:textId="77777777" w:rsidR="00FC0494" w:rsidRPr="000B75E4" w:rsidRDefault="00FC0494" w:rsidP="00C358F7">
            <w:pPr>
              <w:pStyle w:val="ListParagraph"/>
            </w:pPr>
            <w:r w:rsidRPr="000B75E4">
              <w:t>thyroiditis</w:t>
            </w:r>
          </w:p>
        </w:tc>
        <w:tc>
          <w:tcPr>
            <w:tcW w:w="3453" w:type="dxa"/>
          </w:tcPr>
          <w:p w14:paraId="0C7DD548" w14:textId="77777777" w:rsidR="00FC0494" w:rsidRPr="000B75E4" w:rsidRDefault="00FC0494" w:rsidP="00C358F7">
            <w:pPr>
              <w:pStyle w:val="ListParagraph"/>
            </w:pPr>
            <w:r w:rsidRPr="000B75E4">
              <w:t>post-surgery</w:t>
            </w:r>
          </w:p>
        </w:tc>
      </w:tr>
      <w:tr w:rsidR="00FC0494" w:rsidRPr="000B75E4" w14:paraId="3B530BA4" w14:textId="77777777" w:rsidTr="007B5A6A">
        <w:tc>
          <w:tcPr>
            <w:tcW w:w="3453" w:type="dxa"/>
          </w:tcPr>
          <w:p w14:paraId="0EC76459" w14:textId="77777777" w:rsidR="00FC0494" w:rsidRPr="000B75E4" w:rsidRDefault="00FC0494" w:rsidP="00C358F7">
            <w:pPr>
              <w:pStyle w:val="ListParagraph"/>
            </w:pPr>
            <w:r w:rsidRPr="000B75E4">
              <w:t>amiodarone</w:t>
            </w:r>
          </w:p>
        </w:tc>
        <w:tc>
          <w:tcPr>
            <w:tcW w:w="3453" w:type="dxa"/>
          </w:tcPr>
          <w:p w14:paraId="126156FE" w14:textId="77777777" w:rsidR="00FC0494" w:rsidRPr="000B75E4" w:rsidRDefault="00FC0494" w:rsidP="00C358F7">
            <w:pPr>
              <w:pStyle w:val="ListParagraph"/>
            </w:pPr>
            <w:r w:rsidRPr="000B75E4">
              <w:t>radio-active iodine</w:t>
            </w:r>
          </w:p>
        </w:tc>
      </w:tr>
    </w:tbl>
    <w:p w14:paraId="7BF26359" w14:textId="77777777" w:rsidR="00FC0494" w:rsidRPr="000B75E4" w:rsidRDefault="00FC0494" w:rsidP="00C358F7">
      <w:r w:rsidRPr="000B75E4">
        <w:t>Secondary hypothyroidism (&lt; 1% of cases) may be due to any cause of anterior hypopituitarism.</w:t>
      </w:r>
    </w:p>
    <w:p w14:paraId="7CC39F30" w14:textId="77777777" w:rsidR="00FC0494" w:rsidRPr="000B75E4" w:rsidRDefault="00FC0494" w:rsidP="00D3206D">
      <w:pPr>
        <w:pStyle w:val="Heading5"/>
      </w:pPr>
      <w:r w:rsidRPr="000B75E4">
        <w:t>DIAGNOSIS</w:t>
      </w:r>
    </w:p>
    <w:p w14:paraId="77BEE906" w14:textId="77777777" w:rsidR="00FC0494" w:rsidRPr="000B75E4" w:rsidRDefault="00FC0494" w:rsidP="00C358F7">
      <w:pPr>
        <w:pStyle w:val="ListParagraph"/>
      </w:pPr>
      <w:r w:rsidRPr="000B75E4">
        <w:t>Check TSH concentration. If elevated, check T4 concentration.</w:t>
      </w:r>
    </w:p>
    <w:p w14:paraId="71FE7D4B" w14:textId="77777777" w:rsidR="00FC0494" w:rsidRPr="000B75E4" w:rsidRDefault="00FC0494" w:rsidP="00C358F7">
      <w:pPr>
        <w:pStyle w:val="ListParagraph"/>
      </w:pPr>
      <w:r w:rsidRPr="000B75E4">
        <w:t>If TSH is elevated, and T4 is low, diagnose hypothyroidism.</w:t>
      </w:r>
    </w:p>
    <w:p w14:paraId="30027352" w14:textId="77777777" w:rsidR="00FC0494" w:rsidRPr="000B75E4" w:rsidRDefault="00FC0494" w:rsidP="00D3206D">
      <w:pPr>
        <w:pStyle w:val="Heading5"/>
      </w:pPr>
      <w:r w:rsidRPr="000B75E4">
        <w:t>MEDICINE TREATMENT</w:t>
      </w:r>
    </w:p>
    <w:p w14:paraId="690EE827" w14:textId="4D3BD5D6" w:rsidR="00FC0494" w:rsidRPr="000B75E4" w:rsidRDefault="00FC0494" w:rsidP="00C358F7">
      <w:pPr>
        <w:pStyle w:val="BulletMedicine"/>
      </w:pPr>
      <w:r w:rsidRPr="000B75E4">
        <w:t>Levothyroxine, oral</w:t>
      </w:r>
      <w:r w:rsidR="009E1FD2">
        <w:fldChar w:fldCharType="begin"/>
      </w:r>
      <w:r w:rsidR="009E1FD2">
        <w:instrText xml:space="preserve"> XE "</w:instrText>
      </w:r>
      <w:r w:rsidR="009E1FD2" w:rsidRPr="00293B76">
        <w:instrText>Levothyroxine, oral</w:instrText>
      </w:r>
      <w:r w:rsidR="009E1FD2">
        <w:instrText>"</w:instrText>
      </w:r>
      <w:r w:rsidR="001D0DFE">
        <w:instrText xml:space="preserve"> \f "m"</w:instrText>
      </w:r>
      <w:r w:rsidR="009E1FD2">
        <w:instrText xml:space="preserve"> </w:instrText>
      </w:r>
      <w:r w:rsidR="009E1FD2">
        <w:fldChar w:fldCharType="end"/>
      </w:r>
      <w:r w:rsidRPr="000B75E4">
        <w:t>, 100 mcg daily, preferably on an empty stomach.</w:t>
      </w:r>
    </w:p>
    <w:p w14:paraId="7BED186D" w14:textId="77777777" w:rsidR="00FC0494" w:rsidRPr="000B75E4" w:rsidRDefault="00FC0494" w:rsidP="00C358F7">
      <w:pPr>
        <w:pStyle w:val="BulletDirectionsInstructions"/>
      </w:pPr>
      <w:r w:rsidRPr="000B75E4">
        <w:t>If there is a risk of ischaemic heart disease, start at 25 mcg daily and increase by 25 mcg every 4 weeks.</w:t>
      </w:r>
    </w:p>
    <w:p w14:paraId="51CEFBE4" w14:textId="77777777" w:rsidR="00FC0494" w:rsidRPr="000B75E4" w:rsidRDefault="00FC0494" w:rsidP="00C358F7">
      <w:pPr>
        <w:pStyle w:val="BulletDirectionsInstructions"/>
      </w:pPr>
      <w:r w:rsidRPr="000B75E4">
        <w:t xml:space="preserve">In the elderly, start at 50 mcg daily, increased by 25 mcg at </w:t>
      </w:r>
      <w:proofErr w:type="gramStart"/>
      <w:r w:rsidRPr="000B75E4">
        <w:t>4 week</w:t>
      </w:r>
      <w:proofErr w:type="gramEnd"/>
      <w:r w:rsidRPr="000B75E4">
        <w:t xml:space="preserve"> intervals, according to response.</w:t>
      </w:r>
    </w:p>
    <w:p w14:paraId="0CA2420F" w14:textId="77777777" w:rsidR="00FC0494" w:rsidRPr="000B75E4" w:rsidRDefault="00FC0494" w:rsidP="00C358F7">
      <w:pPr>
        <w:pStyle w:val="BulletDirectionsInstructions"/>
      </w:pPr>
      <w:r w:rsidRPr="000B75E4">
        <w:t>Check TSH and T4 after 2–3 months and adjust dose if required.</w:t>
      </w:r>
    </w:p>
    <w:p w14:paraId="47CCDFF6" w14:textId="77777777" w:rsidR="00FC0494" w:rsidRPr="000B75E4" w:rsidRDefault="00FC0494" w:rsidP="00C358F7">
      <w:pPr>
        <w:pStyle w:val="BulletDirectionsInstructions"/>
      </w:pPr>
      <w:r w:rsidRPr="000B75E4">
        <w:t>Once stable, check TSH andT4 annually.</w:t>
      </w:r>
    </w:p>
    <w:p w14:paraId="60E2FCDF" w14:textId="77777777" w:rsidR="00FC0494" w:rsidRPr="000B75E4" w:rsidRDefault="00FC0494" w:rsidP="00D3206D">
      <w:pPr>
        <w:pStyle w:val="Heading5"/>
      </w:pPr>
      <w:r w:rsidRPr="000B75E4">
        <w:t>REFERRAL</w:t>
      </w:r>
    </w:p>
    <w:p w14:paraId="7F0BD126" w14:textId="77777777" w:rsidR="00FC0494" w:rsidRPr="000B75E4" w:rsidRDefault="00FC0494" w:rsidP="00C358F7">
      <w:pPr>
        <w:pStyle w:val="ListParagraph"/>
      </w:pPr>
      <w:r w:rsidRPr="000B75E4">
        <w:t>Suspected hypopituitarism.</w:t>
      </w:r>
    </w:p>
    <w:p w14:paraId="03638C5B" w14:textId="77777777" w:rsidR="00FC0494" w:rsidRPr="000B75E4" w:rsidRDefault="00FC0494" w:rsidP="00C358F7">
      <w:pPr>
        <w:pStyle w:val="ListParagraph"/>
      </w:pPr>
      <w:r w:rsidRPr="000B75E4">
        <w:t>Hypothyroidism in pregnancy.</w:t>
      </w:r>
    </w:p>
    <w:p w14:paraId="7577A068" w14:textId="180B19BC" w:rsidR="00FC0494" w:rsidRDefault="00FC0494" w:rsidP="00FC0494">
      <w:pPr>
        <w:pStyle w:val="NoSpacing"/>
      </w:pPr>
    </w:p>
    <w:p w14:paraId="539D18FD" w14:textId="77777777" w:rsidR="00C358F7" w:rsidRDefault="00C358F7" w:rsidP="00FC0494">
      <w:pPr>
        <w:pStyle w:val="NoSpacing"/>
      </w:pPr>
    </w:p>
    <w:p w14:paraId="55BC5F72" w14:textId="77777777" w:rsidR="00803159" w:rsidRPr="000B75E4" w:rsidRDefault="00803159" w:rsidP="00FC0494">
      <w:pPr>
        <w:pStyle w:val="NoSpacing"/>
      </w:pPr>
    </w:p>
    <w:p w14:paraId="0951B7EF" w14:textId="70E01DBB" w:rsidR="00FC0494" w:rsidRPr="00275896" w:rsidRDefault="00275896" w:rsidP="00275896">
      <w:pPr>
        <w:pStyle w:val="Heading2"/>
      </w:pPr>
      <w:bookmarkStart w:id="25" w:name="_Toc56695579"/>
      <w:r w:rsidRPr="00275896">
        <w:t>Hyperthyroidism</w:t>
      </w:r>
      <w:bookmarkEnd w:id="25"/>
      <w:r w:rsidR="001D0DFE">
        <w:fldChar w:fldCharType="begin"/>
      </w:r>
      <w:r w:rsidR="001D0DFE">
        <w:instrText xml:space="preserve"> XE "</w:instrText>
      </w:r>
      <w:r w:rsidR="001D0DFE" w:rsidRPr="00ED0C31">
        <w:instrText>Hyperthyroidism</w:instrText>
      </w:r>
      <w:r w:rsidR="001D0DFE">
        <w:instrText xml:space="preserve">" </w:instrText>
      </w:r>
      <w:r w:rsidR="001D0DFE" w:rsidRPr="001D0DFE">
        <w:instrText>\f “c”</w:instrText>
      </w:r>
      <w:r w:rsidR="001D0DFE">
        <w:fldChar w:fldCharType="end"/>
      </w:r>
    </w:p>
    <w:p w14:paraId="1F0A12EF" w14:textId="77777777" w:rsidR="00FC0494" w:rsidRPr="000B75E4" w:rsidRDefault="00FC0494" w:rsidP="002F65A6">
      <w:pPr>
        <w:pStyle w:val="NoSpacing"/>
        <w:keepNext/>
      </w:pPr>
    </w:p>
    <w:p w14:paraId="60851CC2" w14:textId="0C68D019" w:rsidR="00FC0494" w:rsidRPr="00275896" w:rsidRDefault="00275896" w:rsidP="00275896">
      <w:pPr>
        <w:pStyle w:val="Heading3"/>
      </w:pPr>
      <w:bookmarkStart w:id="26" w:name="_Toc56695580"/>
      <w:r w:rsidRPr="00275896">
        <w:t>Hyperthyroidism in children and adolescents</w:t>
      </w:r>
      <w:bookmarkEnd w:id="26"/>
      <w:r w:rsidR="001D0DFE">
        <w:fldChar w:fldCharType="begin"/>
      </w:r>
      <w:r w:rsidR="001D0DFE">
        <w:instrText xml:space="preserve"> XE "</w:instrText>
      </w:r>
      <w:r w:rsidR="001D0DFE" w:rsidRPr="00ED0C31">
        <w:instrText>Hyperthyroidism in children and adolescents</w:instrText>
      </w:r>
      <w:r w:rsidR="001D0DFE">
        <w:instrText xml:space="preserve">" </w:instrText>
      </w:r>
      <w:r w:rsidR="001D0DFE" w:rsidRPr="001D0DFE">
        <w:instrText>\f “c”</w:instrText>
      </w:r>
      <w:r w:rsidR="001D0DFE">
        <w:fldChar w:fldCharType="end"/>
      </w:r>
    </w:p>
    <w:p w14:paraId="6DAD38AF" w14:textId="77777777" w:rsidR="00FC0494" w:rsidRPr="000B75E4" w:rsidRDefault="00FC0494" w:rsidP="00C358F7">
      <w:pPr>
        <w:pStyle w:val="ICD10"/>
      </w:pPr>
      <w:r w:rsidRPr="000B75E4">
        <w:t>E05.0-5/E05.8-9</w:t>
      </w:r>
    </w:p>
    <w:p w14:paraId="0DF22264" w14:textId="77777777" w:rsidR="00FC0494" w:rsidRPr="000B75E4" w:rsidRDefault="00FC0494" w:rsidP="00502EAD">
      <w:pPr>
        <w:pStyle w:val="Heading5"/>
      </w:pPr>
      <w:r w:rsidRPr="000B75E4">
        <w:t>DESCRIPTION</w:t>
      </w:r>
    </w:p>
    <w:p w14:paraId="1D1E1485" w14:textId="77777777" w:rsidR="00FC0494" w:rsidRPr="000B75E4" w:rsidRDefault="00FC0494" w:rsidP="00FC0494">
      <w:pPr>
        <w:pStyle w:val="NoSpacing"/>
      </w:pPr>
      <w:r w:rsidRPr="000B75E4">
        <w:t>Hyperthyroidism is a pathological syndrome in which tissue is exposed to excessive amounts of circulating thyroid hormones. The most common cause is Grave’s disease, although thyroiditis may also present with thyrotoxicosis.</w:t>
      </w:r>
    </w:p>
    <w:p w14:paraId="26060304" w14:textId="77777777" w:rsidR="00FC0494" w:rsidRPr="000B75E4" w:rsidRDefault="00FC0494" w:rsidP="00502EAD">
      <w:pPr>
        <w:pStyle w:val="Heading5"/>
      </w:pPr>
      <w:r w:rsidRPr="000B75E4">
        <w:t>DIAGNOSIS</w:t>
      </w:r>
    </w:p>
    <w:p w14:paraId="4FAE7BFB" w14:textId="77777777" w:rsidR="00FC0494" w:rsidRPr="00502EAD" w:rsidRDefault="00FC0494" w:rsidP="00FC0494">
      <w:pPr>
        <w:pStyle w:val="NoSpacing"/>
        <w:rPr>
          <w:rStyle w:val="Strong"/>
        </w:rPr>
      </w:pPr>
      <w:r w:rsidRPr="00502EAD">
        <w:rPr>
          <w:rStyle w:val="Strong"/>
        </w:rPr>
        <w:t>Clinical</w:t>
      </w:r>
    </w:p>
    <w:tbl>
      <w:tblPr>
        <w:tblW w:w="0" w:type="auto"/>
        <w:tblLook w:val="04A0" w:firstRow="1" w:lastRow="0" w:firstColumn="1" w:lastColumn="0" w:noHBand="0" w:noVBand="1"/>
      </w:tblPr>
      <w:tblGrid>
        <w:gridCol w:w="3346"/>
        <w:gridCol w:w="3343"/>
      </w:tblGrid>
      <w:tr w:rsidR="00FC0494" w:rsidRPr="000B75E4" w14:paraId="3790BDFC" w14:textId="77777777" w:rsidTr="007B5A6A">
        <w:tc>
          <w:tcPr>
            <w:tcW w:w="3453" w:type="dxa"/>
          </w:tcPr>
          <w:p w14:paraId="73D7299E" w14:textId="77777777" w:rsidR="00FC0494" w:rsidRPr="000B75E4" w:rsidRDefault="00FC0494" w:rsidP="00502EAD">
            <w:pPr>
              <w:pStyle w:val="ListParagraph"/>
            </w:pPr>
            <w:r w:rsidRPr="000B75E4">
              <w:t>fatigue</w:t>
            </w:r>
          </w:p>
          <w:p w14:paraId="20647FA5" w14:textId="77777777" w:rsidR="00FC0494" w:rsidRPr="000B75E4" w:rsidRDefault="00FC0494" w:rsidP="00502EAD">
            <w:pPr>
              <w:pStyle w:val="ListParagraph"/>
            </w:pPr>
            <w:r w:rsidRPr="000B75E4">
              <w:lastRenderedPageBreak/>
              <w:t>nervousness or anxiety</w:t>
            </w:r>
          </w:p>
          <w:p w14:paraId="4A81B07C" w14:textId="77777777" w:rsidR="00FC0494" w:rsidRPr="000B75E4" w:rsidRDefault="00FC0494" w:rsidP="00502EAD">
            <w:pPr>
              <w:pStyle w:val="ListParagraph"/>
            </w:pPr>
            <w:r w:rsidRPr="000B75E4">
              <w:t>weight loss</w:t>
            </w:r>
          </w:p>
          <w:p w14:paraId="6C5C7330" w14:textId="77777777" w:rsidR="00FC0494" w:rsidRPr="000B75E4" w:rsidRDefault="00FC0494" w:rsidP="00502EAD">
            <w:pPr>
              <w:pStyle w:val="ListParagraph"/>
            </w:pPr>
            <w:r w:rsidRPr="000B75E4">
              <w:t>palpitations</w:t>
            </w:r>
          </w:p>
          <w:p w14:paraId="31BBF917" w14:textId="77777777" w:rsidR="00FC0494" w:rsidRPr="000B75E4" w:rsidRDefault="00FC0494" w:rsidP="00502EAD">
            <w:pPr>
              <w:pStyle w:val="ListParagraph"/>
            </w:pPr>
            <w:r w:rsidRPr="000B75E4">
              <w:t>heat insensitivity</w:t>
            </w:r>
          </w:p>
        </w:tc>
        <w:tc>
          <w:tcPr>
            <w:tcW w:w="3453" w:type="dxa"/>
          </w:tcPr>
          <w:p w14:paraId="134FBC8D" w14:textId="77777777" w:rsidR="00FC0494" w:rsidRPr="000B75E4" w:rsidRDefault="00FC0494" w:rsidP="00502EAD">
            <w:pPr>
              <w:pStyle w:val="ListParagraph"/>
            </w:pPr>
            <w:r w:rsidRPr="000B75E4">
              <w:lastRenderedPageBreak/>
              <w:t>tachycardia</w:t>
            </w:r>
          </w:p>
          <w:p w14:paraId="750134DA" w14:textId="77777777" w:rsidR="00FC0494" w:rsidRPr="000B75E4" w:rsidRDefault="00FC0494" w:rsidP="00502EAD">
            <w:pPr>
              <w:pStyle w:val="ListParagraph"/>
            </w:pPr>
            <w:r w:rsidRPr="000B75E4">
              <w:lastRenderedPageBreak/>
              <w:t>warm moist hands</w:t>
            </w:r>
          </w:p>
          <w:p w14:paraId="4A5581E9" w14:textId="77777777" w:rsidR="00FC0494" w:rsidRPr="000B75E4" w:rsidRDefault="00FC0494" w:rsidP="00502EAD">
            <w:pPr>
              <w:pStyle w:val="ListParagraph"/>
            </w:pPr>
            <w:r w:rsidRPr="000B75E4">
              <w:t>thyromegaly</w:t>
            </w:r>
          </w:p>
          <w:p w14:paraId="4F7ADD83" w14:textId="1F5904E9" w:rsidR="00FC0494" w:rsidRPr="000B75E4" w:rsidRDefault="00FC0494" w:rsidP="00502EAD">
            <w:pPr>
              <w:pStyle w:val="ListParagraph"/>
            </w:pPr>
            <w:r w:rsidRPr="000B75E4">
              <w:t>tremor</w:t>
            </w:r>
          </w:p>
        </w:tc>
      </w:tr>
    </w:tbl>
    <w:p w14:paraId="7FEE6AA4" w14:textId="77777777" w:rsidR="00FC0494" w:rsidRPr="000B75E4" w:rsidRDefault="00FC0494" w:rsidP="00502EAD">
      <w:pPr>
        <w:pStyle w:val="Heading5"/>
      </w:pPr>
      <w:r w:rsidRPr="000B75E4">
        <w:lastRenderedPageBreak/>
        <w:t>REFERRAL</w:t>
      </w:r>
    </w:p>
    <w:p w14:paraId="787E104F" w14:textId="77777777" w:rsidR="00FC0494" w:rsidRPr="00502EAD" w:rsidRDefault="00FC0494" w:rsidP="00FC0494">
      <w:pPr>
        <w:pStyle w:val="NoSpacing"/>
        <w:rPr>
          <w:rStyle w:val="Strong"/>
        </w:rPr>
      </w:pPr>
      <w:r w:rsidRPr="00502EAD">
        <w:rPr>
          <w:rStyle w:val="Strong"/>
        </w:rPr>
        <w:t>Urgent</w:t>
      </w:r>
    </w:p>
    <w:p w14:paraId="174494EC" w14:textId="77777777" w:rsidR="00FC0494" w:rsidRPr="000B75E4" w:rsidRDefault="00FC0494" w:rsidP="00FC0494">
      <w:pPr>
        <w:pStyle w:val="NoSpacing"/>
      </w:pPr>
      <w:r w:rsidRPr="000B75E4">
        <w:t>All patients.</w:t>
      </w:r>
    </w:p>
    <w:p w14:paraId="3D11DCB4" w14:textId="77777777" w:rsidR="00FC0494" w:rsidRPr="000B75E4" w:rsidRDefault="00FC0494" w:rsidP="00FC0494">
      <w:pPr>
        <w:pStyle w:val="NoSpacing"/>
      </w:pPr>
    </w:p>
    <w:p w14:paraId="714CBD5B" w14:textId="7DD63F4F" w:rsidR="00FC0494" w:rsidRPr="00275896" w:rsidRDefault="00275896" w:rsidP="00275896">
      <w:pPr>
        <w:pStyle w:val="Heading3"/>
      </w:pPr>
      <w:bookmarkStart w:id="27" w:name="_Toc56695581"/>
      <w:r w:rsidRPr="00275896">
        <w:t>Hyperthyroidism in adults</w:t>
      </w:r>
      <w:bookmarkEnd w:id="27"/>
      <w:r w:rsidR="001D0DFE">
        <w:fldChar w:fldCharType="begin"/>
      </w:r>
      <w:r w:rsidR="001D0DFE">
        <w:instrText xml:space="preserve"> XE "</w:instrText>
      </w:r>
      <w:r w:rsidR="001D0DFE" w:rsidRPr="00ED0C31">
        <w:instrText>Hyperthyroidism in adults</w:instrText>
      </w:r>
      <w:r w:rsidR="001D0DFE">
        <w:instrText xml:space="preserve">" </w:instrText>
      </w:r>
      <w:r w:rsidR="001D0DFE" w:rsidRPr="001D0DFE">
        <w:instrText>\f “c”</w:instrText>
      </w:r>
      <w:r w:rsidR="001D0DFE">
        <w:fldChar w:fldCharType="end"/>
      </w:r>
    </w:p>
    <w:p w14:paraId="28092F57" w14:textId="77777777" w:rsidR="00FC0494" w:rsidRPr="000B75E4" w:rsidRDefault="00FC0494" w:rsidP="00502EAD">
      <w:pPr>
        <w:pStyle w:val="ICD10"/>
      </w:pPr>
      <w:r w:rsidRPr="000B75E4">
        <w:t>E05.0-5/E05.8-9</w:t>
      </w:r>
    </w:p>
    <w:p w14:paraId="11431A8F" w14:textId="77777777" w:rsidR="00FC0494" w:rsidRPr="000B75E4" w:rsidRDefault="00FC0494" w:rsidP="00502EAD">
      <w:pPr>
        <w:pStyle w:val="Heading5"/>
      </w:pPr>
      <w:r w:rsidRPr="000B75E4">
        <w:t>DESCRIPTION</w:t>
      </w:r>
    </w:p>
    <w:p w14:paraId="565E8C88" w14:textId="77777777" w:rsidR="00FC0494" w:rsidRPr="000B75E4" w:rsidRDefault="00FC0494" w:rsidP="00FC0494">
      <w:pPr>
        <w:pStyle w:val="NoSpacing"/>
      </w:pPr>
      <w:r w:rsidRPr="000B75E4">
        <w:t>Most common cause of hyperthyroidism is Graves’ disease, which is an autoimmune condition resulting from the presence of thyroid stimulating autoantibodies. Other common causes are toxic single or multinodular goitre and sub-acute thyroiditis.</w:t>
      </w:r>
    </w:p>
    <w:p w14:paraId="76F2B883" w14:textId="77777777" w:rsidR="00FC0494" w:rsidRPr="000B75E4" w:rsidRDefault="00FC0494" w:rsidP="00502EAD">
      <w:pPr>
        <w:pStyle w:val="Heading5"/>
      </w:pPr>
      <w:r w:rsidRPr="000B75E4">
        <w:t>DIAGNOSIS</w:t>
      </w:r>
    </w:p>
    <w:p w14:paraId="589D7213" w14:textId="77777777" w:rsidR="00FC0494" w:rsidRPr="000B75E4" w:rsidRDefault="00FC0494" w:rsidP="00FC0494">
      <w:pPr>
        <w:pStyle w:val="NoSpacing"/>
      </w:pPr>
      <w:r w:rsidRPr="000B75E4">
        <w:t>Suppressed TSH and elevated T4.</w:t>
      </w:r>
    </w:p>
    <w:p w14:paraId="2B2E1FBD" w14:textId="77777777" w:rsidR="00FC0494" w:rsidRPr="000B75E4" w:rsidRDefault="00FC0494" w:rsidP="00FC0494">
      <w:pPr>
        <w:pStyle w:val="NoSpacing"/>
      </w:pPr>
      <w:r w:rsidRPr="005D3399">
        <w:rPr>
          <w:rStyle w:val="Strong"/>
        </w:rPr>
        <w:t>Note:</w:t>
      </w:r>
      <w:r w:rsidRPr="000B75E4">
        <w:t xml:space="preserve"> T4 may be normal in hyperthyroidism.</w:t>
      </w:r>
    </w:p>
    <w:p w14:paraId="2B03EFAF" w14:textId="77777777" w:rsidR="00FC0494" w:rsidRPr="000B75E4" w:rsidRDefault="00FC0494" w:rsidP="00502EAD">
      <w:pPr>
        <w:pStyle w:val="Heading5"/>
      </w:pPr>
      <w:r w:rsidRPr="000B75E4">
        <w:t>REFERRAL</w:t>
      </w:r>
    </w:p>
    <w:p w14:paraId="510EC36C" w14:textId="77777777" w:rsidR="00FC0494" w:rsidRPr="005D3399" w:rsidRDefault="00FC0494" w:rsidP="00FC0494">
      <w:pPr>
        <w:pStyle w:val="NoSpacing"/>
        <w:rPr>
          <w:rStyle w:val="Strong"/>
        </w:rPr>
      </w:pPr>
      <w:r w:rsidRPr="005D3399">
        <w:rPr>
          <w:rStyle w:val="Strong"/>
        </w:rPr>
        <w:t>Urgent</w:t>
      </w:r>
    </w:p>
    <w:p w14:paraId="3E6BDE93" w14:textId="77777777" w:rsidR="00FC0494" w:rsidRPr="000B75E4" w:rsidRDefault="00FC0494" w:rsidP="00FC0494">
      <w:pPr>
        <w:pStyle w:val="NoSpacing"/>
      </w:pPr>
      <w:r w:rsidRPr="000B75E4">
        <w:t>All patients.</w:t>
      </w:r>
    </w:p>
    <w:bookmarkEnd w:id="1"/>
    <w:bookmarkEnd w:id="2"/>
    <w:p w14:paraId="2C02073C" w14:textId="2A7C509F" w:rsidR="007625F8" w:rsidRDefault="007625F8">
      <w:pPr>
        <w:spacing w:before="0" w:after="0"/>
      </w:pPr>
      <w:r>
        <w:br w:type="page"/>
      </w:r>
    </w:p>
    <w:p w14:paraId="7E2DABEA" w14:textId="77777777" w:rsidR="006C26B1" w:rsidRDefault="006C26B1" w:rsidP="005432EB">
      <w:pPr>
        <w:spacing w:before="0" w:after="0"/>
      </w:pPr>
    </w:p>
    <w:sectPr w:rsidR="006C26B1" w:rsidSect="003926CD">
      <w:headerReference w:type="default" r:id="rId8"/>
      <w:footerReference w:type="default" r:id="rId9"/>
      <w:headerReference w:type="first" r:id="rId10"/>
      <w:footerReference w:type="first" r:id="rId11"/>
      <w:endnotePr>
        <w:numFmt w:val="decimal"/>
      </w:endnotePr>
      <w:type w:val="continuous"/>
      <w:pgSz w:w="8391" w:h="11906" w:code="11"/>
      <w:pgMar w:top="851" w:right="851" w:bottom="851" w:left="851" w:header="709" w:footer="709"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C16B" w14:textId="77777777" w:rsidR="00034292" w:rsidRPr="006C0A38" w:rsidRDefault="00034292" w:rsidP="00AD1B9A">
      <w:pPr>
        <w:rPr>
          <w:b/>
          <w:bCs/>
          <w:sz w:val="12"/>
          <w:szCs w:val="12"/>
          <w:lang w:val="en-ZA"/>
        </w:rPr>
      </w:pPr>
      <w:r w:rsidRPr="006C0A38">
        <w:rPr>
          <w:b/>
          <w:bCs/>
          <w:sz w:val="12"/>
          <w:szCs w:val="12"/>
          <w:lang w:val="en-ZA"/>
        </w:rPr>
        <w:t>References:</w:t>
      </w:r>
    </w:p>
  </w:endnote>
  <w:endnote w:type="continuationSeparator" w:id="0">
    <w:p w14:paraId="6B822985" w14:textId="77777777" w:rsidR="00034292" w:rsidRPr="006C0A38" w:rsidRDefault="00034292" w:rsidP="006C0A38">
      <w:pPr>
        <w:pStyle w:val="Footer"/>
        <w:pBdr>
          <w:top w:val="none" w:sz="0" w:space="0" w:color="auto"/>
        </w:pBdr>
        <w:rPr>
          <w:sz w:val="12"/>
          <w:szCs w:val="12"/>
        </w:rPr>
      </w:pPr>
    </w:p>
  </w:endnote>
  <w:endnote w:type="continuationNotice" w:id="1">
    <w:p w14:paraId="709AB5CE" w14:textId="77777777" w:rsidR="00034292" w:rsidRPr="006C0A38" w:rsidRDefault="00034292">
      <w:pPr>
        <w:spacing w:before="0" w:after="0"/>
        <w:rPr>
          <w:sz w:val="12"/>
          <w:szCs w:val="12"/>
        </w:rPr>
      </w:pPr>
    </w:p>
  </w:endnote>
  <w:endnote w:id="2">
    <w:p w14:paraId="430F3731" w14:textId="7C1FFBF5" w:rsidR="00B91F65" w:rsidRPr="006C28D7" w:rsidRDefault="00B91F65" w:rsidP="006C28D7">
      <w:pPr>
        <w:pStyle w:val="EndnoteText"/>
      </w:pPr>
      <w:r w:rsidRPr="006C28D7">
        <w:rPr>
          <w:rStyle w:val="EndnoteReference"/>
        </w:rPr>
        <w:endnoteRef/>
      </w:r>
      <w:r w:rsidRPr="006C28D7">
        <w:tab/>
        <w:t>Diagnosis of diabetes mellitus: The Society for Endocrinology, Metabolism and Diabetes of South Africa Type 2 Diabetes Guidelines Expert Committee. The 2017 SEMDSA Guideline for the Management of Type 2 Diabetes Guideline Committee. JEMDSA 2017; 21(</w:t>
      </w:r>
      <w:proofErr w:type="gramStart"/>
      <w:r w:rsidRPr="006C28D7">
        <w:t>1)(</w:t>
      </w:r>
      <w:proofErr w:type="gramEnd"/>
      <w:r w:rsidRPr="006C28D7">
        <w:t xml:space="preserve">Supplement 1): S1-S196. </w:t>
      </w:r>
      <w:hyperlink r:id="rId1" w:history="1">
        <w:r w:rsidR="00A4370F" w:rsidRPr="001876FD">
          <w:rPr>
            <w:rStyle w:val="Hyperlink"/>
          </w:rPr>
          <w:t>http://www.jemdsa.co.za/index.php/JEMDSA/article/view/647/937</w:t>
        </w:r>
      </w:hyperlink>
      <w:r w:rsidR="00A4370F">
        <w:rPr>
          <w:rStyle w:val="Strong"/>
          <w:b w:val="0"/>
          <w:bCs w:val="0"/>
        </w:rPr>
        <w:t xml:space="preserve"> </w:t>
      </w:r>
      <w:r w:rsidRPr="006C28D7">
        <w:t xml:space="preserve"> </w:t>
      </w:r>
    </w:p>
  </w:endnote>
  <w:endnote w:id="3">
    <w:p w14:paraId="6D4C153A" w14:textId="2F0AE824" w:rsidR="00911B2B" w:rsidRPr="006C28D7" w:rsidRDefault="00911B2B" w:rsidP="006C28D7">
      <w:pPr>
        <w:pStyle w:val="EndnoteText"/>
      </w:pPr>
      <w:r w:rsidRPr="006C28D7">
        <w:rPr>
          <w:rStyle w:val="EndnoteReference"/>
        </w:rPr>
        <w:endnoteRef/>
      </w:r>
      <w:r w:rsidRPr="006C28D7">
        <w:tab/>
        <w:t>Diagnosis of diabetes mellitus: The Society for Endocrinology, Metabolism and Diabetes of South Africa Type 2 Diabetes Guidelines Expert Committee. The 2017 SEMDSA Guideline for the Management of Type 2 Diabetes Guideline Committee. JEMDSA 2017; 21(</w:t>
      </w:r>
      <w:proofErr w:type="gramStart"/>
      <w:r w:rsidRPr="006C28D7">
        <w:t>1)(</w:t>
      </w:r>
      <w:proofErr w:type="gramEnd"/>
      <w:r w:rsidRPr="006C28D7">
        <w:t xml:space="preserve">Supplement 1): S1-S196. </w:t>
      </w:r>
      <w:hyperlink r:id="rId2" w:history="1">
        <w:r w:rsidR="00A4370F" w:rsidRPr="001876FD">
          <w:rPr>
            <w:rStyle w:val="Hyperlink"/>
          </w:rPr>
          <w:t>http://www.jemdsa.co.za/index.php/JEMDSA/article/view/647/937</w:t>
        </w:r>
      </w:hyperlink>
      <w:r w:rsidR="00A4370F">
        <w:rPr>
          <w:rStyle w:val="Strong"/>
          <w:b w:val="0"/>
          <w:bCs w:val="0"/>
        </w:rPr>
        <w:t xml:space="preserve"> </w:t>
      </w:r>
      <w:r w:rsidR="000B2564">
        <w:rPr>
          <w:rStyle w:val="Strong"/>
          <w:b w:val="0"/>
          <w:bCs w:val="0"/>
        </w:rPr>
        <w:br/>
      </w:r>
      <w:hyperlink r:id="rId3" w:history="1">
        <w:r w:rsidR="00A4370F" w:rsidRPr="001876FD">
          <w:rPr>
            <w:rStyle w:val="Hyperlink"/>
          </w:rPr>
          <w:t>https://www.ncbi.nlm.nih.gov/pubmed/17536077</w:t>
        </w:r>
      </w:hyperlink>
      <w:r w:rsidR="00A4370F">
        <w:rPr>
          <w:rStyle w:val="Strong"/>
          <w:b w:val="0"/>
          <w:bCs w:val="0"/>
        </w:rPr>
        <w:t xml:space="preserve"> </w:t>
      </w:r>
      <w:r w:rsidRPr="006C28D7">
        <w:t xml:space="preserve"> </w:t>
      </w:r>
    </w:p>
  </w:endnote>
  <w:endnote w:id="4">
    <w:p w14:paraId="7888AF2A" w14:textId="33A7D2EA" w:rsidR="00857F45" w:rsidRPr="006C28D7" w:rsidRDefault="00857F45" w:rsidP="006C28D7">
      <w:pPr>
        <w:pStyle w:val="EndnoteText"/>
      </w:pPr>
      <w:r w:rsidRPr="006C28D7">
        <w:rPr>
          <w:rStyle w:val="EndnoteReference"/>
        </w:rPr>
        <w:endnoteRef/>
      </w:r>
      <w:r w:rsidRPr="006C28D7">
        <w:tab/>
        <w:t>Diagnosis of diabetes mellitus: The Society for Endocrinology, Metabolism and Diabetes of South Africa Type 2 Diabetes Guidelines Expert Committee. The 2017 SEMDSA Guideline for the Management of Type 2 Diabetes Guideline Committee. JEMDSA 2017; 21(</w:t>
      </w:r>
      <w:proofErr w:type="gramStart"/>
      <w:r w:rsidRPr="006C28D7">
        <w:t>1)(</w:t>
      </w:r>
      <w:proofErr w:type="gramEnd"/>
      <w:r w:rsidRPr="006C28D7">
        <w:t xml:space="preserve">Supplement 1): S1-S196. </w:t>
      </w:r>
      <w:hyperlink r:id="rId4" w:history="1">
        <w:r w:rsidR="000B2564" w:rsidRPr="001876FD">
          <w:rPr>
            <w:rStyle w:val="Hyperlink"/>
          </w:rPr>
          <w:t>http://www.jemdsa.co.za/index.php/JEMDSA/article/view/647/937</w:t>
        </w:r>
      </w:hyperlink>
      <w:r w:rsidR="000B2564">
        <w:rPr>
          <w:rStyle w:val="Strong"/>
          <w:b w:val="0"/>
          <w:bCs w:val="0"/>
        </w:rPr>
        <w:t xml:space="preserve"> </w:t>
      </w:r>
    </w:p>
  </w:endnote>
  <w:endnote w:id="5">
    <w:p w14:paraId="5AAB5703" w14:textId="78880112" w:rsidR="00FC0494" w:rsidRPr="006C28D7" w:rsidRDefault="00FC0494" w:rsidP="006C28D7">
      <w:pPr>
        <w:pStyle w:val="EndnoteText"/>
      </w:pPr>
      <w:r w:rsidRPr="006C28D7">
        <w:rPr>
          <w:rStyle w:val="EndnoteReference"/>
        </w:rPr>
        <w:endnoteRef/>
      </w:r>
      <w:r w:rsidRPr="006C28D7">
        <w:tab/>
        <w:t>Diet recommendations (diabetes mellitus): Evert AB, Boucher JL, Cypress M, Dunbar SA, Franz MJ, Mayer-Davis EJ,</w:t>
      </w:r>
      <w:r w:rsidR="002A78C6">
        <w:t xml:space="preserve"> </w:t>
      </w:r>
      <w:r w:rsidRPr="006C28D7">
        <w:t xml:space="preserve">Neumiller JJ, Nwankwo R, Verdi CL, Urbanski P, Yancy WS Jr. Nutrition therapy recommendations for the management of adults with diabetes. Diabetes Care. 2014 Jan;37 </w:t>
      </w:r>
      <w:proofErr w:type="spellStart"/>
      <w:r w:rsidRPr="006C28D7">
        <w:t>Suppl</w:t>
      </w:r>
      <w:proofErr w:type="spellEnd"/>
      <w:r w:rsidRPr="006C28D7">
        <w:t xml:space="preserve"> </w:t>
      </w:r>
      <w:proofErr w:type="gramStart"/>
      <w:r w:rsidRPr="006C28D7">
        <w:t>1:S</w:t>
      </w:r>
      <w:proofErr w:type="gramEnd"/>
      <w:r w:rsidRPr="006C28D7">
        <w:t xml:space="preserve">120-43. </w:t>
      </w:r>
      <w:hyperlink r:id="rId5" w:history="1">
        <w:r w:rsidR="000B2564" w:rsidRPr="001876FD">
          <w:rPr>
            <w:rStyle w:val="Hyperlink"/>
          </w:rPr>
          <w:t>https://www.ncbi.nlm.nih.gov/pubmed/24357208</w:t>
        </w:r>
      </w:hyperlink>
      <w:r w:rsidR="000B2564">
        <w:rPr>
          <w:rStyle w:val="Strong"/>
          <w:b w:val="0"/>
          <w:bCs w:val="0"/>
        </w:rPr>
        <w:t xml:space="preserve"> </w:t>
      </w:r>
    </w:p>
    <w:p w14:paraId="7A35E980" w14:textId="28F0A99E" w:rsidR="00FC0494" w:rsidRPr="006C28D7" w:rsidRDefault="00FC0494" w:rsidP="006C28D7">
      <w:pPr>
        <w:pStyle w:val="EndnoteText"/>
      </w:pPr>
      <w:r w:rsidRPr="006C28D7">
        <w:tab/>
        <w:t>Diet recommendations (diabetes mellitus): The Society for Endocrinology, Metabolism and Diabetes of South Africa Type 2 Diabetes Guidelines Expert Committee. The 2017 SEMDSA Guideline for the Management of Type 2 Diabetes Guideline Committee. JEMDSA 2017; 21(</w:t>
      </w:r>
      <w:proofErr w:type="gramStart"/>
      <w:r w:rsidRPr="006C28D7">
        <w:t>1)(</w:t>
      </w:r>
      <w:proofErr w:type="gramEnd"/>
      <w:r w:rsidRPr="006C28D7">
        <w:t xml:space="preserve">Supplement 1): S1-S196. </w:t>
      </w:r>
      <w:hyperlink r:id="rId6" w:history="1">
        <w:r w:rsidR="00E50E31" w:rsidRPr="001876FD">
          <w:rPr>
            <w:rStyle w:val="Hyperlink"/>
          </w:rPr>
          <w:t>http://www.jemdsa.co.za/index.php/JEMDSA/article/view/647/937</w:t>
        </w:r>
      </w:hyperlink>
      <w:r w:rsidR="00E50E31">
        <w:rPr>
          <w:rStyle w:val="Strong"/>
          <w:b w:val="0"/>
          <w:bCs w:val="0"/>
        </w:rPr>
        <w:t xml:space="preserve"> </w:t>
      </w:r>
    </w:p>
  </w:endnote>
  <w:endnote w:id="6">
    <w:p w14:paraId="6CDC2760" w14:textId="6367E2AA" w:rsidR="00FC0494" w:rsidRPr="006C28D7" w:rsidRDefault="00FC0494" w:rsidP="006C28D7">
      <w:pPr>
        <w:pStyle w:val="EndnoteText"/>
      </w:pPr>
      <w:r w:rsidRPr="006C28D7">
        <w:rPr>
          <w:rStyle w:val="EndnoteReference"/>
        </w:rPr>
        <w:endnoteRef/>
      </w:r>
      <w:r w:rsidRPr="006C28D7">
        <w:tab/>
        <w:t>Metformin (renal impairment): Canadian Diabetes Association Clinical Practice Guidelines Expert Committee.</w:t>
      </w:r>
      <w:r w:rsidR="003D5C74">
        <w:t xml:space="preserve"> </w:t>
      </w:r>
      <w:r w:rsidRPr="006C28D7">
        <w:t>Canadian Diabetes Association 2013 Clinical Practice Guidelines for the Prevention and Management of Diabetes</w:t>
      </w:r>
      <w:r w:rsidR="003D5C74">
        <w:t xml:space="preserve"> </w:t>
      </w:r>
      <w:r w:rsidRPr="006C28D7">
        <w:t>in Canada. Can J Diabetes 2013;37(</w:t>
      </w:r>
      <w:proofErr w:type="spellStart"/>
      <w:r w:rsidRPr="006C28D7">
        <w:t>suppl</w:t>
      </w:r>
      <w:proofErr w:type="spellEnd"/>
      <w:r w:rsidRPr="006C28D7">
        <w:t xml:space="preserve"> 1</w:t>
      </w:r>
      <w:proofErr w:type="gramStart"/>
      <w:r w:rsidRPr="006C28D7">
        <w:t>):S</w:t>
      </w:r>
      <w:proofErr w:type="gramEnd"/>
      <w:r w:rsidRPr="006C28D7">
        <w:t xml:space="preserve">1-S212. </w:t>
      </w:r>
      <w:hyperlink r:id="rId7" w:history="1">
        <w:r w:rsidR="003D5C74" w:rsidRPr="001876FD">
          <w:rPr>
            <w:rStyle w:val="Hyperlink"/>
          </w:rPr>
          <w:t>http://guidelines.diabetes.ca/app_themes/cdacpg/resources/cpg_2013_full_en.pdf</w:t>
        </w:r>
      </w:hyperlink>
      <w:r w:rsidR="003D5C74">
        <w:rPr>
          <w:rStyle w:val="Strong"/>
          <w:b w:val="0"/>
          <w:bCs w:val="0"/>
        </w:rPr>
        <w:t xml:space="preserve"> </w:t>
      </w:r>
    </w:p>
    <w:p w14:paraId="54DF8A1B" w14:textId="688760C8" w:rsidR="00FC0494" w:rsidRPr="006C28D7" w:rsidRDefault="00FC0494" w:rsidP="006C28D7">
      <w:pPr>
        <w:pStyle w:val="EndnoteText"/>
      </w:pPr>
      <w:r w:rsidRPr="006C28D7">
        <w:tab/>
        <w:t xml:space="preserve">Metformin (renal impairment): The National Institute for Health and Care Excellence. Type 2 diabetes in adults: management Clinical Guideline, 2 December 2015. </w:t>
      </w:r>
      <w:hyperlink r:id="rId8" w:history="1">
        <w:r w:rsidR="002A78C6" w:rsidRPr="001876FD">
          <w:rPr>
            <w:rStyle w:val="Hyperlink"/>
          </w:rPr>
          <w:t>https://www.nice.org.uk/guidance/ng28</w:t>
        </w:r>
      </w:hyperlink>
      <w:r w:rsidR="002A78C6">
        <w:rPr>
          <w:rStyle w:val="Strong"/>
          <w:b w:val="0"/>
          <w:bCs w:val="0"/>
        </w:rPr>
        <w:t xml:space="preserve"> </w:t>
      </w:r>
      <w:r w:rsidRPr="006C28D7">
        <w:t xml:space="preserve"> </w:t>
      </w:r>
    </w:p>
    <w:p w14:paraId="159DB21E" w14:textId="126BA0B8" w:rsidR="00FC0494" w:rsidRPr="006C28D7" w:rsidRDefault="00FC0494" w:rsidP="006C28D7">
      <w:pPr>
        <w:pStyle w:val="EndnoteText"/>
      </w:pPr>
      <w:r w:rsidRPr="006C28D7">
        <w:tab/>
        <w:t>Metformin (renal impairment): Aronoff, Bennett et al. Drug Prescribing in Renal Failure: Dosing Guidelines for</w:t>
      </w:r>
      <w:r w:rsidR="002A78C6">
        <w:t xml:space="preserve"> </w:t>
      </w:r>
      <w:r w:rsidRPr="006C28D7">
        <w:t xml:space="preserve">Adults and Children, 5th Edition. American College of </w:t>
      </w:r>
      <w:proofErr w:type="spellStart"/>
      <w:r w:rsidRPr="006C28D7">
        <w:t>Physicians.United</w:t>
      </w:r>
      <w:proofErr w:type="spellEnd"/>
      <w:r w:rsidRPr="006C28D7">
        <w:t xml:space="preserve"> States of America, 2007.</w:t>
      </w:r>
    </w:p>
    <w:p w14:paraId="30CD62E0" w14:textId="5A35DCE1" w:rsidR="00FC0494" w:rsidRPr="006C28D7" w:rsidRDefault="00FC0494" w:rsidP="006C28D7">
      <w:pPr>
        <w:pStyle w:val="EndnoteText"/>
      </w:pPr>
      <w:r w:rsidRPr="006C28D7">
        <w:tab/>
        <w:t xml:space="preserve">Metformin (renal impairment): Lipska KJ, Bailey CJ, </w:t>
      </w:r>
      <w:proofErr w:type="spellStart"/>
      <w:r w:rsidRPr="006C28D7">
        <w:t>Inzucchi</w:t>
      </w:r>
      <w:proofErr w:type="spellEnd"/>
      <w:r w:rsidRPr="006C28D7">
        <w:t xml:space="preserve"> SE. Use of metformin in the setting of mild-to</w:t>
      </w:r>
      <w:r w:rsidR="007A63B8">
        <w:t xml:space="preserve"> </w:t>
      </w:r>
      <w:r w:rsidRPr="006C28D7">
        <w:t xml:space="preserve">moderate renal insufficiency. Diabetes Care. 2011 Jun;34(6):1431-7. </w:t>
      </w:r>
      <w:hyperlink r:id="rId9" w:history="1">
        <w:r w:rsidR="007A63B8" w:rsidRPr="001876FD">
          <w:rPr>
            <w:rStyle w:val="Hyperlink"/>
          </w:rPr>
          <w:t>http://www.ncbi.nlm.nih.gov/pubmed/21617112</w:t>
        </w:r>
      </w:hyperlink>
      <w:r w:rsidR="007A63B8">
        <w:rPr>
          <w:rStyle w:val="Strong"/>
          <w:b w:val="0"/>
          <w:bCs w:val="0"/>
        </w:rPr>
        <w:t xml:space="preserve"> </w:t>
      </w:r>
    </w:p>
    <w:p w14:paraId="52570237" w14:textId="53589AD7" w:rsidR="00FC0494" w:rsidRPr="006C28D7" w:rsidRDefault="00FC0494" w:rsidP="006C28D7">
      <w:pPr>
        <w:pStyle w:val="EndnoteText"/>
      </w:pPr>
      <w:r w:rsidRPr="006C28D7">
        <w:tab/>
        <w:t>Metformin (renal impairment): South African Medicines Formulary.  12th Edition.  Division of Clinical Pharmacology</w:t>
      </w:r>
      <w:r w:rsidR="003E736D">
        <w:t>.</w:t>
      </w:r>
      <w:r w:rsidR="007A63B8">
        <w:t xml:space="preserve"> </w:t>
      </w:r>
      <w:r w:rsidRPr="006C28D7">
        <w:t>University of Cape Town. 2016.</w:t>
      </w:r>
    </w:p>
  </w:endnote>
  <w:endnote w:id="7">
    <w:p w14:paraId="6EFCE5D3" w14:textId="77777777" w:rsidR="00FC0494" w:rsidRPr="006C28D7" w:rsidRDefault="00FC0494" w:rsidP="006C28D7">
      <w:pPr>
        <w:pStyle w:val="EndnoteText"/>
      </w:pPr>
      <w:r w:rsidRPr="002949CD">
        <w:rPr>
          <w:rStyle w:val="EndnoteReference"/>
        </w:rPr>
        <w:endnoteRef/>
      </w:r>
      <w:r w:rsidRPr="006C28D7">
        <w:tab/>
        <w:t>Glimepiride: South African Medicines Formulary.  12th Edition.  Division of Clinical Pharmacology. University of Cape Town. 2016.</w:t>
      </w:r>
    </w:p>
  </w:endnote>
  <w:endnote w:id="8">
    <w:p w14:paraId="7709B46E" w14:textId="6CC08B7A" w:rsidR="00FC0494" w:rsidRPr="006C28D7" w:rsidRDefault="00FC0494" w:rsidP="006C28D7">
      <w:pPr>
        <w:pStyle w:val="EndnoteText"/>
      </w:pPr>
      <w:r w:rsidRPr="002949CD">
        <w:rPr>
          <w:rStyle w:val="EndnoteReference"/>
        </w:rPr>
        <w:endnoteRef/>
      </w:r>
      <w:r w:rsidRPr="006C28D7">
        <w:tab/>
        <w:t xml:space="preserve">Insulin, SC (stop </w:t>
      </w:r>
      <w:proofErr w:type="spellStart"/>
      <w:r w:rsidRPr="006C28D7">
        <w:t>sulphonylureas</w:t>
      </w:r>
      <w:proofErr w:type="spellEnd"/>
      <w:r w:rsidRPr="006C28D7">
        <w:t xml:space="preserve">): </w:t>
      </w:r>
      <w:proofErr w:type="spellStart"/>
      <w:r w:rsidRPr="006C28D7">
        <w:t>Swinnen</w:t>
      </w:r>
      <w:proofErr w:type="spellEnd"/>
      <w:r w:rsidRPr="006C28D7">
        <w:t xml:space="preserve"> SG, Dain MP, Mauricio D, DeVries JH, Hoekstra JB, Holleman F. Continuation versus discontinuation of insulin secretagogues when initiating insulin in type 2 diabetes. Diabetes </w:t>
      </w:r>
      <w:proofErr w:type="spellStart"/>
      <w:r w:rsidRPr="006C28D7">
        <w:t>ObesMetab</w:t>
      </w:r>
      <w:proofErr w:type="spellEnd"/>
      <w:r w:rsidRPr="006C28D7">
        <w:t xml:space="preserve">. 2010 Oct;12(10):923-5. </w:t>
      </w:r>
      <w:hyperlink r:id="rId10" w:history="1">
        <w:r w:rsidR="003E736D" w:rsidRPr="001876FD">
          <w:rPr>
            <w:rStyle w:val="Hyperlink"/>
          </w:rPr>
          <w:t>http://www.ncbi.nlm.nih.gov/pubmed/20920046</w:t>
        </w:r>
      </w:hyperlink>
      <w:r w:rsidR="003E736D">
        <w:rPr>
          <w:rStyle w:val="Strong"/>
          <w:b w:val="0"/>
          <w:bCs w:val="0"/>
        </w:rPr>
        <w:t xml:space="preserve"> </w:t>
      </w:r>
    </w:p>
  </w:endnote>
  <w:endnote w:id="9">
    <w:p w14:paraId="36918ADE" w14:textId="2BF1817F" w:rsidR="00F94922" w:rsidRPr="006C28D7" w:rsidRDefault="00F94922" w:rsidP="006C28D7">
      <w:pPr>
        <w:pStyle w:val="EndnoteText"/>
      </w:pPr>
      <w:r w:rsidRPr="002949CD">
        <w:rPr>
          <w:rStyle w:val="EndnoteReference"/>
        </w:rPr>
        <w:endnoteRef/>
      </w:r>
      <w:r w:rsidRPr="006C28D7">
        <w:tab/>
        <w:t>Insulin, biphasic, SC (starting dose): The Society for Endocrinology, Metabolism and Diabetes of South Africa Type 2 Diabetes Guidelines Expert Committee. The 2017 SEMDSA Guideline for the Management of Type 2 Diabetes Guideline Committee. JEMDSA 2017; 21(</w:t>
      </w:r>
      <w:proofErr w:type="gramStart"/>
      <w:r w:rsidRPr="006C28D7">
        <w:t>1)(</w:t>
      </w:r>
      <w:proofErr w:type="gramEnd"/>
      <w:r w:rsidRPr="006C28D7">
        <w:t xml:space="preserve">Supplement 1): S1-S196. </w:t>
      </w:r>
      <w:hyperlink r:id="rId11" w:history="1">
        <w:r w:rsidR="003E736D" w:rsidRPr="001876FD">
          <w:rPr>
            <w:rStyle w:val="Hyperlink"/>
          </w:rPr>
          <w:t>http://www.jemdsa.co.za/index.php/JEMDSA/article/view/647/937</w:t>
        </w:r>
      </w:hyperlink>
      <w:r w:rsidR="003E736D">
        <w:rPr>
          <w:rStyle w:val="Strong"/>
          <w:b w:val="0"/>
          <w:bCs w:val="0"/>
        </w:rPr>
        <w:t xml:space="preserve"> </w:t>
      </w:r>
    </w:p>
  </w:endnote>
  <w:endnote w:id="10">
    <w:p w14:paraId="602C8825" w14:textId="2F4A9B3D" w:rsidR="005E5DF6" w:rsidRPr="006C28D7" w:rsidRDefault="005E5DF6" w:rsidP="006C28D7">
      <w:pPr>
        <w:pStyle w:val="EndnoteText"/>
      </w:pPr>
      <w:r w:rsidRPr="002949CD">
        <w:rPr>
          <w:rStyle w:val="EndnoteReference"/>
        </w:rPr>
        <w:endnoteRef/>
      </w:r>
      <w:r w:rsidRPr="006C28D7">
        <w:tab/>
        <w:t>Dextrose 10%</w:t>
      </w:r>
      <w:r w:rsidR="00A726FF">
        <w:t xml:space="preserve">, </w:t>
      </w:r>
      <w:proofErr w:type="spellStart"/>
      <w:proofErr w:type="gramStart"/>
      <w:r w:rsidRPr="006C28D7">
        <w:t>IV:Moore</w:t>
      </w:r>
      <w:proofErr w:type="spellEnd"/>
      <w:proofErr w:type="gramEnd"/>
      <w:r w:rsidRPr="006C28D7">
        <w:t xml:space="preserve"> C, Woollard M. Dextrose 10% or 50% in the treatment of hypoglycaemia out of hospital? A randomised controlled </w:t>
      </w:r>
      <w:proofErr w:type="spellStart"/>
      <w:proofErr w:type="gramStart"/>
      <w:r w:rsidRPr="006C28D7">
        <w:t>trial.Emerg</w:t>
      </w:r>
      <w:proofErr w:type="spellEnd"/>
      <w:proofErr w:type="gramEnd"/>
      <w:r w:rsidRPr="006C28D7">
        <w:t xml:space="preserve"> Med J. 2005 Jul;22(7):512-5.</w:t>
      </w:r>
      <w:r w:rsidR="003E736D">
        <w:t xml:space="preserve"> </w:t>
      </w:r>
      <w:hyperlink r:id="rId12" w:history="1">
        <w:r w:rsidR="00324AC4" w:rsidRPr="001876FD">
          <w:rPr>
            <w:rStyle w:val="Hyperlink"/>
          </w:rPr>
          <w:t>https://www.ncbi.nlm.nih.gov/pubmed/15983093</w:t>
        </w:r>
      </w:hyperlink>
      <w:r w:rsidR="00324AC4">
        <w:rPr>
          <w:rStyle w:val="Strong"/>
          <w:b w:val="0"/>
          <w:bCs w:val="0"/>
        </w:rPr>
        <w:t xml:space="preserve"> </w:t>
      </w:r>
    </w:p>
  </w:endnote>
  <w:endnote w:id="11">
    <w:p w14:paraId="2071026E" w14:textId="395CAEA3" w:rsidR="00FC0494" w:rsidRPr="006C28D7" w:rsidRDefault="00FC0494" w:rsidP="006C28D7">
      <w:pPr>
        <w:pStyle w:val="EndnoteText"/>
      </w:pPr>
      <w:r w:rsidRPr="002949CD">
        <w:rPr>
          <w:rStyle w:val="EndnoteReference"/>
        </w:rPr>
        <w:endnoteRef/>
      </w:r>
      <w:r w:rsidRPr="006C28D7">
        <w:tab/>
        <w:t>Albumin</w:t>
      </w:r>
      <w:r w:rsidR="008F7B36">
        <w:t>:</w:t>
      </w:r>
      <w:r w:rsidR="00324AC4">
        <w:t xml:space="preserve"> </w:t>
      </w:r>
      <w:r w:rsidRPr="006C28D7">
        <w:t>creatinine ratio (diabetic nephropathy): Kidney Disease: Improving Global Outcomes (KDIGO) CKD Work Group. KDIGO 2012 Clinical Practice Guideline for the Evaluation and Management of Chronic Kidney Disease.</w:t>
      </w:r>
      <w:r w:rsidR="008F7B36">
        <w:t xml:space="preserve"> </w:t>
      </w:r>
      <w:r w:rsidRPr="006C28D7">
        <w:t xml:space="preserve">Kidney inter., Suppl. 2013; 3: 1–150. </w:t>
      </w:r>
      <w:hyperlink r:id="rId13" w:history="1">
        <w:r w:rsidR="00535CC2" w:rsidRPr="005E0398">
          <w:rPr>
            <w:rStyle w:val="Hyperlink"/>
          </w:rPr>
          <w:t>https://kdigo.org/wp-content/uploads/2017/02/KDIGO_CKD_GL_Appendix_1_Jan_2013.pdf</w:t>
        </w:r>
      </w:hyperlink>
      <w:r w:rsidR="00535CC2">
        <w:t xml:space="preserve"> </w:t>
      </w:r>
    </w:p>
  </w:endnote>
  <w:endnote w:id="12">
    <w:p w14:paraId="0EFD354F" w14:textId="100E92B1" w:rsidR="00BB0293" w:rsidRPr="006C28D7" w:rsidRDefault="00BB0293" w:rsidP="006C28D7">
      <w:pPr>
        <w:pStyle w:val="EndnoteText"/>
      </w:pPr>
      <w:r w:rsidRPr="002949CD">
        <w:rPr>
          <w:rStyle w:val="EndnoteReference"/>
        </w:rPr>
        <w:endnoteRef/>
      </w:r>
      <w:r w:rsidRPr="006C28D7">
        <w:tab/>
        <w:t xml:space="preserve">ACE-inhibitor, oral: </w:t>
      </w:r>
      <w:proofErr w:type="spellStart"/>
      <w:r w:rsidRPr="006C28D7">
        <w:t>Lv</w:t>
      </w:r>
      <w:proofErr w:type="spellEnd"/>
      <w:r w:rsidRPr="006C28D7">
        <w:t xml:space="preserve"> J, Perkovic V, Foote CV, Craig ME, Craig JC, Strippoli GF. Antihypertensive agents for preventing diabetic kidney disease. Cochrane Database </w:t>
      </w:r>
      <w:proofErr w:type="spellStart"/>
      <w:r w:rsidRPr="006C28D7">
        <w:t>Syst</w:t>
      </w:r>
      <w:proofErr w:type="spellEnd"/>
      <w:r w:rsidRPr="006C28D7">
        <w:t xml:space="preserve"> Rev. 2012 Dec 12;12:CD004136. </w:t>
      </w:r>
      <w:hyperlink r:id="rId14" w:history="1">
        <w:r w:rsidR="008F7B36" w:rsidRPr="001876FD">
          <w:rPr>
            <w:rStyle w:val="Hyperlink"/>
          </w:rPr>
          <w:t>https://www.ncbi.nlm.nih.gov/pubmed/23235603</w:t>
        </w:r>
      </w:hyperlink>
      <w:r w:rsidR="008F7B36">
        <w:rPr>
          <w:rStyle w:val="Strong"/>
          <w:b w:val="0"/>
          <w:bCs w:val="0"/>
        </w:rPr>
        <w:t xml:space="preserve"> </w:t>
      </w:r>
    </w:p>
    <w:p w14:paraId="22F2D4EB" w14:textId="5C32485A" w:rsidR="00BB0293" w:rsidRPr="006C28D7" w:rsidRDefault="00BB0293" w:rsidP="006C28D7">
      <w:pPr>
        <w:pStyle w:val="EndnoteText"/>
      </w:pPr>
      <w:r w:rsidRPr="006C28D7">
        <w:tab/>
        <w:t>ACE-inhibitor, oral: South African Medicines Formulary.  12th Edition.  Division of Clinical Pharmacology. University of Cape Town. 2016.</w:t>
      </w:r>
    </w:p>
    <w:p w14:paraId="58DEFE35" w14:textId="05229CDA" w:rsidR="00BB0293" w:rsidRPr="006C28D7" w:rsidRDefault="00BB0293" w:rsidP="006C28D7">
      <w:pPr>
        <w:pStyle w:val="EndnoteText"/>
      </w:pPr>
      <w:r w:rsidRPr="006C28D7">
        <w:tab/>
        <w:t xml:space="preserve">ACE inhibitor, oral: National Department of Health, Essential Drugs Programme: Adult Hospital level STGs and EML, 2019. </w:t>
      </w:r>
      <w:hyperlink r:id="rId15" w:history="1">
        <w:r w:rsidR="008F7B36" w:rsidRPr="001876FD">
          <w:rPr>
            <w:rStyle w:val="Hyperlink"/>
          </w:rPr>
          <w:t>http://www.health.gov.za/</w:t>
        </w:r>
      </w:hyperlink>
      <w:r w:rsidR="008F7B36">
        <w:rPr>
          <w:rStyle w:val="Strong"/>
          <w:b w:val="0"/>
          <w:bCs w:val="0"/>
        </w:rPr>
        <w:t xml:space="preserve"> </w:t>
      </w:r>
    </w:p>
  </w:endnote>
  <w:endnote w:id="13">
    <w:p w14:paraId="7538D9F7" w14:textId="1A1E5CA8" w:rsidR="00FD2F3A" w:rsidRPr="006C28D7" w:rsidRDefault="00FD2F3A" w:rsidP="006C28D7">
      <w:pPr>
        <w:pStyle w:val="EndnoteText"/>
      </w:pPr>
      <w:r w:rsidRPr="002949CD">
        <w:rPr>
          <w:rStyle w:val="EndnoteReference"/>
        </w:rPr>
        <w:endnoteRef/>
      </w:r>
      <w:r w:rsidR="002949CD">
        <w:tab/>
      </w:r>
      <w:proofErr w:type="spellStart"/>
      <w:r w:rsidRPr="006C28D7">
        <w:t>HMGCoA</w:t>
      </w:r>
      <w:proofErr w:type="spellEnd"/>
      <w:r w:rsidRPr="006C28D7">
        <w:t xml:space="preserve"> reductase inhibitor (indications - CKD, albuminuria): Hou W, </w:t>
      </w:r>
      <w:proofErr w:type="spellStart"/>
      <w:r w:rsidRPr="006C28D7">
        <w:t>Lv</w:t>
      </w:r>
      <w:proofErr w:type="spellEnd"/>
      <w:r w:rsidRPr="006C28D7">
        <w:t xml:space="preserve"> J, Perkovic V, Yang L, Zhao N, Jardine MJ, Cass A, Zhang H, Wang H.  Effect of statin therapy on cardiovascular and renal outcomes in patients with chronic kidney disease: a systematic review and meta-analysis. </w:t>
      </w:r>
      <w:proofErr w:type="spellStart"/>
      <w:r w:rsidRPr="006C28D7">
        <w:t>Eur</w:t>
      </w:r>
      <w:proofErr w:type="spellEnd"/>
      <w:r w:rsidRPr="006C28D7">
        <w:t xml:space="preserve"> Heart J. 2013 Jun;34(24):1807-17. </w:t>
      </w:r>
      <w:hyperlink r:id="rId16" w:history="1">
        <w:r w:rsidR="005E2601" w:rsidRPr="001876FD">
          <w:rPr>
            <w:rStyle w:val="Hyperlink"/>
          </w:rPr>
          <w:t>https://www.ncbi.nlm.nih.gov/pubmed/23470492</w:t>
        </w:r>
      </w:hyperlink>
      <w:r w:rsidR="005E2601">
        <w:rPr>
          <w:rStyle w:val="Strong"/>
          <w:b w:val="0"/>
          <w:bCs w:val="0"/>
        </w:rPr>
        <w:t xml:space="preserve"> </w:t>
      </w:r>
    </w:p>
    <w:p w14:paraId="210EE06E" w14:textId="61B150A1" w:rsidR="00FD2F3A" w:rsidRDefault="00FD2F3A" w:rsidP="006C28D7">
      <w:pPr>
        <w:pStyle w:val="EndnoteText"/>
        <w:rPr>
          <w:rStyle w:val="Strong"/>
          <w:b w:val="0"/>
          <w:bCs w:val="0"/>
        </w:rPr>
      </w:pPr>
      <w:r w:rsidRPr="006C28D7">
        <w:tab/>
      </w:r>
      <w:proofErr w:type="spellStart"/>
      <w:r w:rsidRPr="006C28D7">
        <w:t>HMGCoA</w:t>
      </w:r>
      <w:proofErr w:type="spellEnd"/>
      <w:r w:rsidRPr="006C28D7">
        <w:t xml:space="preserve"> reductase inhibitor (indications - CKD, albuminuria): Qin X, Dong H, Fang K, Lu F. The effect of statins on renal outcomes in patients with diabetic kidney disease: A systematic review and meta-analysis. Diabetes </w:t>
      </w:r>
      <w:proofErr w:type="spellStart"/>
      <w:r w:rsidRPr="006C28D7">
        <w:t>Metab</w:t>
      </w:r>
      <w:proofErr w:type="spellEnd"/>
      <w:r w:rsidRPr="006C28D7">
        <w:t xml:space="preserve"> Res Rev. 2017 Sep;33(6). </w:t>
      </w:r>
      <w:hyperlink r:id="rId17" w:history="1">
        <w:r w:rsidR="005E2601" w:rsidRPr="001876FD">
          <w:rPr>
            <w:rStyle w:val="Hyperlink"/>
          </w:rPr>
          <w:t>https://www.ncbi.nlm.nih.gov/pubmed/28477396</w:t>
        </w:r>
      </w:hyperlink>
      <w:r w:rsidR="005E2601">
        <w:rPr>
          <w:rStyle w:val="Strong"/>
          <w:b w:val="0"/>
          <w:bCs w:val="0"/>
        </w:rPr>
        <w:t xml:space="preserve"> </w:t>
      </w:r>
    </w:p>
    <w:p w14:paraId="6A6F241A" w14:textId="4A206D33" w:rsidR="001D0DFE" w:rsidRPr="000E6394" w:rsidRDefault="001D0DFE" w:rsidP="006C28D7">
      <w:pPr>
        <w:pStyle w:val="EndnoteText"/>
        <w:rPr>
          <w:b/>
          <w:bCs/>
          <w:sz w:val="16"/>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8256" w14:textId="25F84D27" w:rsidR="003926CD" w:rsidRDefault="003926CD">
    <w:pPr>
      <w:pStyle w:val="Footer"/>
    </w:pPr>
    <w:r>
      <w:tab/>
    </w:r>
    <w:r>
      <w:fldChar w:fldCharType="begin"/>
    </w:r>
    <w:r>
      <w:instrText xml:space="preserve"> PAGE   \* MERGEFORMAT </w:instrText>
    </w:r>
    <w:r>
      <w:fldChar w:fldCharType="separate"/>
    </w:r>
    <w:r w:rsidR="00535CC2">
      <w:rPr>
        <w:noProof/>
      </w:rPr>
      <w:t>9.24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3CC3" w14:textId="179A99D1" w:rsidR="003926CD" w:rsidRDefault="003926CD">
    <w:pPr>
      <w:pStyle w:val="Footer"/>
    </w:pPr>
    <w:r>
      <w:tab/>
    </w:r>
    <w:r>
      <w:fldChar w:fldCharType="begin"/>
    </w:r>
    <w:r>
      <w:instrText xml:space="preserve"> PAGE   \* MERGEFORMAT </w:instrText>
    </w:r>
    <w:r>
      <w:fldChar w:fldCharType="separate"/>
    </w:r>
    <w:r w:rsidR="00535CC2">
      <w:rPr>
        <w:noProof/>
      </w:rPr>
      <w:t>9.1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228F" w14:textId="77777777" w:rsidR="00034292" w:rsidRDefault="00034292" w:rsidP="00AD1B9A">
      <w:r>
        <w:separator/>
      </w:r>
    </w:p>
  </w:footnote>
  <w:footnote w:type="continuationSeparator" w:id="0">
    <w:p w14:paraId="00930915" w14:textId="77777777" w:rsidR="00034292" w:rsidRDefault="00034292" w:rsidP="00AD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125A" w14:textId="77777777" w:rsidR="00EA07DD" w:rsidRDefault="00EA07DD" w:rsidP="0005561D">
    <w:pPr>
      <w:pStyle w:val="Header"/>
    </w:pPr>
    <w:r w:rsidRPr="0005561D">
      <w:t xml:space="preserve">Chapter </w:t>
    </w:r>
    <w:r>
      <w:t>9</w:t>
    </w:r>
    <w:r w:rsidRPr="0005561D">
      <w:tab/>
    </w:r>
    <w:r w:rsidRPr="0005561D">
      <w:tab/>
    </w:r>
    <w:r>
      <w:t>Endocrine Conditions</w:t>
    </w:r>
  </w:p>
  <w:p w14:paraId="5A28DD9C" w14:textId="77777777" w:rsidR="00EA07DD" w:rsidRPr="00CB22A2" w:rsidRDefault="00EA07DD" w:rsidP="0009437A">
    <w:pPr>
      <w:pStyle w:val="NoSpacing"/>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85D0" w14:textId="77777777" w:rsidR="003926CD" w:rsidRPr="003926CD" w:rsidRDefault="003926CD" w:rsidP="003926C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B8B"/>
    <w:multiLevelType w:val="hybridMultilevel"/>
    <w:tmpl w:val="38F209B6"/>
    <w:lvl w:ilvl="0" w:tplc="F12004D4">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E8D47F2"/>
    <w:multiLevelType w:val="multilevel"/>
    <w:tmpl w:val="1A0A41A6"/>
    <w:lvl w:ilvl="0">
      <w:numFmt w:val="none"/>
      <w:lvlText w:val="»"/>
      <w:lvlJc w:val="left"/>
      <w:pPr>
        <w:ind w:left="284" w:hanging="284"/>
      </w:pPr>
      <w:rPr>
        <w:rFonts w:hint="default"/>
        <w:color w:val="000000"/>
      </w:rPr>
    </w:lvl>
    <w:lvl w:ilvl="1">
      <w:start w:val="1"/>
      <w:numFmt w:val="bullet"/>
      <w:lvlText w:val="-"/>
      <w:lvlJc w:val="left"/>
      <w:pPr>
        <w:ind w:left="567" w:hanging="283"/>
      </w:pPr>
      <w:rPr>
        <w:rFonts w:ascii="Courier New" w:hAnsi="Courier New" w:hint="default"/>
        <w:b/>
        <w:i w:val="0"/>
        <w:color w:val="000000"/>
        <w:sz w:val="1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63546DB"/>
    <w:multiLevelType w:val="multilevel"/>
    <w:tmpl w:val="6F9AC3A6"/>
    <w:lvl w:ilvl="0">
      <w:start w:val="9"/>
      <w:numFmt w:val="decimal"/>
      <w:pStyle w:val="Heading1"/>
      <w:lvlText w:val="PHC Chapter %1:"/>
      <w:lvlJc w:val="left"/>
      <w:pPr>
        <w:ind w:left="2410" w:hanging="2665"/>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6674731"/>
    <w:multiLevelType w:val="multilevel"/>
    <w:tmpl w:val="846208FC"/>
    <w:lvl w:ilvl="0">
      <w:start w:val="1"/>
      <w:numFmt w:val="bullet"/>
      <w:pStyle w:val="BulletDirectionsInstructions"/>
      <w:lvlText w:val="o"/>
      <w:lvlJc w:val="left"/>
      <w:pPr>
        <w:ind w:left="567"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C35C2B"/>
    <w:multiLevelType w:val="hybridMultilevel"/>
    <w:tmpl w:val="61D82BE0"/>
    <w:lvl w:ilvl="0" w:tplc="414C7958">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B01A0C"/>
    <w:multiLevelType w:val="multilevel"/>
    <w:tmpl w:val="1F264354"/>
    <w:lvl w:ilvl="0">
      <w:numFmt w:val="none"/>
      <w:pStyle w:val="ListParagraph"/>
      <w:lvlText w:val="»"/>
      <w:lvlJc w:val="left"/>
      <w:pPr>
        <w:ind w:left="284" w:hanging="284"/>
      </w:pPr>
      <w:rPr>
        <w:rFonts w:hint="default"/>
        <w:color w:val="000000"/>
      </w:rPr>
    </w:lvl>
    <w:lvl w:ilvl="1">
      <w:start w:val="1"/>
      <w:numFmt w:val="bullet"/>
      <w:lvlText w:val="-"/>
      <w:lvlJc w:val="left"/>
      <w:pPr>
        <w:ind w:left="567" w:hanging="283"/>
      </w:pPr>
      <w:rPr>
        <w:rFonts w:ascii="Courier New" w:hAnsi="Courier New" w:hint="default"/>
        <w:b/>
        <w:i w:val="0"/>
        <w:color w:val="000000"/>
        <w:sz w:val="1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9D62962"/>
    <w:multiLevelType w:val="hybridMultilevel"/>
    <w:tmpl w:val="057CE310"/>
    <w:lvl w:ilvl="0" w:tplc="D9FC1AC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707BDB"/>
    <w:multiLevelType w:val="hybridMultilevel"/>
    <w:tmpl w:val="6ADE2984"/>
    <w:lvl w:ilvl="0" w:tplc="F8E89BF0">
      <w:numFmt w:val="none"/>
      <w:lvlText w:val="»"/>
      <w:lvlJc w:val="left"/>
      <w:pPr>
        <w:ind w:left="360" w:hanging="360"/>
      </w:pPr>
      <w:rPr>
        <w:rFonts w:hint="default"/>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6BF731A7"/>
    <w:multiLevelType w:val="multilevel"/>
    <w:tmpl w:val="BDA4EB8A"/>
    <w:lvl w:ilvl="0">
      <w:start w:val="1"/>
      <w:numFmt w:val="bullet"/>
      <w:pStyle w:val="BulletMedicine"/>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615440"/>
    <w:multiLevelType w:val="hybridMultilevel"/>
    <w:tmpl w:val="AA4004F6"/>
    <w:lvl w:ilvl="0" w:tplc="F8E89BF0">
      <w:numFmt w:val="none"/>
      <w:lvlText w:val="»"/>
      <w:lvlJc w:val="left"/>
      <w:pPr>
        <w:ind w:left="360" w:hanging="360"/>
      </w:pPr>
      <w:rPr>
        <w:rFonts w:hint="default"/>
        <w:color w:val="000000"/>
      </w:rPr>
    </w:lvl>
    <w:lvl w:ilvl="1" w:tplc="0CF0D602">
      <w:start w:val="1"/>
      <w:numFmt w:val="bullet"/>
      <w:lvlText w:val="-"/>
      <w:lvlJc w:val="left"/>
      <w:pPr>
        <w:ind w:left="1080" w:hanging="360"/>
      </w:pPr>
      <w:rPr>
        <w:rFonts w:ascii="Calibri" w:hAnsi="Calibri" w:hint="default"/>
        <w:sz w:val="18"/>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73571811"/>
    <w:multiLevelType w:val="multilevel"/>
    <w:tmpl w:val="F17A6458"/>
    <w:lvl w:ilvl="0">
      <w:start w:val="1"/>
      <w:numFmt w:val="bullet"/>
      <w:pStyle w:val="BulletNutrition"/>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132D17"/>
    <w:multiLevelType w:val="multilevel"/>
    <w:tmpl w:val="2F7C0F42"/>
    <w:lvl w:ilvl="0">
      <w:start w:val="1"/>
      <w:numFmt w:val="bullet"/>
      <w:pStyle w:val="BulletTherapeuticclass"/>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2D6A2F"/>
    <w:multiLevelType w:val="hybridMultilevel"/>
    <w:tmpl w:val="33D0430E"/>
    <w:lvl w:ilvl="0" w:tplc="A5146DB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447CF3"/>
    <w:multiLevelType w:val="hybridMultilevel"/>
    <w:tmpl w:val="014ADD1E"/>
    <w:lvl w:ilvl="0" w:tplc="38E8ADF8">
      <w:start w:val="1"/>
      <w:numFmt w:val="decimal"/>
      <w:lvlText w:val="PHC Chapter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28906995">
    <w:abstractNumId w:val="11"/>
  </w:num>
  <w:num w:numId="2" w16cid:durableId="772633102">
    <w:abstractNumId w:val="3"/>
    <w:lvlOverride w:ilvl="0">
      <w:lvl w:ilvl="0">
        <w:start w:val="1"/>
        <w:numFmt w:val="bullet"/>
        <w:pStyle w:val="BulletDirectionsInstructions"/>
        <w:lvlText w:val="o"/>
        <w:lvlJc w:val="left"/>
        <w:pPr>
          <w:ind w:left="567" w:hanging="283"/>
        </w:pPr>
        <w:rPr>
          <w:rFonts w:ascii="Courier New" w:hAnsi="Courier New" w:hint="default"/>
        </w:rPr>
      </w:lvl>
    </w:lvlOverride>
    <w:lvlOverride w:ilvl="1">
      <w:lvl w:ilvl="1">
        <w:start w:val="1"/>
        <w:numFmt w:val="bullet"/>
        <w:lvlText w:val="-"/>
        <w:lvlJc w:val="left"/>
        <w:pPr>
          <w:ind w:left="851" w:hanging="284"/>
        </w:pPr>
        <w:rPr>
          <w:rFonts w:ascii="Courier New" w:hAnsi="Courier New" w:hint="default"/>
          <w:color w:val="000000"/>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327245733">
    <w:abstractNumId w:val="10"/>
  </w:num>
  <w:num w:numId="4" w16cid:durableId="734547440">
    <w:abstractNumId w:val="2"/>
  </w:num>
  <w:num w:numId="5" w16cid:durableId="2048597657">
    <w:abstractNumId w:val="5"/>
  </w:num>
  <w:num w:numId="6" w16cid:durableId="1896546782">
    <w:abstractNumId w:val="10"/>
    <w:lvlOverride w:ilvl="0">
      <w:lvl w:ilvl="0">
        <w:start w:val="1"/>
        <w:numFmt w:val="bullet"/>
        <w:pStyle w:val="BulletNutrition"/>
        <w:lvlText w:val="-"/>
        <w:lvlJc w:val="left"/>
        <w:pPr>
          <w:ind w:left="284" w:hanging="284"/>
        </w:pPr>
        <w:rPr>
          <w:rFonts w:ascii="Courier New" w:hAnsi="Courier New" w:hint="default"/>
          <w:color w:val="00000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604963259">
    <w:abstractNumId w:val="13"/>
  </w:num>
  <w:num w:numId="8" w16cid:durableId="573247967">
    <w:abstractNumId w:val="12"/>
  </w:num>
  <w:num w:numId="9" w16cid:durableId="1962103940">
    <w:abstractNumId w:val="0"/>
  </w:num>
  <w:num w:numId="10" w16cid:durableId="1625117431">
    <w:abstractNumId w:val="4"/>
  </w:num>
  <w:num w:numId="11" w16cid:durableId="1077702700">
    <w:abstractNumId w:val="6"/>
  </w:num>
  <w:num w:numId="12" w16cid:durableId="1218785923">
    <w:abstractNumId w:val="7"/>
  </w:num>
  <w:num w:numId="13" w16cid:durableId="78063994">
    <w:abstractNumId w:val="9"/>
  </w:num>
  <w:num w:numId="14" w16cid:durableId="1633366669">
    <w:abstractNumId w:val="1"/>
  </w:num>
  <w:num w:numId="15" w16cid:durableId="1981154285">
    <w:abstractNumId w:val="3"/>
  </w:num>
  <w:num w:numId="16" w16cid:durableId="593705906">
    <w:abstractNumId w:val="8"/>
  </w:num>
  <w:num w:numId="17" w16cid:durableId="1809009409">
    <w:abstractNumId w:val="3"/>
    <w:lvlOverride w:ilvl="0">
      <w:lvl w:ilvl="0">
        <w:start w:val="1"/>
        <w:numFmt w:val="bullet"/>
        <w:pStyle w:val="BulletDirectionsInstructions"/>
        <w:lvlText w:val="o"/>
        <w:lvlJc w:val="left"/>
        <w:pPr>
          <w:ind w:left="567" w:hanging="283"/>
        </w:pPr>
        <w:rPr>
          <w:rFonts w:ascii="Courier New" w:hAnsi="Courier New" w:hint="default"/>
        </w:rPr>
      </w:lvl>
    </w:lvlOverride>
    <w:lvlOverride w:ilvl="1">
      <w:lvl w:ilvl="1">
        <w:start w:val="1"/>
        <w:numFmt w:val="bullet"/>
        <w:lvlText w:val="-"/>
        <w:lvlJc w:val="left"/>
        <w:pPr>
          <w:ind w:left="851" w:hanging="284"/>
        </w:pPr>
        <w:rPr>
          <w:rFonts w:ascii="Courier New" w:hAnsi="Courier New" w:hint="default"/>
          <w:color w:val="000000"/>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attachedTemplate r:id="rId1"/>
  <w:documentProtection w:formatting="1" w:enforcement="0"/>
  <w:defaultTabStop w:val="284"/>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zK1NLQwNjA2MjdT0lEKTi0uzszPAykwrQUAkI6j5CwAAAA="/>
  </w:docVars>
  <w:rsids>
    <w:rsidRoot w:val="00A73962"/>
    <w:rsid w:val="00000EF0"/>
    <w:rsid w:val="00011BCE"/>
    <w:rsid w:val="00013D84"/>
    <w:rsid w:val="00017A90"/>
    <w:rsid w:val="00024DC2"/>
    <w:rsid w:val="0002656A"/>
    <w:rsid w:val="00030284"/>
    <w:rsid w:val="00031C41"/>
    <w:rsid w:val="0003217D"/>
    <w:rsid w:val="00034292"/>
    <w:rsid w:val="000452AC"/>
    <w:rsid w:val="0005561D"/>
    <w:rsid w:val="00056C22"/>
    <w:rsid w:val="00064AFC"/>
    <w:rsid w:val="000669FF"/>
    <w:rsid w:val="00072BBF"/>
    <w:rsid w:val="00074273"/>
    <w:rsid w:val="00085302"/>
    <w:rsid w:val="00086387"/>
    <w:rsid w:val="0009437A"/>
    <w:rsid w:val="000956A5"/>
    <w:rsid w:val="000B2564"/>
    <w:rsid w:val="000B5AEE"/>
    <w:rsid w:val="000B7963"/>
    <w:rsid w:val="000C7DE5"/>
    <w:rsid w:val="000D293B"/>
    <w:rsid w:val="000D6107"/>
    <w:rsid w:val="000E059C"/>
    <w:rsid w:val="000E085F"/>
    <w:rsid w:val="000E2D88"/>
    <w:rsid w:val="000E333C"/>
    <w:rsid w:val="000E6394"/>
    <w:rsid w:val="000F1160"/>
    <w:rsid w:val="000F143B"/>
    <w:rsid w:val="000F18D9"/>
    <w:rsid w:val="000F516C"/>
    <w:rsid w:val="00102D62"/>
    <w:rsid w:val="00102EDB"/>
    <w:rsid w:val="00127C9D"/>
    <w:rsid w:val="001368FF"/>
    <w:rsid w:val="00136D6E"/>
    <w:rsid w:val="001432DA"/>
    <w:rsid w:val="001436CD"/>
    <w:rsid w:val="0014762E"/>
    <w:rsid w:val="00150D01"/>
    <w:rsid w:val="00161478"/>
    <w:rsid w:val="001736AB"/>
    <w:rsid w:val="001755F9"/>
    <w:rsid w:val="00177B34"/>
    <w:rsid w:val="00182A9B"/>
    <w:rsid w:val="0018652B"/>
    <w:rsid w:val="00192E35"/>
    <w:rsid w:val="001963BD"/>
    <w:rsid w:val="00196F6D"/>
    <w:rsid w:val="001A0144"/>
    <w:rsid w:val="001A033A"/>
    <w:rsid w:val="001A286A"/>
    <w:rsid w:val="001A3390"/>
    <w:rsid w:val="001A5D8C"/>
    <w:rsid w:val="001B4011"/>
    <w:rsid w:val="001C0D2C"/>
    <w:rsid w:val="001C5899"/>
    <w:rsid w:val="001C7078"/>
    <w:rsid w:val="001C709F"/>
    <w:rsid w:val="001C7571"/>
    <w:rsid w:val="001D0DFE"/>
    <w:rsid w:val="001D6881"/>
    <w:rsid w:val="00211045"/>
    <w:rsid w:val="002176BC"/>
    <w:rsid w:val="00227F61"/>
    <w:rsid w:val="002363AF"/>
    <w:rsid w:val="00240A90"/>
    <w:rsid w:val="00245061"/>
    <w:rsid w:val="00245220"/>
    <w:rsid w:val="0025075E"/>
    <w:rsid w:val="002542D9"/>
    <w:rsid w:val="00257762"/>
    <w:rsid w:val="00261EB1"/>
    <w:rsid w:val="0027057A"/>
    <w:rsid w:val="002728EC"/>
    <w:rsid w:val="0027427C"/>
    <w:rsid w:val="00274E35"/>
    <w:rsid w:val="00275896"/>
    <w:rsid w:val="002803A3"/>
    <w:rsid w:val="002812FA"/>
    <w:rsid w:val="00282E42"/>
    <w:rsid w:val="0029033D"/>
    <w:rsid w:val="002916EF"/>
    <w:rsid w:val="0029474A"/>
    <w:rsid w:val="002949CD"/>
    <w:rsid w:val="00294DEC"/>
    <w:rsid w:val="002957E7"/>
    <w:rsid w:val="002A2886"/>
    <w:rsid w:val="002A78C6"/>
    <w:rsid w:val="002B04B5"/>
    <w:rsid w:val="002B6798"/>
    <w:rsid w:val="002D251D"/>
    <w:rsid w:val="002D2A97"/>
    <w:rsid w:val="002D4283"/>
    <w:rsid w:val="002D6935"/>
    <w:rsid w:val="002D7EBF"/>
    <w:rsid w:val="002F11E0"/>
    <w:rsid w:val="002F482E"/>
    <w:rsid w:val="002F4E11"/>
    <w:rsid w:val="002F65A6"/>
    <w:rsid w:val="00302FF3"/>
    <w:rsid w:val="003047C6"/>
    <w:rsid w:val="00310305"/>
    <w:rsid w:val="00321F4B"/>
    <w:rsid w:val="00324AC4"/>
    <w:rsid w:val="00326B21"/>
    <w:rsid w:val="00330822"/>
    <w:rsid w:val="003371E2"/>
    <w:rsid w:val="0034231A"/>
    <w:rsid w:val="003423C4"/>
    <w:rsid w:val="00346D28"/>
    <w:rsid w:val="0035154F"/>
    <w:rsid w:val="003550AB"/>
    <w:rsid w:val="0037469B"/>
    <w:rsid w:val="00374DD1"/>
    <w:rsid w:val="00375534"/>
    <w:rsid w:val="003777D5"/>
    <w:rsid w:val="003926CD"/>
    <w:rsid w:val="003952D8"/>
    <w:rsid w:val="003A070C"/>
    <w:rsid w:val="003A2FE9"/>
    <w:rsid w:val="003A5524"/>
    <w:rsid w:val="003A70DF"/>
    <w:rsid w:val="003B1253"/>
    <w:rsid w:val="003B749F"/>
    <w:rsid w:val="003C790A"/>
    <w:rsid w:val="003D0C14"/>
    <w:rsid w:val="003D1023"/>
    <w:rsid w:val="003D4E6C"/>
    <w:rsid w:val="003D5C74"/>
    <w:rsid w:val="003E125F"/>
    <w:rsid w:val="003E736D"/>
    <w:rsid w:val="003F246B"/>
    <w:rsid w:val="003F2F1D"/>
    <w:rsid w:val="003F3DEB"/>
    <w:rsid w:val="003F53C7"/>
    <w:rsid w:val="003F6D2D"/>
    <w:rsid w:val="0040467C"/>
    <w:rsid w:val="00404E4F"/>
    <w:rsid w:val="004052AA"/>
    <w:rsid w:val="00407DC1"/>
    <w:rsid w:val="0041311A"/>
    <w:rsid w:val="00421336"/>
    <w:rsid w:val="004254CF"/>
    <w:rsid w:val="00426D3C"/>
    <w:rsid w:val="00427D47"/>
    <w:rsid w:val="004312F2"/>
    <w:rsid w:val="00433DC3"/>
    <w:rsid w:val="0043492D"/>
    <w:rsid w:val="00441B4D"/>
    <w:rsid w:val="0044482F"/>
    <w:rsid w:val="00445F73"/>
    <w:rsid w:val="0045022C"/>
    <w:rsid w:val="0045519A"/>
    <w:rsid w:val="00467949"/>
    <w:rsid w:val="00470DA6"/>
    <w:rsid w:val="004A2680"/>
    <w:rsid w:val="004A3385"/>
    <w:rsid w:val="004A3D83"/>
    <w:rsid w:val="004A42C3"/>
    <w:rsid w:val="004A5D99"/>
    <w:rsid w:val="004B11B7"/>
    <w:rsid w:val="004B2576"/>
    <w:rsid w:val="004C23E5"/>
    <w:rsid w:val="004C74EB"/>
    <w:rsid w:val="004D003A"/>
    <w:rsid w:val="004D3A09"/>
    <w:rsid w:val="004D47D5"/>
    <w:rsid w:val="004D5657"/>
    <w:rsid w:val="004D64D2"/>
    <w:rsid w:val="004E4D6A"/>
    <w:rsid w:val="004E4E92"/>
    <w:rsid w:val="004F222F"/>
    <w:rsid w:val="004F4912"/>
    <w:rsid w:val="00500565"/>
    <w:rsid w:val="0050244E"/>
    <w:rsid w:val="00502EAD"/>
    <w:rsid w:val="0050420A"/>
    <w:rsid w:val="005048A1"/>
    <w:rsid w:val="00504CD6"/>
    <w:rsid w:val="00505F60"/>
    <w:rsid w:val="00506BEA"/>
    <w:rsid w:val="00507432"/>
    <w:rsid w:val="00511548"/>
    <w:rsid w:val="00513FDD"/>
    <w:rsid w:val="00523A70"/>
    <w:rsid w:val="00533F05"/>
    <w:rsid w:val="00535CC2"/>
    <w:rsid w:val="00536848"/>
    <w:rsid w:val="005432EB"/>
    <w:rsid w:val="00551BDC"/>
    <w:rsid w:val="005639B6"/>
    <w:rsid w:val="00564345"/>
    <w:rsid w:val="005658AC"/>
    <w:rsid w:val="00570799"/>
    <w:rsid w:val="00572DA9"/>
    <w:rsid w:val="00572E50"/>
    <w:rsid w:val="005778DC"/>
    <w:rsid w:val="005804DA"/>
    <w:rsid w:val="00580997"/>
    <w:rsid w:val="005814A4"/>
    <w:rsid w:val="00582AEE"/>
    <w:rsid w:val="00591C9A"/>
    <w:rsid w:val="00592C2A"/>
    <w:rsid w:val="00595AA7"/>
    <w:rsid w:val="005C2081"/>
    <w:rsid w:val="005C2F6F"/>
    <w:rsid w:val="005C535C"/>
    <w:rsid w:val="005C5512"/>
    <w:rsid w:val="005C7053"/>
    <w:rsid w:val="005D2785"/>
    <w:rsid w:val="005D3399"/>
    <w:rsid w:val="005E2601"/>
    <w:rsid w:val="005E3E13"/>
    <w:rsid w:val="005E45E3"/>
    <w:rsid w:val="005E5DF6"/>
    <w:rsid w:val="005F3C9E"/>
    <w:rsid w:val="005F635E"/>
    <w:rsid w:val="005F738F"/>
    <w:rsid w:val="006056F9"/>
    <w:rsid w:val="00611023"/>
    <w:rsid w:val="00615139"/>
    <w:rsid w:val="00615380"/>
    <w:rsid w:val="00617599"/>
    <w:rsid w:val="00620B23"/>
    <w:rsid w:val="006214F9"/>
    <w:rsid w:val="00625F2E"/>
    <w:rsid w:val="00633506"/>
    <w:rsid w:val="0063457B"/>
    <w:rsid w:val="0064586C"/>
    <w:rsid w:val="00670BEF"/>
    <w:rsid w:val="00677292"/>
    <w:rsid w:val="006819EA"/>
    <w:rsid w:val="00694529"/>
    <w:rsid w:val="00694DC4"/>
    <w:rsid w:val="00695058"/>
    <w:rsid w:val="006A1689"/>
    <w:rsid w:val="006A6F43"/>
    <w:rsid w:val="006B2B0D"/>
    <w:rsid w:val="006B4066"/>
    <w:rsid w:val="006B44E4"/>
    <w:rsid w:val="006B64B0"/>
    <w:rsid w:val="006B6533"/>
    <w:rsid w:val="006C0A38"/>
    <w:rsid w:val="006C26B1"/>
    <w:rsid w:val="006C28D7"/>
    <w:rsid w:val="006C4BF6"/>
    <w:rsid w:val="006C619F"/>
    <w:rsid w:val="006D1D94"/>
    <w:rsid w:val="006D2F72"/>
    <w:rsid w:val="006E17F4"/>
    <w:rsid w:val="006E7693"/>
    <w:rsid w:val="00704785"/>
    <w:rsid w:val="00704A1A"/>
    <w:rsid w:val="00704FCC"/>
    <w:rsid w:val="0070733A"/>
    <w:rsid w:val="007160FC"/>
    <w:rsid w:val="00717E07"/>
    <w:rsid w:val="0073274B"/>
    <w:rsid w:val="0073406A"/>
    <w:rsid w:val="007363AD"/>
    <w:rsid w:val="00741B05"/>
    <w:rsid w:val="00741DD4"/>
    <w:rsid w:val="00750F68"/>
    <w:rsid w:val="007602CE"/>
    <w:rsid w:val="0076040B"/>
    <w:rsid w:val="007616D3"/>
    <w:rsid w:val="00761A83"/>
    <w:rsid w:val="007625F8"/>
    <w:rsid w:val="007631A2"/>
    <w:rsid w:val="0076740D"/>
    <w:rsid w:val="0077012B"/>
    <w:rsid w:val="0077305E"/>
    <w:rsid w:val="0077461A"/>
    <w:rsid w:val="00776951"/>
    <w:rsid w:val="007808B8"/>
    <w:rsid w:val="0079142A"/>
    <w:rsid w:val="0079306E"/>
    <w:rsid w:val="007965F1"/>
    <w:rsid w:val="007A12AB"/>
    <w:rsid w:val="007A51FA"/>
    <w:rsid w:val="007A63B8"/>
    <w:rsid w:val="007B2F77"/>
    <w:rsid w:val="007B5AA4"/>
    <w:rsid w:val="007C133F"/>
    <w:rsid w:val="007C7A75"/>
    <w:rsid w:val="007D2825"/>
    <w:rsid w:val="007D3D59"/>
    <w:rsid w:val="007D3EC7"/>
    <w:rsid w:val="007D59B8"/>
    <w:rsid w:val="007F6809"/>
    <w:rsid w:val="00803159"/>
    <w:rsid w:val="00803FF8"/>
    <w:rsid w:val="0080454B"/>
    <w:rsid w:val="008056BF"/>
    <w:rsid w:val="00807BB6"/>
    <w:rsid w:val="008234F4"/>
    <w:rsid w:val="0083473D"/>
    <w:rsid w:val="00834D08"/>
    <w:rsid w:val="008446BC"/>
    <w:rsid w:val="008452E7"/>
    <w:rsid w:val="00847D2B"/>
    <w:rsid w:val="0085170B"/>
    <w:rsid w:val="00853032"/>
    <w:rsid w:val="00855AFD"/>
    <w:rsid w:val="0085757D"/>
    <w:rsid w:val="00857F45"/>
    <w:rsid w:val="008644C4"/>
    <w:rsid w:val="00866D7A"/>
    <w:rsid w:val="008778B4"/>
    <w:rsid w:val="00883E91"/>
    <w:rsid w:val="008864BB"/>
    <w:rsid w:val="00892038"/>
    <w:rsid w:val="008967FA"/>
    <w:rsid w:val="008A23DD"/>
    <w:rsid w:val="008A6921"/>
    <w:rsid w:val="008B27DE"/>
    <w:rsid w:val="008B3C0F"/>
    <w:rsid w:val="008B4C38"/>
    <w:rsid w:val="008C1B81"/>
    <w:rsid w:val="008C6F31"/>
    <w:rsid w:val="008D109E"/>
    <w:rsid w:val="008D56E6"/>
    <w:rsid w:val="008E1B77"/>
    <w:rsid w:val="008F4CA0"/>
    <w:rsid w:val="008F510A"/>
    <w:rsid w:val="008F5893"/>
    <w:rsid w:val="008F7B36"/>
    <w:rsid w:val="00901176"/>
    <w:rsid w:val="009018F3"/>
    <w:rsid w:val="00907E62"/>
    <w:rsid w:val="00911B2B"/>
    <w:rsid w:val="00913CA7"/>
    <w:rsid w:val="0091434B"/>
    <w:rsid w:val="00922071"/>
    <w:rsid w:val="00922578"/>
    <w:rsid w:val="00933A4C"/>
    <w:rsid w:val="00941F42"/>
    <w:rsid w:val="009421FC"/>
    <w:rsid w:val="00942B06"/>
    <w:rsid w:val="009466C8"/>
    <w:rsid w:val="00947BA4"/>
    <w:rsid w:val="00951E97"/>
    <w:rsid w:val="009544A7"/>
    <w:rsid w:val="009553DA"/>
    <w:rsid w:val="0095628D"/>
    <w:rsid w:val="00960E66"/>
    <w:rsid w:val="00966E70"/>
    <w:rsid w:val="009713C6"/>
    <w:rsid w:val="00981AF2"/>
    <w:rsid w:val="00993050"/>
    <w:rsid w:val="009948A9"/>
    <w:rsid w:val="009A2A04"/>
    <w:rsid w:val="009A4081"/>
    <w:rsid w:val="009A6130"/>
    <w:rsid w:val="009A7043"/>
    <w:rsid w:val="009C5586"/>
    <w:rsid w:val="009D5698"/>
    <w:rsid w:val="009D7AFF"/>
    <w:rsid w:val="009E1FD2"/>
    <w:rsid w:val="009E51E0"/>
    <w:rsid w:val="009E6287"/>
    <w:rsid w:val="009E678A"/>
    <w:rsid w:val="009F0DBB"/>
    <w:rsid w:val="009F3A71"/>
    <w:rsid w:val="009F48BE"/>
    <w:rsid w:val="009F5365"/>
    <w:rsid w:val="009F7901"/>
    <w:rsid w:val="00A02F1E"/>
    <w:rsid w:val="00A0631D"/>
    <w:rsid w:val="00A116A8"/>
    <w:rsid w:val="00A16226"/>
    <w:rsid w:val="00A16725"/>
    <w:rsid w:val="00A21669"/>
    <w:rsid w:val="00A26C10"/>
    <w:rsid w:val="00A30998"/>
    <w:rsid w:val="00A35FE8"/>
    <w:rsid w:val="00A41C17"/>
    <w:rsid w:val="00A43467"/>
    <w:rsid w:val="00A4370F"/>
    <w:rsid w:val="00A4460E"/>
    <w:rsid w:val="00A52206"/>
    <w:rsid w:val="00A52866"/>
    <w:rsid w:val="00A53333"/>
    <w:rsid w:val="00A55FFA"/>
    <w:rsid w:val="00A626CF"/>
    <w:rsid w:val="00A6315D"/>
    <w:rsid w:val="00A65D9D"/>
    <w:rsid w:val="00A726FF"/>
    <w:rsid w:val="00A73962"/>
    <w:rsid w:val="00A75FE1"/>
    <w:rsid w:val="00A7689E"/>
    <w:rsid w:val="00A869AA"/>
    <w:rsid w:val="00A919DA"/>
    <w:rsid w:val="00A97762"/>
    <w:rsid w:val="00AA39CE"/>
    <w:rsid w:val="00AB1246"/>
    <w:rsid w:val="00AB363B"/>
    <w:rsid w:val="00AB529C"/>
    <w:rsid w:val="00AC076A"/>
    <w:rsid w:val="00AC532A"/>
    <w:rsid w:val="00AC73A1"/>
    <w:rsid w:val="00AC7A12"/>
    <w:rsid w:val="00AD1B9A"/>
    <w:rsid w:val="00AD40FF"/>
    <w:rsid w:val="00AD6223"/>
    <w:rsid w:val="00AE05ED"/>
    <w:rsid w:val="00AE1B7B"/>
    <w:rsid w:val="00AE6BDF"/>
    <w:rsid w:val="00AE7423"/>
    <w:rsid w:val="00AF05DD"/>
    <w:rsid w:val="00AF0AD4"/>
    <w:rsid w:val="00AF0DEF"/>
    <w:rsid w:val="00AF4888"/>
    <w:rsid w:val="00B06908"/>
    <w:rsid w:val="00B0793A"/>
    <w:rsid w:val="00B12AB3"/>
    <w:rsid w:val="00B132BF"/>
    <w:rsid w:val="00B14806"/>
    <w:rsid w:val="00B14AC9"/>
    <w:rsid w:val="00B14DC2"/>
    <w:rsid w:val="00B1558D"/>
    <w:rsid w:val="00B16CA6"/>
    <w:rsid w:val="00B20FEC"/>
    <w:rsid w:val="00B215D6"/>
    <w:rsid w:val="00B24158"/>
    <w:rsid w:val="00B301A4"/>
    <w:rsid w:val="00B303E6"/>
    <w:rsid w:val="00B36023"/>
    <w:rsid w:val="00B459E7"/>
    <w:rsid w:val="00B47F11"/>
    <w:rsid w:val="00B54805"/>
    <w:rsid w:val="00B5719D"/>
    <w:rsid w:val="00B61D70"/>
    <w:rsid w:val="00B63537"/>
    <w:rsid w:val="00B6434D"/>
    <w:rsid w:val="00B6760B"/>
    <w:rsid w:val="00B705E8"/>
    <w:rsid w:val="00B7456C"/>
    <w:rsid w:val="00B7737F"/>
    <w:rsid w:val="00B804DD"/>
    <w:rsid w:val="00B82F62"/>
    <w:rsid w:val="00B83218"/>
    <w:rsid w:val="00B8553F"/>
    <w:rsid w:val="00B87303"/>
    <w:rsid w:val="00B91F65"/>
    <w:rsid w:val="00B92A0D"/>
    <w:rsid w:val="00B9593D"/>
    <w:rsid w:val="00BA0180"/>
    <w:rsid w:val="00BA0402"/>
    <w:rsid w:val="00BA06F1"/>
    <w:rsid w:val="00BA259D"/>
    <w:rsid w:val="00BB0293"/>
    <w:rsid w:val="00BB3D32"/>
    <w:rsid w:val="00BB7BCF"/>
    <w:rsid w:val="00BC039F"/>
    <w:rsid w:val="00BC5FDF"/>
    <w:rsid w:val="00BD034E"/>
    <w:rsid w:val="00BE3658"/>
    <w:rsid w:val="00BF3426"/>
    <w:rsid w:val="00BF35CC"/>
    <w:rsid w:val="00BF3BA0"/>
    <w:rsid w:val="00BF7E50"/>
    <w:rsid w:val="00C03C00"/>
    <w:rsid w:val="00C05560"/>
    <w:rsid w:val="00C10CE6"/>
    <w:rsid w:val="00C15085"/>
    <w:rsid w:val="00C1595D"/>
    <w:rsid w:val="00C168B9"/>
    <w:rsid w:val="00C17ACF"/>
    <w:rsid w:val="00C17FBA"/>
    <w:rsid w:val="00C3352A"/>
    <w:rsid w:val="00C33E4E"/>
    <w:rsid w:val="00C358F7"/>
    <w:rsid w:val="00C4081C"/>
    <w:rsid w:val="00C44E8F"/>
    <w:rsid w:val="00C44E9F"/>
    <w:rsid w:val="00C6381B"/>
    <w:rsid w:val="00C755B4"/>
    <w:rsid w:val="00C80648"/>
    <w:rsid w:val="00C86F94"/>
    <w:rsid w:val="00C92E9C"/>
    <w:rsid w:val="00C965EF"/>
    <w:rsid w:val="00CA196B"/>
    <w:rsid w:val="00CB22A2"/>
    <w:rsid w:val="00CB27F9"/>
    <w:rsid w:val="00CB3FA7"/>
    <w:rsid w:val="00CB4DDA"/>
    <w:rsid w:val="00CB57CC"/>
    <w:rsid w:val="00CC0CDA"/>
    <w:rsid w:val="00CC309C"/>
    <w:rsid w:val="00CC5E67"/>
    <w:rsid w:val="00CD427F"/>
    <w:rsid w:val="00CE48A6"/>
    <w:rsid w:val="00CE51D5"/>
    <w:rsid w:val="00CE5E2F"/>
    <w:rsid w:val="00CE6B53"/>
    <w:rsid w:val="00CE6FFD"/>
    <w:rsid w:val="00CF4123"/>
    <w:rsid w:val="00D10546"/>
    <w:rsid w:val="00D115EE"/>
    <w:rsid w:val="00D124BF"/>
    <w:rsid w:val="00D14DAC"/>
    <w:rsid w:val="00D16598"/>
    <w:rsid w:val="00D2178F"/>
    <w:rsid w:val="00D2495B"/>
    <w:rsid w:val="00D256D1"/>
    <w:rsid w:val="00D3206D"/>
    <w:rsid w:val="00D34571"/>
    <w:rsid w:val="00D34B5C"/>
    <w:rsid w:val="00D3558B"/>
    <w:rsid w:val="00D35949"/>
    <w:rsid w:val="00D36A8D"/>
    <w:rsid w:val="00D41AA1"/>
    <w:rsid w:val="00D43181"/>
    <w:rsid w:val="00D44192"/>
    <w:rsid w:val="00D468DB"/>
    <w:rsid w:val="00D46B6E"/>
    <w:rsid w:val="00D52AC4"/>
    <w:rsid w:val="00D609A9"/>
    <w:rsid w:val="00D62385"/>
    <w:rsid w:val="00D709E5"/>
    <w:rsid w:val="00D72F7E"/>
    <w:rsid w:val="00D8211B"/>
    <w:rsid w:val="00D979F3"/>
    <w:rsid w:val="00DA2571"/>
    <w:rsid w:val="00DA2AE7"/>
    <w:rsid w:val="00DA30E2"/>
    <w:rsid w:val="00DB0A23"/>
    <w:rsid w:val="00DB236F"/>
    <w:rsid w:val="00DB3864"/>
    <w:rsid w:val="00DB5537"/>
    <w:rsid w:val="00DB6834"/>
    <w:rsid w:val="00DE0AF4"/>
    <w:rsid w:val="00DE0F01"/>
    <w:rsid w:val="00DE6F00"/>
    <w:rsid w:val="00DF170B"/>
    <w:rsid w:val="00DF3685"/>
    <w:rsid w:val="00DF581A"/>
    <w:rsid w:val="00E00D3A"/>
    <w:rsid w:val="00E05702"/>
    <w:rsid w:val="00E07251"/>
    <w:rsid w:val="00E155F1"/>
    <w:rsid w:val="00E16537"/>
    <w:rsid w:val="00E17AEC"/>
    <w:rsid w:val="00E20C29"/>
    <w:rsid w:val="00E20E40"/>
    <w:rsid w:val="00E26BF0"/>
    <w:rsid w:val="00E328CD"/>
    <w:rsid w:val="00E426DF"/>
    <w:rsid w:val="00E50E31"/>
    <w:rsid w:val="00E54E85"/>
    <w:rsid w:val="00E60252"/>
    <w:rsid w:val="00E61D02"/>
    <w:rsid w:val="00E72CC9"/>
    <w:rsid w:val="00E75EDE"/>
    <w:rsid w:val="00E773FD"/>
    <w:rsid w:val="00E81BED"/>
    <w:rsid w:val="00E82C9F"/>
    <w:rsid w:val="00E82DB5"/>
    <w:rsid w:val="00E83E08"/>
    <w:rsid w:val="00E87EB6"/>
    <w:rsid w:val="00EA07DD"/>
    <w:rsid w:val="00EA1C69"/>
    <w:rsid w:val="00EA2A2B"/>
    <w:rsid w:val="00EA3046"/>
    <w:rsid w:val="00EA3A90"/>
    <w:rsid w:val="00EB1B75"/>
    <w:rsid w:val="00EC3BB8"/>
    <w:rsid w:val="00EC788C"/>
    <w:rsid w:val="00ED2CE5"/>
    <w:rsid w:val="00EE3E69"/>
    <w:rsid w:val="00EF1C2E"/>
    <w:rsid w:val="00EF3FFA"/>
    <w:rsid w:val="00EF7B58"/>
    <w:rsid w:val="00F21297"/>
    <w:rsid w:val="00F32165"/>
    <w:rsid w:val="00F34D11"/>
    <w:rsid w:val="00F35DD7"/>
    <w:rsid w:val="00F37787"/>
    <w:rsid w:val="00F411A1"/>
    <w:rsid w:val="00F50BB3"/>
    <w:rsid w:val="00F50EF9"/>
    <w:rsid w:val="00F55333"/>
    <w:rsid w:val="00F55A7F"/>
    <w:rsid w:val="00F60E7C"/>
    <w:rsid w:val="00F65C77"/>
    <w:rsid w:val="00F735F6"/>
    <w:rsid w:val="00F77A84"/>
    <w:rsid w:val="00F84B76"/>
    <w:rsid w:val="00F87451"/>
    <w:rsid w:val="00F94922"/>
    <w:rsid w:val="00FA17BF"/>
    <w:rsid w:val="00FA332B"/>
    <w:rsid w:val="00FA493E"/>
    <w:rsid w:val="00FB6917"/>
    <w:rsid w:val="00FC02C5"/>
    <w:rsid w:val="00FC0494"/>
    <w:rsid w:val="00FC3FBC"/>
    <w:rsid w:val="00FD16B9"/>
    <w:rsid w:val="00FD2F3A"/>
    <w:rsid w:val="00FE3378"/>
    <w:rsid w:val="00FF1F69"/>
    <w:rsid w:val="00FF27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8CD33"/>
  <w15:chartTrackingRefBased/>
  <w15:docId w15:val="{6C53C799-B4EA-4DC4-BA6D-30229CAD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4E"/>
    <w:pPr>
      <w:spacing w:before="60" w:after="60"/>
    </w:pPr>
    <w:rPr>
      <w:rFonts w:ascii="Arial" w:hAnsi="Arial"/>
      <w:spacing w:val="-4"/>
      <w:lang w:val="en-GB"/>
    </w:rPr>
  </w:style>
  <w:style w:type="paragraph" w:styleId="Heading1">
    <w:name w:val="heading 1"/>
    <w:aliases w:val="Chapter Heading"/>
    <w:basedOn w:val="Title"/>
    <w:next w:val="Normal"/>
    <w:link w:val="Heading1Char"/>
    <w:uiPriority w:val="9"/>
    <w:qFormat/>
    <w:rsid w:val="00C33E4E"/>
    <w:pPr>
      <w:numPr>
        <w:numId w:val="4"/>
      </w:numPr>
      <w:outlineLvl w:val="0"/>
    </w:pPr>
  </w:style>
  <w:style w:type="paragraph" w:styleId="Heading2">
    <w:name w:val="heading 2"/>
    <w:aliases w:val="Section Heading 1.1"/>
    <w:basedOn w:val="Normal"/>
    <w:next w:val="Normal"/>
    <w:link w:val="Heading2Char"/>
    <w:uiPriority w:val="9"/>
    <w:unhideWhenUsed/>
    <w:qFormat/>
    <w:rsid w:val="00C33E4E"/>
    <w:pPr>
      <w:keepNext/>
      <w:keepLines/>
      <w:numPr>
        <w:ilvl w:val="1"/>
        <w:numId w:val="4"/>
      </w:numPr>
      <w:shd w:val="clear" w:color="auto" w:fill="BFBFBF" w:themeFill="background1" w:themeFillShade="BF"/>
      <w:spacing w:before="120" w:after="0"/>
      <w:outlineLvl w:val="1"/>
    </w:pPr>
    <w:rPr>
      <w:rFonts w:eastAsiaTheme="majorEastAsia" w:cstheme="majorBidi"/>
      <w:b/>
      <w:caps/>
      <w:sz w:val="22"/>
    </w:rPr>
  </w:style>
  <w:style w:type="paragraph" w:styleId="Heading3">
    <w:name w:val="heading 3"/>
    <w:aliases w:val="Section Heading 1.1.1"/>
    <w:basedOn w:val="Normal"/>
    <w:next w:val="Normal"/>
    <w:link w:val="Heading3Char"/>
    <w:uiPriority w:val="9"/>
    <w:unhideWhenUsed/>
    <w:qFormat/>
    <w:rsid w:val="00C33E4E"/>
    <w:pPr>
      <w:keepNext/>
      <w:keepLines/>
      <w:numPr>
        <w:ilvl w:val="2"/>
        <w:numId w:val="4"/>
      </w:numPr>
      <w:shd w:val="clear" w:color="auto" w:fill="BFBFBF" w:themeFill="background1" w:themeFillShade="BF"/>
      <w:spacing w:before="120" w:after="0"/>
      <w:outlineLvl w:val="2"/>
    </w:pPr>
    <w:rPr>
      <w:rFonts w:eastAsiaTheme="majorEastAsia" w:cstheme="majorBidi"/>
      <w:b/>
      <w:caps/>
      <w:sz w:val="22"/>
    </w:rPr>
  </w:style>
  <w:style w:type="paragraph" w:styleId="Heading4">
    <w:name w:val="heading 4"/>
    <w:aliases w:val="Section Heading 1.1.1.1"/>
    <w:basedOn w:val="Normal"/>
    <w:next w:val="Normal"/>
    <w:link w:val="Heading4Char"/>
    <w:uiPriority w:val="9"/>
    <w:unhideWhenUsed/>
    <w:qFormat/>
    <w:rsid w:val="00C33E4E"/>
    <w:pPr>
      <w:keepNext/>
      <w:keepLines/>
      <w:numPr>
        <w:ilvl w:val="3"/>
        <w:numId w:val="4"/>
      </w:numPr>
      <w:shd w:val="clear" w:color="auto" w:fill="BFBFBF" w:themeFill="background1" w:themeFillShade="BF"/>
      <w:spacing w:before="120" w:after="0"/>
      <w:outlineLvl w:val="3"/>
    </w:pPr>
    <w:rPr>
      <w:rFonts w:eastAsiaTheme="majorEastAsia" w:cstheme="majorBidi"/>
      <w:b/>
      <w:iCs/>
      <w:caps/>
      <w:sz w:val="22"/>
    </w:rPr>
  </w:style>
  <w:style w:type="paragraph" w:styleId="Heading5">
    <w:name w:val="heading 5"/>
    <w:aliases w:val="Subheading"/>
    <w:basedOn w:val="Normal"/>
    <w:next w:val="Normal"/>
    <w:link w:val="Heading5Char"/>
    <w:uiPriority w:val="9"/>
    <w:unhideWhenUsed/>
    <w:qFormat/>
    <w:rsid w:val="00C33E4E"/>
    <w:pPr>
      <w:keepNext/>
      <w:spacing w:before="120" w:after="0"/>
      <w:outlineLvl w:val="4"/>
    </w:pPr>
    <w:rPr>
      <w:b/>
      <w:bCs/>
      <w:caps/>
      <w:sz w:val="20"/>
    </w:rPr>
  </w:style>
  <w:style w:type="paragraph" w:styleId="Heading6">
    <w:name w:val="heading 6"/>
    <w:basedOn w:val="Normal"/>
    <w:next w:val="Normal"/>
    <w:link w:val="Heading6Char"/>
    <w:uiPriority w:val="9"/>
    <w:unhideWhenUsed/>
    <w:qFormat/>
    <w:rsid w:val="00C33E4E"/>
    <w:pPr>
      <w:keepNext/>
      <w:spacing w:before="120" w:after="0"/>
      <w:outlineLvl w:val="5"/>
    </w:pPr>
    <w:rPr>
      <w:b/>
      <w:bCs/>
    </w:rPr>
  </w:style>
  <w:style w:type="paragraph" w:styleId="Heading7">
    <w:name w:val="heading 7"/>
    <w:basedOn w:val="Normal"/>
    <w:next w:val="Normal"/>
    <w:link w:val="Heading7Char"/>
    <w:uiPriority w:val="9"/>
    <w:unhideWhenUsed/>
    <w:qFormat/>
    <w:rsid w:val="00C33E4E"/>
    <w:pPr>
      <w:keepNext/>
      <w:spacing w:after="0"/>
      <w:outlineLvl w:val="6"/>
    </w:pPr>
    <w:rPr>
      <w:u w:val="single"/>
    </w:rPr>
  </w:style>
  <w:style w:type="paragraph" w:styleId="Heading8">
    <w:name w:val="heading 8"/>
    <w:basedOn w:val="Normal"/>
    <w:next w:val="Normal"/>
    <w:link w:val="Heading8Char"/>
    <w:uiPriority w:val="9"/>
    <w:unhideWhenUsed/>
    <w:rsid w:val="00C33E4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33E4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C33E4E"/>
    <w:rPr>
      <w:rFonts w:ascii="Arial Black" w:eastAsiaTheme="majorEastAsia" w:hAnsi="Arial Black" w:cstheme="majorBidi"/>
      <w:spacing w:val="-10"/>
      <w:kern w:val="28"/>
      <w:sz w:val="32"/>
      <w:szCs w:val="56"/>
      <w:lang w:val="en-GB"/>
    </w:rPr>
  </w:style>
  <w:style w:type="character" w:customStyle="1" w:styleId="Heading2Char">
    <w:name w:val="Heading 2 Char"/>
    <w:aliases w:val="Section Heading 1.1 Char"/>
    <w:basedOn w:val="DefaultParagraphFont"/>
    <w:link w:val="Heading2"/>
    <w:uiPriority w:val="9"/>
    <w:rsid w:val="00C33E4E"/>
    <w:rPr>
      <w:rFonts w:ascii="Arial" w:eastAsiaTheme="majorEastAsia" w:hAnsi="Arial" w:cstheme="majorBidi"/>
      <w:b/>
      <w:caps/>
      <w:spacing w:val="-4"/>
      <w:sz w:val="22"/>
      <w:shd w:val="clear" w:color="auto" w:fill="BFBFBF" w:themeFill="background1" w:themeFillShade="BF"/>
      <w:lang w:val="en-GB"/>
    </w:rPr>
  </w:style>
  <w:style w:type="character" w:customStyle="1" w:styleId="Heading3Char">
    <w:name w:val="Heading 3 Char"/>
    <w:aliases w:val="Section Heading 1.1.1 Char"/>
    <w:basedOn w:val="DefaultParagraphFont"/>
    <w:link w:val="Heading3"/>
    <w:uiPriority w:val="9"/>
    <w:rsid w:val="00C33E4E"/>
    <w:rPr>
      <w:rFonts w:ascii="Arial" w:eastAsiaTheme="majorEastAsia" w:hAnsi="Arial" w:cstheme="majorBidi"/>
      <w:b/>
      <w:caps/>
      <w:spacing w:val="-4"/>
      <w:sz w:val="22"/>
      <w:shd w:val="clear" w:color="auto" w:fill="BFBFBF" w:themeFill="background1" w:themeFillShade="BF"/>
      <w:lang w:val="en-GB"/>
    </w:rPr>
  </w:style>
  <w:style w:type="character" w:customStyle="1" w:styleId="Heading4Char">
    <w:name w:val="Heading 4 Char"/>
    <w:aliases w:val="Section Heading 1.1.1.1 Char"/>
    <w:basedOn w:val="DefaultParagraphFont"/>
    <w:link w:val="Heading4"/>
    <w:uiPriority w:val="9"/>
    <w:rsid w:val="00C33E4E"/>
    <w:rPr>
      <w:rFonts w:ascii="Arial" w:eastAsiaTheme="majorEastAsia" w:hAnsi="Arial" w:cstheme="majorBidi"/>
      <w:b/>
      <w:iCs/>
      <w:caps/>
      <w:spacing w:val="-4"/>
      <w:sz w:val="22"/>
      <w:shd w:val="clear" w:color="auto" w:fill="BFBFBF" w:themeFill="background1" w:themeFillShade="BF"/>
      <w:lang w:val="en-GB"/>
    </w:rPr>
  </w:style>
  <w:style w:type="character" w:customStyle="1" w:styleId="Heading5Char">
    <w:name w:val="Heading 5 Char"/>
    <w:aliases w:val="Subheading Char"/>
    <w:basedOn w:val="DefaultParagraphFont"/>
    <w:link w:val="Heading5"/>
    <w:uiPriority w:val="9"/>
    <w:rsid w:val="00C33E4E"/>
    <w:rPr>
      <w:rFonts w:ascii="Arial" w:hAnsi="Arial"/>
      <w:b/>
      <w:bCs/>
      <w:caps/>
      <w:spacing w:val="-4"/>
      <w:sz w:val="20"/>
      <w:lang w:val="en-GB"/>
    </w:rPr>
  </w:style>
  <w:style w:type="character" w:customStyle="1" w:styleId="Heading6Char">
    <w:name w:val="Heading 6 Char"/>
    <w:basedOn w:val="DefaultParagraphFont"/>
    <w:link w:val="Heading6"/>
    <w:uiPriority w:val="9"/>
    <w:rsid w:val="00C33E4E"/>
    <w:rPr>
      <w:rFonts w:ascii="Arial" w:hAnsi="Arial"/>
      <w:b/>
      <w:bCs/>
      <w:spacing w:val="-4"/>
      <w:lang w:val="en-GB"/>
    </w:rPr>
  </w:style>
  <w:style w:type="character" w:customStyle="1" w:styleId="Heading7Char">
    <w:name w:val="Heading 7 Char"/>
    <w:basedOn w:val="DefaultParagraphFont"/>
    <w:link w:val="Heading7"/>
    <w:uiPriority w:val="9"/>
    <w:rsid w:val="00C33E4E"/>
    <w:rPr>
      <w:rFonts w:ascii="Arial" w:hAnsi="Arial"/>
      <w:spacing w:val="-4"/>
      <w:u w:val="single"/>
      <w:lang w:val="en-GB"/>
    </w:rPr>
  </w:style>
  <w:style w:type="character" w:customStyle="1" w:styleId="Heading8Char">
    <w:name w:val="Heading 8 Char"/>
    <w:basedOn w:val="DefaultParagraphFont"/>
    <w:link w:val="Heading8"/>
    <w:uiPriority w:val="9"/>
    <w:rsid w:val="00C33E4E"/>
    <w:rPr>
      <w:rFonts w:asciiTheme="majorHAnsi" w:eastAsiaTheme="majorEastAsia" w:hAnsiTheme="majorHAnsi" w:cstheme="majorBidi"/>
      <w:color w:val="272727" w:themeColor="text1" w:themeTint="D8"/>
      <w:spacing w:val="-4"/>
      <w:sz w:val="21"/>
      <w:szCs w:val="21"/>
      <w:lang w:val="en-GB"/>
    </w:rPr>
  </w:style>
  <w:style w:type="character" w:customStyle="1" w:styleId="Heading9Char">
    <w:name w:val="Heading 9 Char"/>
    <w:basedOn w:val="DefaultParagraphFont"/>
    <w:link w:val="Heading9"/>
    <w:uiPriority w:val="9"/>
    <w:rsid w:val="00C33E4E"/>
    <w:rPr>
      <w:rFonts w:asciiTheme="majorHAnsi" w:eastAsiaTheme="majorEastAsia" w:hAnsiTheme="majorHAnsi" w:cstheme="majorBidi"/>
      <w:i/>
      <w:iCs/>
      <w:color w:val="272727" w:themeColor="text1" w:themeTint="D8"/>
      <w:spacing w:val="-4"/>
      <w:sz w:val="21"/>
      <w:szCs w:val="21"/>
      <w:lang w:val="en-GB"/>
    </w:rPr>
  </w:style>
  <w:style w:type="paragraph" w:styleId="NoSpacing">
    <w:name w:val="No Spacing"/>
    <w:uiPriority w:val="1"/>
    <w:qFormat/>
    <w:rsid w:val="00C33E4E"/>
    <w:rPr>
      <w:rFonts w:ascii="Arial" w:hAnsi="Arial"/>
      <w:spacing w:val="-4"/>
    </w:rPr>
  </w:style>
  <w:style w:type="paragraph" w:styleId="Header">
    <w:name w:val="header"/>
    <w:basedOn w:val="Normal"/>
    <w:link w:val="HeaderChar"/>
    <w:uiPriority w:val="99"/>
    <w:unhideWhenUsed/>
    <w:rsid w:val="00C33E4E"/>
    <w:pPr>
      <w:pBdr>
        <w:bottom w:val="single" w:sz="18" w:space="1" w:color="auto"/>
      </w:pBdr>
      <w:tabs>
        <w:tab w:val="center" w:pos="3261"/>
        <w:tab w:val="right" w:pos="6663"/>
      </w:tabs>
      <w:spacing w:before="0" w:after="0"/>
    </w:pPr>
    <w:rPr>
      <w:b/>
      <w:caps/>
      <w:sz w:val="16"/>
      <w:lang w:val="en-ZA"/>
    </w:rPr>
  </w:style>
  <w:style w:type="character" w:customStyle="1" w:styleId="HeaderChar">
    <w:name w:val="Header Char"/>
    <w:basedOn w:val="DefaultParagraphFont"/>
    <w:link w:val="Header"/>
    <w:uiPriority w:val="99"/>
    <w:rsid w:val="00C33E4E"/>
    <w:rPr>
      <w:rFonts w:ascii="Arial" w:hAnsi="Arial"/>
      <w:b/>
      <w:caps/>
      <w:spacing w:val="-4"/>
      <w:sz w:val="16"/>
    </w:rPr>
  </w:style>
  <w:style w:type="paragraph" w:styleId="Footer">
    <w:name w:val="footer"/>
    <w:basedOn w:val="Normal"/>
    <w:link w:val="FooterChar"/>
    <w:uiPriority w:val="99"/>
    <w:unhideWhenUsed/>
    <w:rsid w:val="00C33E4E"/>
    <w:pPr>
      <w:pBdr>
        <w:top w:val="single" w:sz="4" w:space="1" w:color="auto"/>
      </w:pBdr>
      <w:tabs>
        <w:tab w:val="right" w:pos="6663"/>
      </w:tabs>
      <w:spacing w:before="0" w:after="0"/>
    </w:pPr>
    <w:rPr>
      <w:lang w:val="en-ZA"/>
    </w:rPr>
  </w:style>
  <w:style w:type="character" w:customStyle="1" w:styleId="FooterChar">
    <w:name w:val="Footer Char"/>
    <w:basedOn w:val="DefaultParagraphFont"/>
    <w:link w:val="Footer"/>
    <w:uiPriority w:val="99"/>
    <w:rsid w:val="00C33E4E"/>
    <w:rPr>
      <w:rFonts w:ascii="Arial" w:hAnsi="Arial"/>
      <w:spacing w:val="-4"/>
    </w:rPr>
  </w:style>
  <w:style w:type="paragraph" w:styleId="Title">
    <w:name w:val="Title"/>
    <w:basedOn w:val="Normal"/>
    <w:next w:val="Normal"/>
    <w:link w:val="TitleChar"/>
    <w:uiPriority w:val="10"/>
    <w:unhideWhenUsed/>
    <w:qFormat/>
    <w:rsid w:val="00C33E4E"/>
    <w:pPr>
      <w:spacing w:before="0" w:after="0"/>
      <w:contextualSpacing/>
    </w:pPr>
    <w:rPr>
      <w:rFonts w:ascii="Arial Black" w:eastAsiaTheme="majorEastAsia" w:hAnsi="Arial Black" w:cstheme="majorBidi"/>
      <w:spacing w:val="-10"/>
      <w:kern w:val="28"/>
      <w:sz w:val="32"/>
      <w:szCs w:val="56"/>
    </w:rPr>
  </w:style>
  <w:style w:type="character" w:customStyle="1" w:styleId="TitleChar">
    <w:name w:val="Title Char"/>
    <w:basedOn w:val="DefaultParagraphFont"/>
    <w:link w:val="Title"/>
    <w:uiPriority w:val="10"/>
    <w:rsid w:val="00C33E4E"/>
    <w:rPr>
      <w:rFonts w:ascii="Arial Black" w:eastAsiaTheme="majorEastAsia" w:hAnsi="Arial Black" w:cstheme="majorBidi"/>
      <w:spacing w:val="-10"/>
      <w:kern w:val="28"/>
      <w:sz w:val="32"/>
      <w:szCs w:val="56"/>
      <w:lang w:val="en-GB"/>
    </w:rPr>
  </w:style>
  <w:style w:type="character" w:styleId="Hyperlink">
    <w:name w:val="Hyperlink"/>
    <w:basedOn w:val="DefaultParagraphFont"/>
    <w:uiPriority w:val="99"/>
    <w:rsid w:val="00C33E4E"/>
    <w:rPr>
      <w:color w:val="0563C1" w:themeColor="hyperlink"/>
      <w:u w:val="single"/>
    </w:rPr>
  </w:style>
  <w:style w:type="paragraph" w:styleId="TOC1">
    <w:name w:val="toc 1"/>
    <w:basedOn w:val="Normal"/>
    <w:next w:val="Normal"/>
    <w:autoRedefine/>
    <w:uiPriority w:val="39"/>
    <w:unhideWhenUsed/>
    <w:rsid w:val="00C33E4E"/>
    <w:pPr>
      <w:tabs>
        <w:tab w:val="left" w:pos="1276"/>
        <w:tab w:val="right" w:pos="6113"/>
      </w:tabs>
      <w:spacing w:after="100"/>
    </w:pPr>
    <w:rPr>
      <w:rFonts w:eastAsiaTheme="minorEastAsia" w:cs="Arial"/>
      <w:b/>
      <w:bCs/>
      <w:caps/>
      <w:noProof/>
      <w:sz w:val="16"/>
      <w:szCs w:val="16"/>
      <w:lang w:val="en-ZA" w:eastAsia="en-ZA"/>
    </w:rPr>
  </w:style>
  <w:style w:type="paragraph" w:styleId="TOC2">
    <w:name w:val="toc 2"/>
    <w:basedOn w:val="Normal"/>
    <w:next w:val="Normal"/>
    <w:autoRedefine/>
    <w:uiPriority w:val="39"/>
    <w:unhideWhenUsed/>
    <w:rsid w:val="00C33E4E"/>
    <w:pPr>
      <w:tabs>
        <w:tab w:val="left" w:pos="709"/>
        <w:tab w:val="right" w:pos="6113"/>
      </w:tabs>
      <w:spacing w:after="100"/>
    </w:pPr>
    <w:rPr>
      <w:noProof/>
      <w:sz w:val="16"/>
    </w:rPr>
  </w:style>
  <w:style w:type="paragraph" w:styleId="TOC3">
    <w:name w:val="toc 3"/>
    <w:basedOn w:val="Normal"/>
    <w:next w:val="Normal"/>
    <w:autoRedefine/>
    <w:uiPriority w:val="39"/>
    <w:unhideWhenUsed/>
    <w:rsid w:val="00C33E4E"/>
    <w:pPr>
      <w:tabs>
        <w:tab w:val="left" w:pos="1418"/>
        <w:tab w:val="right" w:pos="6113"/>
      </w:tabs>
      <w:spacing w:after="100"/>
      <w:ind w:left="709"/>
    </w:pPr>
    <w:rPr>
      <w:noProof/>
      <w:sz w:val="16"/>
    </w:rPr>
  </w:style>
  <w:style w:type="table" w:styleId="TableGrid">
    <w:name w:val="Table Grid"/>
    <w:basedOn w:val="TableNormal"/>
    <w:uiPriority w:val="39"/>
    <w:rsid w:val="00C3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3E4E"/>
    <w:pPr>
      <w:keepNext/>
      <w:keepLines/>
      <w:numPr>
        <w:numId w:val="0"/>
      </w:numPr>
      <w:pBdr>
        <w:bottom w:val="single" w:sz="18" w:space="1" w:color="auto"/>
      </w:pBdr>
      <w:spacing w:before="240" w:after="240"/>
      <w:contextualSpacing w:val="0"/>
      <w:jc w:val="center"/>
      <w:outlineLvl w:val="9"/>
    </w:pPr>
    <w:rPr>
      <w:rFonts w:ascii="Arial" w:hAnsi="Arial" w:cs="Arial"/>
      <w:b/>
      <w:bCs/>
      <w:caps/>
      <w:spacing w:val="0"/>
      <w:kern w:val="0"/>
      <w:sz w:val="28"/>
      <w:szCs w:val="32"/>
      <w:lang w:val="en-US"/>
    </w:rPr>
  </w:style>
  <w:style w:type="table" w:customStyle="1" w:styleId="SamplePHCTable">
    <w:name w:val="Sample PHC Table"/>
    <w:basedOn w:val="TableGrid"/>
    <w:uiPriority w:val="99"/>
    <w:rsid w:val="00C33E4E"/>
    <w:pPr>
      <w:jc w:val="center"/>
    </w:pPr>
    <w:rPr>
      <w:rFonts w:ascii="Arial" w:hAnsi="Arial"/>
      <w:sz w:val="16"/>
    </w:rPr>
    <w:tblPr/>
    <w:tcPr>
      <w:shd w:val="clear" w:color="auto" w:fill="auto"/>
    </w:tcPr>
    <w:tblStylePr w:type="firstRow">
      <w:pPr>
        <w:wordWrap/>
        <w:spacing w:beforeLines="0" w:before="0" w:beforeAutospacing="0" w:afterLines="0" w:after="0" w:afterAutospacing="0"/>
        <w:jc w:val="left"/>
      </w:pPr>
      <w:rPr>
        <w:rFonts w:ascii="Arial" w:hAnsi="Arial"/>
        <w:b/>
        <w:sz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vAlign w:val="center"/>
      </w:tcPr>
    </w:tblStylePr>
    <w:tblStylePr w:type="lastRow">
      <w:pPr>
        <w:wordWrap/>
        <w:jc w:val="left"/>
      </w:pPr>
      <w:rPr>
        <w:rFonts w:ascii="Arial" w:hAnsi="Arial"/>
        <w:b w:val="0"/>
        <w:sz w:val="12"/>
      </w:rPr>
      <w:tblPr/>
      <w:tcPr>
        <w:tcBorders>
          <w:top w:val="nil"/>
          <w:left w:val="nil"/>
          <w:bottom w:val="nil"/>
          <w:right w:val="nil"/>
          <w:insideH w:val="nil"/>
          <w:insideV w:val="nil"/>
          <w:tl2br w:val="nil"/>
          <w:tr2bl w:val="nil"/>
        </w:tcBorders>
        <w:shd w:val="clear" w:color="auto" w:fill="auto"/>
      </w:tcPr>
    </w:tblStylePr>
  </w:style>
  <w:style w:type="table" w:styleId="LightList-Accent1">
    <w:name w:val="Light List Accent 1"/>
    <w:basedOn w:val="TableNormal"/>
    <w:uiPriority w:val="61"/>
    <w:unhideWhenUsed/>
    <w:rsid w:val="00C33E4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C33E4E"/>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C33E4E"/>
    <w:rPr>
      <w:rFonts w:ascii="Segoe UI" w:hAnsi="Segoe UI" w:cs="Segoe UI"/>
      <w:spacing w:val="-4"/>
      <w:lang w:val="en-GB"/>
    </w:rPr>
  </w:style>
  <w:style w:type="paragraph" w:styleId="TOC9">
    <w:name w:val="toc 9"/>
    <w:aliases w:val="CH TOC 4"/>
    <w:basedOn w:val="Normal"/>
    <w:next w:val="Normal"/>
    <w:autoRedefine/>
    <w:uiPriority w:val="39"/>
    <w:unhideWhenUsed/>
    <w:rsid w:val="00C33E4E"/>
    <w:pPr>
      <w:tabs>
        <w:tab w:val="left" w:pos="3119"/>
        <w:tab w:val="right" w:pos="6113"/>
      </w:tabs>
      <w:spacing w:after="100"/>
      <w:ind w:left="3119" w:hanging="992"/>
    </w:pPr>
    <w:rPr>
      <w:rFonts w:ascii="Arial Black" w:hAnsi="Arial Black"/>
      <w:noProof/>
      <w:sz w:val="20"/>
    </w:rPr>
  </w:style>
  <w:style w:type="paragraph" w:styleId="TOC8">
    <w:name w:val="toc 8"/>
    <w:aliases w:val="CH TOC 3"/>
    <w:basedOn w:val="Normal"/>
    <w:next w:val="Normal"/>
    <w:autoRedefine/>
    <w:uiPriority w:val="39"/>
    <w:unhideWhenUsed/>
    <w:rsid w:val="00C33E4E"/>
    <w:pPr>
      <w:tabs>
        <w:tab w:val="left" w:pos="2127"/>
        <w:tab w:val="right" w:pos="6113"/>
      </w:tabs>
      <w:spacing w:before="40" w:after="40"/>
      <w:ind w:left="2127" w:hanging="709"/>
    </w:pPr>
    <w:rPr>
      <w:rFonts w:ascii="Arial Black" w:hAnsi="Arial Black"/>
      <w:noProof/>
      <w:sz w:val="20"/>
    </w:rPr>
  </w:style>
  <w:style w:type="character" w:styleId="CommentReference">
    <w:name w:val="annotation reference"/>
    <w:basedOn w:val="DefaultParagraphFont"/>
    <w:uiPriority w:val="99"/>
    <w:semiHidden/>
    <w:unhideWhenUsed/>
    <w:rsid w:val="00C33E4E"/>
    <w:rPr>
      <w:sz w:val="16"/>
      <w:szCs w:val="16"/>
    </w:rPr>
  </w:style>
  <w:style w:type="paragraph" w:styleId="CommentText">
    <w:name w:val="annotation text"/>
    <w:basedOn w:val="Normal"/>
    <w:link w:val="CommentTextChar"/>
    <w:uiPriority w:val="99"/>
    <w:unhideWhenUsed/>
    <w:rsid w:val="00C33E4E"/>
    <w:rPr>
      <w:sz w:val="20"/>
      <w:szCs w:val="20"/>
    </w:rPr>
  </w:style>
  <w:style w:type="character" w:customStyle="1" w:styleId="CommentTextChar">
    <w:name w:val="Comment Text Char"/>
    <w:basedOn w:val="DefaultParagraphFont"/>
    <w:link w:val="CommentText"/>
    <w:uiPriority w:val="99"/>
    <w:rsid w:val="00C33E4E"/>
    <w:rPr>
      <w:rFonts w:ascii="Arial" w:hAnsi="Arial"/>
      <w:spacing w:val="-4"/>
      <w:sz w:val="20"/>
      <w:szCs w:val="20"/>
      <w:lang w:val="en-GB"/>
    </w:rPr>
  </w:style>
  <w:style w:type="paragraph" w:styleId="CommentSubject">
    <w:name w:val="annotation subject"/>
    <w:basedOn w:val="CommentText"/>
    <w:next w:val="CommentText"/>
    <w:link w:val="CommentSubjectChar"/>
    <w:uiPriority w:val="99"/>
    <w:semiHidden/>
    <w:unhideWhenUsed/>
    <w:rsid w:val="00C33E4E"/>
    <w:rPr>
      <w:b/>
      <w:bCs/>
    </w:rPr>
  </w:style>
  <w:style w:type="character" w:customStyle="1" w:styleId="CommentSubjectChar">
    <w:name w:val="Comment Subject Char"/>
    <w:basedOn w:val="CommentTextChar"/>
    <w:link w:val="CommentSubject"/>
    <w:uiPriority w:val="99"/>
    <w:semiHidden/>
    <w:rsid w:val="00C33E4E"/>
    <w:rPr>
      <w:rFonts w:ascii="Arial" w:hAnsi="Arial"/>
      <w:b/>
      <w:bCs/>
      <w:spacing w:val="-4"/>
      <w:sz w:val="20"/>
      <w:szCs w:val="20"/>
      <w:lang w:val="en-GB"/>
    </w:rPr>
  </w:style>
  <w:style w:type="paragraph" w:styleId="TOC7">
    <w:name w:val="toc 7"/>
    <w:aliases w:val="CH TOC 2"/>
    <w:basedOn w:val="Normal"/>
    <w:next w:val="Normal"/>
    <w:autoRedefine/>
    <w:uiPriority w:val="39"/>
    <w:unhideWhenUsed/>
    <w:rsid w:val="00C33E4E"/>
    <w:pPr>
      <w:tabs>
        <w:tab w:val="left" w:pos="1418"/>
        <w:tab w:val="right" w:leader="dot" w:pos="6113"/>
      </w:tabs>
      <w:spacing w:before="40" w:after="40"/>
      <w:ind w:left="1418" w:hanging="567"/>
    </w:pPr>
    <w:rPr>
      <w:rFonts w:ascii="Arial Black" w:hAnsi="Arial Black"/>
      <w:noProof/>
      <w:sz w:val="20"/>
      <w:szCs w:val="20"/>
    </w:rPr>
  </w:style>
  <w:style w:type="paragraph" w:customStyle="1" w:styleId="Heading1A">
    <w:name w:val="Heading 1A"/>
    <w:aliases w:val="Chapter Sub-Heading"/>
    <w:basedOn w:val="Heading2"/>
    <w:next w:val="Normal"/>
    <w:uiPriority w:val="9"/>
    <w:qFormat/>
    <w:rsid w:val="00C33E4E"/>
    <w:pPr>
      <w:pageBreakBefore/>
      <w:numPr>
        <w:ilvl w:val="0"/>
        <w:numId w:val="0"/>
      </w:numPr>
      <w:ind w:left="578" w:hanging="578"/>
      <w:jc w:val="center"/>
    </w:pPr>
    <w:rPr>
      <w:sz w:val="24"/>
      <w:szCs w:val="24"/>
    </w:rPr>
  </w:style>
  <w:style w:type="paragraph" w:styleId="TOC6">
    <w:name w:val="toc 6"/>
    <w:aliases w:val="CH TOC 1A"/>
    <w:basedOn w:val="Normal"/>
    <w:next w:val="Normal"/>
    <w:autoRedefine/>
    <w:uiPriority w:val="39"/>
    <w:unhideWhenUsed/>
    <w:rsid w:val="00C33E4E"/>
    <w:pPr>
      <w:tabs>
        <w:tab w:val="right" w:leader="dot" w:pos="6113"/>
      </w:tabs>
      <w:spacing w:after="100"/>
    </w:pPr>
    <w:rPr>
      <w:rFonts w:ascii="Arial Black" w:hAnsi="Arial Black"/>
      <w:noProof/>
      <w:sz w:val="24"/>
      <w:szCs w:val="24"/>
    </w:rPr>
  </w:style>
  <w:style w:type="paragraph" w:styleId="TOC4">
    <w:name w:val="toc 4"/>
    <w:basedOn w:val="Normal"/>
    <w:next w:val="Normal"/>
    <w:autoRedefine/>
    <w:uiPriority w:val="39"/>
    <w:unhideWhenUsed/>
    <w:rsid w:val="00C33E4E"/>
    <w:pPr>
      <w:tabs>
        <w:tab w:val="left" w:pos="2268"/>
        <w:tab w:val="right" w:pos="6113"/>
      </w:tabs>
      <w:spacing w:after="100"/>
      <w:ind w:left="2268" w:hanging="850"/>
    </w:pPr>
    <w:rPr>
      <w:noProof/>
      <w:sz w:val="16"/>
      <w:szCs w:val="16"/>
    </w:rPr>
  </w:style>
  <w:style w:type="paragraph" w:styleId="ListParagraph">
    <w:name w:val="List Paragraph"/>
    <w:basedOn w:val="NoSpacing"/>
    <w:uiPriority w:val="2"/>
    <w:qFormat/>
    <w:rsid w:val="00C33E4E"/>
    <w:pPr>
      <w:numPr>
        <w:numId w:val="5"/>
      </w:numPr>
      <w:contextualSpacing/>
    </w:pPr>
  </w:style>
  <w:style w:type="paragraph" w:customStyle="1" w:styleId="BulletTherapeuticclass">
    <w:name w:val="Bullet Therapeutic class"/>
    <w:basedOn w:val="NoSpacing"/>
    <w:next w:val="Normal"/>
    <w:uiPriority w:val="4"/>
    <w:qFormat/>
    <w:rsid w:val="00C33E4E"/>
    <w:pPr>
      <w:numPr>
        <w:numId w:val="1"/>
      </w:numPr>
    </w:pPr>
  </w:style>
  <w:style w:type="character" w:customStyle="1" w:styleId="UnresolvedMention1">
    <w:name w:val="Unresolved Mention1"/>
    <w:basedOn w:val="DefaultParagraphFont"/>
    <w:uiPriority w:val="99"/>
    <w:semiHidden/>
    <w:unhideWhenUsed/>
    <w:rsid w:val="00C33E4E"/>
    <w:rPr>
      <w:color w:val="605E5C"/>
      <w:shd w:val="clear" w:color="auto" w:fill="E1DFDD"/>
    </w:rPr>
  </w:style>
  <w:style w:type="character" w:styleId="FollowedHyperlink">
    <w:name w:val="FollowedHyperlink"/>
    <w:basedOn w:val="DefaultParagraphFont"/>
    <w:uiPriority w:val="99"/>
    <w:semiHidden/>
    <w:unhideWhenUsed/>
    <w:rsid w:val="00C33E4E"/>
    <w:rPr>
      <w:color w:val="954F72" w:themeColor="followedHyperlink"/>
      <w:u w:val="single"/>
    </w:rPr>
  </w:style>
  <w:style w:type="paragraph" w:customStyle="1" w:styleId="BulletMedicine">
    <w:name w:val="Bullet Medicine"/>
    <w:basedOn w:val="BulletTherapeuticclass"/>
    <w:next w:val="Normal"/>
    <w:uiPriority w:val="5"/>
    <w:qFormat/>
    <w:rsid w:val="00C33E4E"/>
    <w:pPr>
      <w:numPr>
        <w:numId w:val="16"/>
      </w:numPr>
    </w:pPr>
  </w:style>
  <w:style w:type="paragraph" w:customStyle="1" w:styleId="BulletDirectionsInstructions">
    <w:name w:val="Bullet Directions/Instructions"/>
    <w:basedOn w:val="BulletTherapeuticclass"/>
    <w:next w:val="Normal"/>
    <w:uiPriority w:val="6"/>
    <w:qFormat/>
    <w:rsid w:val="00C33E4E"/>
    <w:pPr>
      <w:numPr>
        <w:numId w:val="2"/>
      </w:numPr>
    </w:pPr>
  </w:style>
  <w:style w:type="paragraph" w:customStyle="1" w:styleId="ICD10">
    <w:name w:val="ICD 10"/>
    <w:basedOn w:val="NoSpacing"/>
    <w:next w:val="Normal"/>
    <w:uiPriority w:val="9"/>
    <w:qFormat/>
    <w:rsid w:val="00C33E4E"/>
    <w:rPr>
      <w:sz w:val="16"/>
    </w:rPr>
  </w:style>
  <w:style w:type="paragraph" w:styleId="EndnoteText">
    <w:name w:val="endnote text"/>
    <w:basedOn w:val="Normal"/>
    <w:link w:val="EndnoteTextChar"/>
    <w:uiPriority w:val="10"/>
    <w:rsid w:val="00C33E4E"/>
    <w:rPr>
      <w:sz w:val="12"/>
    </w:rPr>
  </w:style>
  <w:style w:type="paragraph" w:customStyle="1" w:styleId="TableText">
    <w:name w:val="Table Text"/>
    <w:basedOn w:val="NoSpacing"/>
    <w:uiPriority w:val="3"/>
    <w:qFormat/>
    <w:rsid w:val="00C33E4E"/>
    <w:rPr>
      <w:sz w:val="16"/>
      <w:szCs w:val="16"/>
    </w:rPr>
  </w:style>
  <w:style w:type="character" w:customStyle="1" w:styleId="EndnoteTextChar">
    <w:name w:val="Endnote Text Char"/>
    <w:basedOn w:val="DefaultParagraphFont"/>
    <w:link w:val="EndnoteText"/>
    <w:uiPriority w:val="10"/>
    <w:rsid w:val="00C33E4E"/>
    <w:rPr>
      <w:rFonts w:ascii="Arial" w:hAnsi="Arial"/>
      <w:spacing w:val="-4"/>
      <w:sz w:val="12"/>
      <w:lang w:val="en-GB"/>
    </w:rPr>
  </w:style>
  <w:style w:type="character" w:styleId="EndnoteReference">
    <w:name w:val="endnote reference"/>
    <w:basedOn w:val="DefaultParagraphFont"/>
    <w:uiPriority w:val="10"/>
    <w:rsid w:val="00C33E4E"/>
    <w:rPr>
      <w:sz w:val="12"/>
      <w:szCs w:val="12"/>
      <w:vertAlign w:val="superscript"/>
    </w:rPr>
  </w:style>
  <w:style w:type="character" w:styleId="Emphasis">
    <w:name w:val="Emphasis"/>
    <w:basedOn w:val="DefaultParagraphFont"/>
    <w:uiPriority w:val="20"/>
    <w:qFormat/>
    <w:rsid w:val="00C33E4E"/>
    <w:rPr>
      <w:i/>
      <w:iCs/>
    </w:rPr>
  </w:style>
  <w:style w:type="paragraph" w:customStyle="1" w:styleId="LoEText">
    <w:name w:val="LoE Text"/>
    <w:basedOn w:val="TableText"/>
    <w:uiPriority w:val="3"/>
    <w:qFormat/>
    <w:rsid w:val="00C33E4E"/>
    <w:pPr>
      <w:framePr w:hSpace="284" w:wrap="around" w:vAnchor="text" w:hAnchor="margin" w:xAlign="right" w:y="1"/>
      <w:suppressOverlap/>
      <w:jc w:val="right"/>
    </w:pPr>
    <w:rPr>
      <w:i/>
    </w:rPr>
  </w:style>
  <w:style w:type="paragraph" w:customStyle="1" w:styleId="Centeredbox">
    <w:name w:val="Centered box"/>
    <w:basedOn w:val="Normal"/>
    <w:uiPriority w:val="7"/>
    <w:qFormat/>
    <w:rsid w:val="00C33E4E"/>
    <w:pPr>
      <w:pBdr>
        <w:top w:val="double" w:sz="4" w:space="1" w:color="auto"/>
        <w:left w:val="double" w:sz="4" w:space="4" w:color="auto"/>
        <w:bottom w:val="double" w:sz="4" w:space="1" w:color="auto"/>
        <w:right w:val="double" w:sz="4" w:space="4" w:color="auto"/>
      </w:pBdr>
      <w:spacing w:before="120" w:after="120"/>
      <w:jc w:val="center"/>
    </w:pPr>
  </w:style>
  <w:style w:type="character" w:styleId="Strong">
    <w:name w:val="Strong"/>
    <w:basedOn w:val="DefaultParagraphFont"/>
    <w:uiPriority w:val="22"/>
    <w:qFormat/>
    <w:rsid w:val="00C33E4E"/>
    <w:rPr>
      <w:b/>
      <w:bCs/>
    </w:rPr>
  </w:style>
  <w:style w:type="paragraph" w:styleId="Revision">
    <w:name w:val="Revision"/>
    <w:hidden/>
    <w:uiPriority w:val="99"/>
    <w:semiHidden/>
    <w:rsid w:val="00FC0494"/>
    <w:rPr>
      <w:rFonts w:ascii="Arial" w:eastAsia="Times New Roman" w:hAnsi="Arial" w:cs="Times New Roman"/>
      <w:sz w:val="20"/>
      <w:szCs w:val="24"/>
      <w:lang w:val="en-US"/>
    </w:rPr>
  </w:style>
  <w:style w:type="paragraph" w:customStyle="1" w:styleId="BulletNutrition">
    <w:name w:val="Bullet Nutrition"/>
    <w:basedOn w:val="BulletMedicine"/>
    <w:uiPriority w:val="5"/>
    <w:qFormat/>
    <w:rsid w:val="00C33E4E"/>
    <w:pPr>
      <w:numPr>
        <w:numId w:val="6"/>
      </w:numPr>
    </w:pPr>
  </w:style>
  <w:style w:type="paragraph" w:styleId="Index1">
    <w:name w:val="index 1"/>
    <w:basedOn w:val="Normal"/>
    <w:next w:val="Normal"/>
    <w:autoRedefine/>
    <w:uiPriority w:val="99"/>
    <w:semiHidden/>
    <w:unhideWhenUsed/>
    <w:rsid w:val="006B44E4"/>
    <w:pPr>
      <w:spacing w:before="0" w:after="0"/>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13" Type="http://schemas.openxmlformats.org/officeDocument/2006/relationships/hyperlink" Target="https://kdigo.org/wp-content/uploads/2017/02/KDIGO_CKD_GL_Appendix_1_Jan_2013.pdf" TargetMode="External"/><Relationship Id="rId3" Type="http://schemas.openxmlformats.org/officeDocument/2006/relationships/hyperlink" Target="https://www.ncbi.nlm.nih.gov/pubmed/17536077" TargetMode="External"/><Relationship Id="rId7" Type="http://schemas.openxmlformats.org/officeDocument/2006/relationships/hyperlink" Target="http://guidelines.diabetes.ca/app_themes/cdacpg/resources/cpg_2013_full_en.pdf" TargetMode="External"/><Relationship Id="rId12" Type="http://schemas.openxmlformats.org/officeDocument/2006/relationships/hyperlink" Target="https://www.ncbi.nlm.nih.gov/pubmed/15983093" TargetMode="External"/><Relationship Id="rId17" Type="http://schemas.openxmlformats.org/officeDocument/2006/relationships/hyperlink" Target="https://www.ncbi.nlm.nih.gov/pubmed/28477396" TargetMode="External"/><Relationship Id="rId2" Type="http://schemas.openxmlformats.org/officeDocument/2006/relationships/hyperlink" Target="http://www.jemdsa.co.za/index.php/JEMDSA/article/view/647/937" TargetMode="External"/><Relationship Id="rId16" Type="http://schemas.openxmlformats.org/officeDocument/2006/relationships/hyperlink" Target="https://www.ncbi.nlm.nih.gov/pubmed/23470492" TargetMode="External"/><Relationship Id="rId1" Type="http://schemas.openxmlformats.org/officeDocument/2006/relationships/hyperlink" Target="http://www.jemdsa.co.za/index.php/JEMDSA/article/view/647/937" TargetMode="External"/><Relationship Id="rId6" Type="http://schemas.openxmlformats.org/officeDocument/2006/relationships/hyperlink" Target="http://www.jemdsa.co.za/index.php/JEMDSA/article/view/647/937" TargetMode="External"/><Relationship Id="rId11" Type="http://schemas.openxmlformats.org/officeDocument/2006/relationships/hyperlink" Target="http://www.jemdsa.co.za/index.php/JEMDSA/article/view/647/937" TargetMode="External"/><Relationship Id="rId5" Type="http://schemas.openxmlformats.org/officeDocument/2006/relationships/hyperlink" Target="https://www.ncbi.nlm.nih.gov/pubmed/24357208" TargetMode="External"/><Relationship Id="rId15" Type="http://schemas.openxmlformats.org/officeDocument/2006/relationships/hyperlink" Target="http://www.health.gov.za/" TargetMode="External"/><Relationship Id="rId10" Type="http://schemas.openxmlformats.org/officeDocument/2006/relationships/hyperlink" Target="http://www.ncbi.nlm.nih.gov/pubmed/20920046" TargetMode="External"/><Relationship Id="rId4" Type="http://schemas.openxmlformats.org/officeDocument/2006/relationships/hyperlink" Target="http://www.jemdsa.co.za/index.php/JEMDSA/article/view/647/937" TargetMode="External"/><Relationship Id="rId9" Type="http://schemas.openxmlformats.org/officeDocument/2006/relationships/hyperlink" Target="http://www.ncbi.nlm.nih.gov/pubmed/21617112" TargetMode="External"/><Relationship Id="rId14" Type="http://schemas.openxmlformats.org/officeDocument/2006/relationships/hyperlink" Target="https://www.ncbi.nlm.nih.gov/pubmed/232356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20EML%20revisions\Document%20build%20-%20Andre\Template\PHC%20STG%20Template_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80A5-C31E-482A-AF90-925883F0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PHC STG Template_Chapter</Template>
  <TotalTime>26</TotalTime>
  <Pages>24</Pages>
  <Words>6228</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Chapter #</vt:lpstr>
    </vt:vector>
  </TitlesOfParts>
  <Company/>
  <LinksUpToDate>false</LinksUpToDate>
  <CharactersWithSpaces>41645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c:title>
  <dc:subject>Chapter Description</dc:subject>
  <dc:creator>andre</dc:creator>
  <cp:keywords/>
  <dc:description/>
  <cp:lastModifiedBy>Maropeng Rapetsoa</cp:lastModifiedBy>
  <cp:revision>17</cp:revision>
  <dcterms:created xsi:type="dcterms:W3CDTF">2020-12-17T12:52:00Z</dcterms:created>
  <dcterms:modified xsi:type="dcterms:W3CDTF">2025-07-18T13:44:00Z</dcterms:modified>
</cp:coreProperties>
</file>