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F6DEC" w14:textId="2DE5A5CA" w:rsidR="001855BE" w:rsidRDefault="001855BE" w:rsidP="0C4CFC49">
      <w:pPr>
        <w:jc w:val="both"/>
        <w:rPr>
          <w:u w:val="single"/>
        </w:rPr>
      </w:pPr>
    </w:p>
    <w:p w14:paraId="6A8F8956" w14:textId="05D339A4" w:rsidR="00EB0DC0" w:rsidRDefault="007D133F" w:rsidP="000A5015">
      <w:pPr>
        <w:spacing w:after="0"/>
        <w:jc w:val="both"/>
        <w:rPr>
          <w:u w:val="single"/>
        </w:rPr>
      </w:pPr>
      <w:r w:rsidRPr="008946EB">
        <w:rPr>
          <w:noProof/>
          <w:lang w:eastAsia="en-ZA"/>
        </w:rPr>
        <w:drawing>
          <wp:anchor distT="0" distB="0" distL="114300" distR="114300" simplePos="0" relativeHeight="251660288" behindDoc="1" locked="0" layoutInCell="1" allowOverlap="1" wp14:anchorId="37654B0F" wp14:editId="69213200">
            <wp:simplePos x="0" y="0"/>
            <wp:positionH relativeFrom="column">
              <wp:posOffset>5866130</wp:posOffset>
            </wp:positionH>
            <wp:positionV relativeFrom="paragraph">
              <wp:posOffset>-730885</wp:posOffset>
            </wp:positionV>
            <wp:extent cx="809625" cy="809625"/>
            <wp:effectExtent l="0" t="0" r="9525" b="9525"/>
            <wp:wrapNone/>
            <wp:docPr id="53515569" name="Picture 1" descr="Logo - NDP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58">
        <w:rPr>
          <w:noProof/>
          <w:sz w:val="24"/>
          <w:szCs w:val="24"/>
          <w:lang w:eastAsia="en-ZA"/>
        </w:rPr>
        <w:drawing>
          <wp:anchor distT="0" distB="0" distL="114300" distR="114300" simplePos="0" relativeHeight="251661312" behindDoc="1" locked="0" layoutInCell="1" allowOverlap="1" wp14:anchorId="58C91D69" wp14:editId="5251AF09">
            <wp:simplePos x="0" y="0"/>
            <wp:positionH relativeFrom="column">
              <wp:posOffset>-469900</wp:posOffset>
            </wp:positionH>
            <wp:positionV relativeFrom="paragraph">
              <wp:posOffset>-647700</wp:posOffset>
            </wp:positionV>
            <wp:extent cx="1848485" cy="666750"/>
            <wp:effectExtent l="0" t="0" r="0" b="0"/>
            <wp:wrapNone/>
            <wp:docPr id="905715205" name="Picture 0" descr="DOH_HiR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A3BFF" w14:textId="1576B944" w:rsidR="00D254B9" w:rsidRPr="00F95EE6" w:rsidRDefault="00193BF4" w:rsidP="00193BF4">
      <w:pPr>
        <w:pStyle w:val="Heading1"/>
        <w:spacing w:before="0" w:line="240" w:lineRule="auto"/>
        <w:jc w:val="center"/>
        <w:rPr>
          <w:rFonts w:eastAsia="Times New Roman"/>
          <w:b/>
          <w:bCs/>
          <w:color w:val="538135" w:themeColor="accent6" w:themeShade="BF"/>
          <w:sz w:val="28"/>
          <w:szCs w:val="28"/>
        </w:rPr>
      </w:pPr>
      <w:r w:rsidRPr="00F95EE6">
        <w:rPr>
          <w:rFonts w:eastAsia="Times New Roman"/>
          <w:b/>
          <w:bCs/>
          <w:color w:val="538135" w:themeColor="accent6" w:themeShade="BF"/>
          <w:sz w:val="28"/>
          <w:szCs w:val="28"/>
        </w:rPr>
        <w:t>SOUTH AFRICAN NATIONAL DEPARTMENT OF HEALTH</w:t>
      </w:r>
    </w:p>
    <w:p w14:paraId="7BA178BF" w14:textId="3BCA767F" w:rsidR="00193BF4" w:rsidRPr="00F95EE6" w:rsidRDefault="00193BF4" w:rsidP="00193BF4">
      <w:pPr>
        <w:pStyle w:val="Heading1"/>
        <w:spacing w:before="0" w:line="240" w:lineRule="auto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F95EE6">
        <w:rPr>
          <w:b/>
          <w:bCs/>
          <w:color w:val="538135" w:themeColor="accent6" w:themeShade="BF"/>
          <w:sz w:val="28"/>
          <w:szCs w:val="28"/>
        </w:rPr>
        <w:t>NEMLC SUMMARY REPORT ON UPDATES MADE TO THE</w:t>
      </w:r>
    </w:p>
    <w:p w14:paraId="59CA4A4E" w14:textId="236A6C37" w:rsidR="00193BF4" w:rsidRPr="00F95EE6" w:rsidRDefault="00193BF4" w:rsidP="00193BF4">
      <w:pPr>
        <w:pStyle w:val="Heading1"/>
        <w:spacing w:before="0" w:line="240" w:lineRule="auto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F95EE6">
        <w:rPr>
          <w:b/>
          <w:bCs/>
          <w:color w:val="538135" w:themeColor="accent6" w:themeShade="BF"/>
          <w:sz w:val="28"/>
          <w:szCs w:val="28"/>
        </w:rPr>
        <w:t>THE STANDARD TREATMENT GUIDELINES AND ESSENTIAL MEDICINE LIST GUIDANCE PRODUCTS</w:t>
      </w:r>
    </w:p>
    <w:p w14:paraId="1A1670C6" w14:textId="0305D05F" w:rsidR="00FB3447" w:rsidRPr="009F5DD0" w:rsidRDefault="009E1CFC" w:rsidP="2F89D8DF">
      <w:pPr>
        <w:pStyle w:val="Heading1"/>
        <w:pBdr>
          <w:bottom w:val="single" w:sz="18" w:space="1" w:color="000000"/>
        </w:pBdr>
        <w:spacing w:before="0" w:line="240" w:lineRule="auto"/>
        <w:jc w:val="center"/>
        <w:rPr>
          <w:color w:val="EE0000"/>
        </w:rPr>
      </w:pPr>
      <w:r>
        <w:rPr>
          <w:color w:val="EE0000"/>
        </w:rPr>
        <w:t xml:space="preserve">PHC </w:t>
      </w:r>
      <w:proofErr w:type="spellStart"/>
      <w:r>
        <w:rPr>
          <w:color w:val="EE0000"/>
        </w:rPr>
        <w:t>Chp</w:t>
      </w:r>
      <w:proofErr w:type="spellEnd"/>
      <w:r>
        <w:rPr>
          <w:color w:val="EE0000"/>
        </w:rPr>
        <w:t xml:space="preserve"> 11 </w:t>
      </w:r>
      <w:r w:rsidR="00BF603E">
        <w:rPr>
          <w:color w:val="EE0000"/>
        </w:rPr>
        <w:t>HIV</w:t>
      </w:r>
      <w:r>
        <w:rPr>
          <w:color w:val="EE0000"/>
        </w:rPr>
        <w:t xml:space="preserve"> and AIDS</w:t>
      </w:r>
    </w:p>
    <w:p w14:paraId="34DD64D9" w14:textId="77777777" w:rsidR="00FB3447" w:rsidRDefault="00FB3447" w:rsidP="00D254B9">
      <w:pPr>
        <w:spacing w:after="0" w:line="240" w:lineRule="auto"/>
        <w:rPr>
          <w:color w:val="002060"/>
        </w:rPr>
      </w:pPr>
    </w:p>
    <w:p w14:paraId="284E1FDE" w14:textId="4B672972" w:rsidR="009F5DD0" w:rsidRPr="00F95EE6" w:rsidRDefault="009F5DD0" w:rsidP="009F5DD0">
      <w:pPr>
        <w:pStyle w:val="Heading2"/>
        <w:rPr>
          <w:b/>
          <w:color w:val="538135" w:themeColor="accent6" w:themeShade="BF"/>
        </w:rPr>
      </w:pPr>
      <w:r w:rsidRPr="00F95EE6">
        <w:rPr>
          <w:rStyle w:val="Heading1Char"/>
          <w:b/>
          <w:color w:val="538135" w:themeColor="accent6" w:themeShade="BF"/>
          <w:sz w:val="28"/>
          <w:szCs w:val="28"/>
        </w:rPr>
        <w:t>Document Version</w:t>
      </w:r>
      <w:r w:rsidR="009E1CFC">
        <w:rPr>
          <w:rStyle w:val="Heading1Char"/>
          <w:b/>
          <w:color w:val="538135" w:themeColor="accent6" w:themeShade="BF"/>
          <w:sz w:val="28"/>
          <w:szCs w:val="28"/>
        </w:rPr>
        <w:t xml:space="preserve"> Control</w:t>
      </w:r>
    </w:p>
    <w:tbl>
      <w:tblPr>
        <w:tblStyle w:val="TableGrid"/>
        <w:tblpPr w:leftFromText="180" w:rightFromText="180" w:vertAnchor="text" w:tblpY="-5"/>
        <w:tblW w:w="10070" w:type="dxa"/>
        <w:tblLook w:val="04A0" w:firstRow="1" w:lastRow="0" w:firstColumn="1" w:lastColumn="0" w:noHBand="0" w:noVBand="1"/>
      </w:tblPr>
      <w:tblGrid>
        <w:gridCol w:w="1980"/>
        <w:gridCol w:w="1820"/>
        <w:gridCol w:w="6270"/>
      </w:tblGrid>
      <w:tr w:rsidR="009F5DD0" w14:paraId="422C35F4" w14:textId="77777777" w:rsidTr="2F89D8DF">
        <w:trPr>
          <w:trHeight w:val="300"/>
        </w:trPr>
        <w:tc>
          <w:tcPr>
            <w:tcW w:w="1980" w:type="dxa"/>
          </w:tcPr>
          <w:p w14:paraId="582959B2" w14:textId="46B0789A" w:rsidR="009F5DD0" w:rsidRPr="00744930" w:rsidRDefault="6AEEE414" w:rsidP="006F5B76">
            <w:pPr>
              <w:jc w:val="both"/>
              <w:rPr>
                <w:b/>
                <w:bCs/>
                <w:u w:val="single"/>
              </w:rPr>
            </w:pPr>
            <w:r w:rsidRPr="2F89D8DF">
              <w:rPr>
                <w:b/>
                <w:bCs/>
                <w:u w:val="single"/>
              </w:rPr>
              <w:t>Report</w:t>
            </w:r>
            <w:r w:rsidR="009F5DD0" w:rsidRPr="2F89D8DF">
              <w:rPr>
                <w:b/>
                <w:bCs/>
                <w:u w:val="single"/>
              </w:rPr>
              <w:t xml:space="preserve"> Version </w:t>
            </w:r>
          </w:p>
        </w:tc>
        <w:tc>
          <w:tcPr>
            <w:tcW w:w="1820" w:type="dxa"/>
          </w:tcPr>
          <w:p w14:paraId="4562D788" w14:textId="77777777" w:rsidR="009F5DD0" w:rsidRPr="00744930" w:rsidRDefault="009F5DD0" w:rsidP="006F5B76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</w:t>
            </w:r>
          </w:p>
        </w:tc>
        <w:tc>
          <w:tcPr>
            <w:tcW w:w="6270" w:type="dxa"/>
          </w:tcPr>
          <w:p w14:paraId="7BF35C63" w14:textId="77777777" w:rsidR="009F5DD0" w:rsidRPr="00744930" w:rsidRDefault="009F5DD0" w:rsidP="006F5B76">
            <w:pPr>
              <w:jc w:val="both"/>
              <w:rPr>
                <w:b/>
                <w:bCs/>
                <w:u w:val="single"/>
              </w:rPr>
            </w:pPr>
            <w:r w:rsidRPr="00744930">
              <w:rPr>
                <w:b/>
                <w:bCs/>
                <w:u w:val="single"/>
              </w:rPr>
              <w:t>Detail</w:t>
            </w:r>
          </w:p>
        </w:tc>
      </w:tr>
      <w:tr w:rsidR="2F89D8DF" w14:paraId="01537CBC" w14:textId="77777777" w:rsidTr="2F89D8DF">
        <w:trPr>
          <w:trHeight w:val="300"/>
        </w:trPr>
        <w:tc>
          <w:tcPr>
            <w:tcW w:w="1980" w:type="dxa"/>
            <w:shd w:val="clear" w:color="auto" w:fill="F2F2F2" w:themeFill="background1" w:themeFillShade="F2"/>
          </w:tcPr>
          <w:p w14:paraId="61FFDB40" w14:textId="60CF92D9" w:rsidR="504D2C80" w:rsidRPr="00BF603E" w:rsidRDefault="00BF603E" w:rsidP="2F89D8DF">
            <w:pPr>
              <w:jc w:val="both"/>
              <w:rPr>
                <w:i/>
                <w:iCs/>
              </w:rPr>
            </w:pPr>
            <w:r w:rsidRPr="00BF603E">
              <w:rPr>
                <w:i/>
                <w:iCs/>
              </w:rPr>
              <w:t>V1</w:t>
            </w:r>
            <w:r w:rsidR="2F89D8DF" w:rsidRPr="00BF603E">
              <w:rPr>
                <w:i/>
                <w:iCs/>
              </w:rPr>
              <w:t>.0</w:t>
            </w:r>
          </w:p>
        </w:tc>
        <w:tc>
          <w:tcPr>
            <w:tcW w:w="1820" w:type="dxa"/>
            <w:shd w:val="clear" w:color="auto" w:fill="F2F2F2" w:themeFill="background1" w:themeFillShade="F2"/>
          </w:tcPr>
          <w:p w14:paraId="68814D81" w14:textId="0FC451EC" w:rsidR="2F89D8DF" w:rsidRPr="00BF603E" w:rsidRDefault="00BF603E" w:rsidP="009E1CFC">
            <w:pPr>
              <w:jc w:val="both"/>
              <w:rPr>
                <w:i/>
                <w:iCs/>
              </w:rPr>
            </w:pPr>
            <w:r w:rsidRPr="00BF603E">
              <w:rPr>
                <w:i/>
                <w:iCs/>
              </w:rPr>
              <w:t>1</w:t>
            </w:r>
            <w:r w:rsidR="009E1CFC">
              <w:rPr>
                <w:i/>
                <w:iCs/>
              </w:rPr>
              <w:t>6/10</w:t>
            </w:r>
            <w:r w:rsidRPr="00BF603E">
              <w:rPr>
                <w:i/>
                <w:iCs/>
              </w:rPr>
              <w:t>/2025</w:t>
            </w:r>
          </w:p>
        </w:tc>
        <w:tc>
          <w:tcPr>
            <w:tcW w:w="6270" w:type="dxa"/>
            <w:shd w:val="clear" w:color="auto" w:fill="F2F2F2" w:themeFill="background1" w:themeFillShade="F2"/>
          </w:tcPr>
          <w:p w14:paraId="33401AA8" w14:textId="4A5BC8AC" w:rsidR="2F89D8DF" w:rsidRPr="00BF603E" w:rsidRDefault="00BF603E" w:rsidP="00514A21">
            <w:pPr>
              <w:jc w:val="both"/>
              <w:rPr>
                <w:i/>
                <w:iCs/>
              </w:rPr>
            </w:pPr>
            <w:r w:rsidRPr="00BF603E">
              <w:rPr>
                <w:i/>
                <w:iCs/>
              </w:rPr>
              <w:t xml:space="preserve">Update </w:t>
            </w:r>
            <w:r w:rsidR="00514A21">
              <w:rPr>
                <w:i/>
                <w:iCs/>
              </w:rPr>
              <w:t>–</w:t>
            </w:r>
            <w:r w:rsidRPr="00BF603E">
              <w:rPr>
                <w:i/>
                <w:iCs/>
              </w:rPr>
              <w:t xml:space="preserve"> </w:t>
            </w:r>
            <w:r w:rsidR="00514A21">
              <w:rPr>
                <w:i/>
                <w:iCs/>
              </w:rPr>
              <w:t xml:space="preserve">provisional </w:t>
            </w:r>
            <w:r w:rsidRPr="00BF603E">
              <w:rPr>
                <w:i/>
                <w:iCs/>
              </w:rPr>
              <w:t xml:space="preserve">draft STG for </w:t>
            </w:r>
            <w:proofErr w:type="spellStart"/>
            <w:r w:rsidRPr="00BF603E">
              <w:rPr>
                <w:i/>
                <w:iCs/>
              </w:rPr>
              <w:t>PrEP</w:t>
            </w:r>
            <w:proofErr w:type="spellEnd"/>
          </w:p>
        </w:tc>
      </w:tr>
    </w:tbl>
    <w:p w14:paraId="46E55D0C" w14:textId="77777777" w:rsidR="009F5DD0" w:rsidRDefault="009F5DD0" w:rsidP="00193BF4">
      <w:pPr>
        <w:spacing w:after="0" w:line="240" w:lineRule="auto"/>
        <w:jc w:val="both"/>
        <w:rPr>
          <w:rFonts w:cstheme="minorHAnsi"/>
          <w:b/>
          <w:spacing w:val="-2"/>
          <w:lang w:eastAsia="ar-SA"/>
        </w:rPr>
      </w:pPr>
    </w:p>
    <w:p w14:paraId="64407B5B" w14:textId="4AAF698E" w:rsidR="009F5DD0" w:rsidRPr="00F95EE6" w:rsidRDefault="009F5DD0" w:rsidP="2F89D8DF">
      <w:pPr>
        <w:pStyle w:val="Heading2"/>
        <w:rPr>
          <w:rStyle w:val="Heading1Char"/>
          <w:b/>
          <w:color w:val="538135" w:themeColor="accent6" w:themeShade="BF"/>
          <w:sz w:val="28"/>
          <w:szCs w:val="28"/>
        </w:rPr>
      </w:pPr>
      <w:r w:rsidRPr="00F95EE6">
        <w:rPr>
          <w:rStyle w:val="Heading1Char"/>
          <w:b/>
          <w:color w:val="538135" w:themeColor="accent6" w:themeShade="BF"/>
          <w:sz w:val="28"/>
          <w:szCs w:val="28"/>
        </w:rPr>
        <w:t>Specific guidance products</w:t>
      </w:r>
      <w:r w:rsidR="2A13242B" w:rsidRPr="00F95EE6">
        <w:rPr>
          <w:rStyle w:val="Heading1Char"/>
          <w:b/>
          <w:color w:val="538135" w:themeColor="accent6" w:themeShade="BF"/>
          <w:sz w:val="28"/>
          <w:szCs w:val="28"/>
        </w:rPr>
        <w:t xml:space="preserve">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55"/>
        <w:gridCol w:w="7403"/>
        <w:gridCol w:w="1065"/>
        <w:gridCol w:w="1057"/>
      </w:tblGrid>
      <w:tr w:rsidR="2F89D8DF" w14:paraId="4E214865" w14:textId="77777777" w:rsidTr="2F89D8DF">
        <w:trPr>
          <w:trHeight w:val="330"/>
        </w:trPr>
        <w:tc>
          <w:tcPr>
            <w:tcW w:w="555" w:type="dxa"/>
          </w:tcPr>
          <w:p w14:paraId="3C21DC64" w14:textId="75911B5F" w:rsidR="35E540A5" w:rsidRDefault="35E540A5" w:rsidP="2F89D8DF">
            <w:pPr>
              <w:jc w:val="both"/>
              <w:rPr>
                <w:i/>
                <w:iCs/>
                <w:lang w:eastAsia="ar-SA"/>
              </w:rPr>
            </w:pPr>
            <w:r w:rsidRPr="2F89D8DF">
              <w:rPr>
                <w:i/>
                <w:iCs/>
                <w:lang w:eastAsia="ar-SA"/>
              </w:rPr>
              <w:t>No</w:t>
            </w:r>
          </w:p>
        </w:tc>
        <w:tc>
          <w:tcPr>
            <w:tcW w:w="7403" w:type="dxa"/>
          </w:tcPr>
          <w:p w14:paraId="62D0B8B5" w14:textId="1ABC1496" w:rsidR="35E540A5" w:rsidRDefault="35E540A5" w:rsidP="2F89D8DF">
            <w:pPr>
              <w:jc w:val="both"/>
              <w:rPr>
                <w:lang w:eastAsia="ar-SA"/>
              </w:rPr>
            </w:pPr>
            <w:r w:rsidRPr="2F89D8DF">
              <w:rPr>
                <w:lang w:eastAsia="ar-SA"/>
              </w:rPr>
              <w:t>Guidance Product</w:t>
            </w:r>
          </w:p>
        </w:tc>
        <w:tc>
          <w:tcPr>
            <w:tcW w:w="1065" w:type="dxa"/>
          </w:tcPr>
          <w:p w14:paraId="69D3BA78" w14:textId="21066B4C" w:rsidR="35E540A5" w:rsidRDefault="35E540A5" w:rsidP="2F89D8DF">
            <w:pPr>
              <w:jc w:val="both"/>
              <w:rPr>
                <w:i/>
                <w:iCs/>
                <w:lang w:eastAsia="ar-SA"/>
              </w:rPr>
            </w:pPr>
            <w:r w:rsidRPr="2F89D8DF">
              <w:rPr>
                <w:i/>
                <w:iCs/>
                <w:lang w:eastAsia="ar-SA"/>
              </w:rPr>
              <w:t>Tick</w:t>
            </w:r>
          </w:p>
        </w:tc>
        <w:tc>
          <w:tcPr>
            <w:tcW w:w="1057" w:type="dxa"/>
          </w:tcPr>
          <w:p w14:paraId="53A263B7" w14:textId="11F3EA93" w:rsidR="35E540A5" w:rsidRDefault="35E540A5" w:rsidP="2F89D8DF">
            <w:pPr>
              <w:jc w:val="both"/>
              <w:rPr>
                <w:i/>
                <w:iCs/>
                <w:lang w:eastAsia="ar-SA"/>
              </w:rPr>
            </w:pPr>
            <w:r w:rsidRPr="2F89D8DF">
              <w:rPr>
                <w:i/>
                <w:iCs/>
                <w:lang w:eastAsia="ar-SA"/>
              </w:rPr>
              <w:t>Number</w:t>
            </w:r>
          </w:p>
        </w:tc>
      </w:tr>
      <w:tr w:rsidR="009F5DD0" w14:paraId="7C39E842" w14:textId="77777777" w:rsidTr="2F89D8DF">
        <w:trPr>
          <w:trHeight w:val="300"/>
        </w:trPr>
        <w:tc>
          <w:tcPr>
            <w:tcW w:w="555" w:type="dxa"/>
          </w:tcPr>
          <w:p w14:paraId="21198547" w14:textId="1791CA1C" w:rsidR="009F5DD0" w:rsidRPr="009F5DD0" w:rsidRDefault="009F5DD0" w:rsidP="2F89D8DF">
            <w:pPr>
              <w:jc w:val="both"/>
              <w:rPr>
                <w:i/>
                <w:iCs/>
                <w:spacing w:val="-2"/>
                <w:lang w:eastAsia="ar-SA"/>
              </w:rPr>
            </w:pPr>
            <w:r w:rsidRPr="2F89D8DF">
              <w:rPr>
                <w:i/>
                <w:iCs/>
                <w:spacing w:val="-2"/>
                <w:lang w:eastAsia="ar-SA"/>
              </w:rPr>
              <w:t>1.</w:t>
            </w:r>
          </w:p>
        </w:tc>
        <w:tc>
          <w:tcPr>
            <w:tcW w:w="7403" w:type="dxa"/>
          </w:tcPr>
          <w:p w14:paraId="6B1ABFB8" w14:textId="5B7DD623" w:rsidR="009F5DD0" w:rsidRPr="009F5DD0" w:rsidRDefault="009F5DD0" w:rsidP="00BF603E">
            <w:pPr>
              <w:jc w:val="both"/>
              <w:rPr>
                <w:i/>
                <w:iCs/>
                <w:color w:val="FF0000"/>
                <w:spacing w:val="-2"/>
                <w:lang w:eastAsia="ar-SA"/>
              </w:rPr>
            </w:pPr>
            <w:r w:rsidRPr="2F89D8DF">
              <w:rPr>
                <w:spacing w:val="-2"/>
                <w:lang w:eastAsia="ar-SA"/>
              </w:rPr>
              <w:t xml:space="preserve">Primary Health Care Level STGs – </w:t>
            </w:r>
            <w:r w:rsidR="00BF603E" w:rsidRPr="00BF603E">
              <w:rPr>
                <w:i/>
                <w:iCs/>
                <w:spacing w:val="-2"/>
                <w:lang w:eastAsia="ar-SA"/>
              </w:rPr>
              <w:t>HIV</w:t>
            </w:r>
            <w:r w:rsidR="00BF603E">
              <w:rPr>
                <w:i/>
                <w:iCs/>
                <w:color w:val="FF0000"/>
                <w:spacing w:val="-2"/>
                <w:lang w:eastAsia="ar-SA"/>
              </w:rPr>
              <w:t xml:space="preserve"> </w:t>
            </w:r>
          </w:p>
        </w:tc>
        <w:tc>
          <w:tcPr>
            <w:tcW w:w="1065" w:type="dxa"/>
          </w:tcPr>
          <w:p w14:paraId="3636B9C3" w14:textId="78A3BAA7" w:rsidR="2F89D8DF" w:rsidRPr="00BF603E" w:rsidRDefault="00BF603E" w:rsidP="00BF603E">
            <w:pPr>
              <w:jc w:val="center"/>
              <w:rPr>
                <w:i/>
                <w:iCs/>
                <w:lang w:eastAsia="ar-SA"/>
              </w:rPr>
            </w:pPr>
            <w:r w:rsidRPr="00BF603E">
              <w:rPr>
                <w:rFonts w:ascii="Haettenschweiler" w:hAnsi="Haettenschweiler"/>
                <w:i/>
                <w:iCs/>
                <w:lang w:eastAsia="ar-SA"/>
              </w:rPr>
              <w:t>√</w:t>
            </w:r>
          </w:p>
        </w:tc>
        <w:tc>
          <w:tcPr>
            <w:tcW w:w="1057" w:type="dxa"/>
          </w:tcPr>
          <w:p w14:paraId="424B4304" w14:textId="7B467B30" w:rsidR="5545693F" w:rsidRPr="00BF603E" w:rsidRDefault="00BF603E" w:rsidP="00BF603E">
            <w:pPr>
              <w:jc w:val="center"/>
              <w:rPr>
                <w:i/>
                <w:iCs/>
                <w:lang w:eastAsia="ar-SA"/>
              </w:rPr>
            </w:pPr>
            <w:r w:rsidRPr="00BF603E">
              <w:rPr>
                <w:i/>
                <w:iCs/>
                <w:lang w:eastAsia="ar-SA"/>
              </w:rPr>
              <w:t>11</w:t>
            </w:r>
          </w:p>
        </w:tc>
      </w:tr>
      <w:tr w:rsidR="009F5DD0" w14:paraId="76DC0E49" w14:textId="77777777" w:rsidTr="2F89D8DF">
        <w:trPr>
          <w:trHeight w:val="300"/>
        </w:trPr>
        <w:tc>
          <w:tcPr>
            <w:tcW w:w="555" w:type="dxa"/>
          </w:tcPr>
          <w:p w14:paraId="549013E7" w14:textId="0A112BF5" w:rsidR="009F5DD0" w:rsidRPr="009F5DD0" w:rsidRDefault="009F5DD0" w:rsidP="2F89D8DF">
            <w:pPr>
              <w:jc w:val="both"/>
              <w:rPr>
                <w:i/>
                <w:iCs/>
                <w:spacing w:val="-2"/>
                <w:lang w:eastAsia="ar-SA"/>
              </w:rPr>
            </w:pPr>
            <w:r w:rsidRPr="2F89D8DF">
              <w:rPr>
                <w:i/>
                <w:iCs/>
                <w:spacing w:val="-2"/>
                <w:lang w:eastAsia="ar-SA"/>
              </w:rPr>
              <w:t>2.</w:t>
            </w:r>
          </w:p>
        </w:tc>
        <w:tc>
          <w:tcPr>
            <w:tcW w:w="7403" w:type="dxa"/>
          </w:tcPr>
          <w:p w14:paraId="36585C5C" w14:textId="7D1EF4E7" w:rsidR="009F5DD0" w:rsidRPr="009F5DD0" w:rsidRDefault="009F5DD0" w:rsidP="00BF603E">
            <w:pPr>
              <w:jc w:val="both"/>
              <w:rPr>
                <w:i/>
                <w:iCs/>
                <w:color w:val="FF0000"/>
                <w:spacing w:val="-2"/>
                <w:lang w:eastAsia="ar-SA"/>
              </w:rPr>
            </w:pPr>
            <w:r w:rsidRPr="2F89D8DF">
              <w:rPr>
                <w:spacing w:val="-2"/>
                <w:lang w:eastAsia="ar-SA"/>
              </w:rPr>
              <w:t xml:space="preserve">Adult Hospital Level STGs </w:t>
            </w:r>
          </w:p>
        </w:tc>
        <w:tc>
          <w:tcPr>
            <w:tcW w:w="1065" w:type="dxa"/>
          </w:tcPr>
          <w:p w14:paraId="60D5AEA0" w14:textId="0BDF45C7" w:rsidR="2F89D8DF" w:rsidRDefault="2F89D8DF" w:rsidP="2F89D8DF">
            <w:pPr>
              <w:jc w:val="both"/>
              <w:rPr>
                <w:i/>
                <w:iCs/>
                <w:color w:val="EE0000"/>
                <w:lang w:eastAsia="ar-SA"/>
              </w:rPr>
            </w:pPr>
          </w:p>
        </w:tc>
        <w:tc>
          <w:tcPr>
            <w:tcW w:w="1057" w:type="dxa"/>
          </w:tcPr>
          <w:p w14:paraId="7442E27F" w14:textId="59F0E150" w:rsidR="156BAB56" w:rsidRDefault="156BAB56" w:rsidP="2F89D8DF">
            <w:pPr>
              <w:jc w:val="both"/>
              <w:rPr>
                <w:i/>
                <w:iCs/>
                <w:color w:val="EE0000"/>
                <w:lang w:eastAsia="ar-SA"/>
              </w:rPr>
            </w:pPr>
          </w:p>
        </w:tc>
      </w:tr>
      <w:tr w:rsidR="009F5DD0" w14:paraId="21C1AD38" w14:textId="77777777" w:rsidTr="2F89D8DF">
        <w:trPr>
          <w:trHeight w:val="300"/>
        </w:trPr>
        <w:tc>
          <w:tcPr>
            <w:tcW w:w="555" w:type="dxa"/>
          </w:tcPr>
          <w:p w14:paraId="731CF0B1" w14:textId="474D6AAB" w:rsidR="009F5DD0" w:rsidRPr="009F5DD0" w:rsidRDefault="009F5DD0" w:rsidP="2F89D8DF">
            <w:pPr>
              <w:jc w:val="both"/>
              <w:rPr>
                <w:i/>
                <w:iCs/>
                <w:spacing w:val="-2"/>
                <w:lang w:eastAsia="ar-SA"/>
              </w:rPr>
            </w:pPr>
            <w:r w:rsidRPr="2F89D8DF">
              <w:rPr>
                <w:i/>
                <w:iCs/>
                <w:spacing w:val="-2"/>
                <w:lang w:eastAsia="ar-SA"/>
              </w:rPr>
              <w:t>3.</w:t>
            </w:r>
          </w:p>
        </w:tc>
        <w:tc>
          <w:tcPr>
            <w:tcW w:w="7403" w:type="dxa"/>
          </w:tcPr>
          <w:p w14:paraId="384A9EFA" w14:textId="2393EE05" w:rsidR="009F5DD0" w:rsidRPr="009F5DD0" w:rsidRDefault="009F5DD0" w:rsidP="00BF603E">
            <w:pPr>
              <w:jc w:val="both"/>
              <w:rPr>
                <w:i/>
                <w:iCs/>
                <w:color w:val="FF0000"/>
                <w:spacing w:val="-2"/>
                <w:lang w:eastAsia="ar-SA"/>
              </w:rPr>
            </w:pPr>
            <w:r w:rsidRPr="2F89D8DF">
              <w:rPr>
                <w:spacing w:val="-2"/>
                <w:lang w:eastAsia="ar-SA"/>
              </w:rPr>
              <w:t xml:space="preserve">Paediatric Hospital Level STGs </w:t>
            </w:r>
          </w:p>
        </w:tc>
        <w:tc>
          <w:tcPr>
            <w:tcW w:w="1065" w:type="dxa"/>
          </w:tcPr>
          <w:p w14:paraId="0BF92493" w14:textId="2CCB48DC" w:rsidR="2F89D8DF" w:rsidRDefault="2F89D8DF" w:rsidP="2F89D8DF">
            <w:pPr>
              <w:jc w:val="both"/>
              <w:rPr>
                <w:i/>
                <w:iCs/>
                <w:color w:val="EE0000"/>
                <w:lang w:eastAsia="ar-SA"/>
              </w:rPr>
            </w:pPr>
          </w:p>
        </w:tc>
        <w:tc>
          <w:tcPr>
            <w:tcW w:w="1057" w:type="dxa"/>
          </w:tcPr>
          <w:p w14:paraId="68B5B494" w14:textId="0900A417" w:rsidR="75C8F167" w:rsidRDefault="75C8F167" w:rsidP="2F89D8DF">
            <w:pPr>
              <w:jc w:val="both"/>
              <w:rPr>
                <w:i/>
                <w:iCs/>
                <w:color w:val="EE0000"/>
                <w:lang w:eastAsia="ar-SA"/>
              </w:rPr>
            </w:pPr>
          </w:p>
        </w:tc>
      </w:tr>
      <w:tr w:rsidR="009F5DD0" w14:paraId="2F655B5B" w14:textId="77777777" w:rsidTr="2F89D8DF">
        <w:trPr>
          <w:trHeight w:val="300"/>
        </w:trPr>
        <w:tc>
          <w:tcPr>
            <w:tcW w:w="555" w:type="dxa"/>
          </w:tcPr>
          <w:p w14:paraId="1E1F135D" w14:textId="694285FB" w:rsidR="009F5DD0" w:rsidRPr="009F5DD0" w:rsidRDefault="009F5DD0" w:rsidP="2F89D8DF">
            <w:pPr>
              <w:jc w:val="both"/>
              <w:rPr>
                <w:i/>
                <w:iCs/>
                <w:spacing w:val="-2"/>
                <w:lang w:eastAsia="ar-SA"/>
              </w:rPr>
            </w:pPr>
            <w:r w:rsidRPr="2F89D8DF">
              <w:rPr>
                <w:i/>
                <w:iCs/>
                <w:spacing w:val="-2"/>
                <w:lang w:eastAsia="ar-SA"/>
              </w:rPr>
              <w:t>4.</w:t>
            </w:r>
          </w:p>
        </w:tc>
        <w:tc>
          <w:tcPr>
            <w:tcW w:w="7403" w:type="dxa"/>
          </w:tcPr>
          <w:p w14:paraId="29369E58" w14:textId="4A46ED0B" w:rsidR="009F5DD0" w:rsidRPr="009F5DD0" w:rsidRDefault="009F5DD0" w:rsidP="2F89D8DF">
            <w:pPr>
              <w:jc w:val="both"/>
              <w:rPr>
                <w:spacing w:val="-2"/>
                <w:lang w:eastAsia="ar-SA"/>
              </w:rPr>
            </w:pPr>
            <w:r w:rsidRPr="2F89D8DF">
              <w:rPr>
                <w:spacing w:val="-2"/>
                <w:lang w:eastAsia="ar-SA"/>
              </w:rPr>
              <w:t>Tertiary and Quaternary EML</w:t>
            </w:r>
          </w:p>
        </w:tc>
        <w:tc>
          <w:tcPr>
            <w:tcW w:w="1065" w:type="dxa"/>
          </w:tcPr>
          <w:p w14:paraId="4D99B75B" w14:textId="54DAF2AB" w:rsidR="2F89D8DF" w:rsidRDefault="2F89D8DF" w:rsidP="2F89D8DF">
            <w:pPr>
              <w:jc w:val="both"/>
              <w:rPr>
                <w:i/>
                <w:iCs/>
                <w:color w:val="EE0000"/>
                <w:lang w:eastAsia="ar-SA"/>
              </w:rPr>
            </w:pPr>
          </w:p>
        </w:tc>
        <w:tc>
          <w:tcPr>
            <w:tcW w:w="1057" w:type="dxa"/>
          </w:tcPr>
          <w:p w14:paraId="525FAB22" w14:textId="2D72D875" w:rsidR="2F89D8DF" w:rsidRDefault="2F89D8DF" w:rsidP="2F89D8DF">
            <w:pPr>
              <w:jc w:val="both"/>
              <w:rPr>
                <w:i/>
                <w:iCs/>
                <w:color w:val="EE0000"/>
                <w:lang w:eastAsia="ar-SA"/>
              </w:rPr>
            </w:pPr>
          </w:p>
        </w:tc>
      </w:tr>
    </w:tbl>
    <w:p w14:paraId="7CFAFE04" w14:textId="77777777" w:rsidR="009F5DD0" w:rsidRDefault="009F5DD0" w:rsidP="00193BF4">
      <w:pPr>
        <w:spacing w:after="0" w:line="240" w:lineRule="auto"/>
        <w:jc w:val="both"/>
        <w:rPr>
          <w:rFonts w:cstheme="minorHAnsi"/>
          <w:b/>
          <w:spacing w:val="-2"/>
          <w:lang w:eastAsia="ar-SA"/>
        </w:rPr>
      </w:pPr>
    </w:p>
    <w:p w14:paraId="5D5AA941" w14:textId="703B64EE" w:rsidR="009F5DD0" w:rsidRPr="00F95EE6" w:rsidRDefault="009C57F0" w:rsidP="009F5DD0">
      <w:pPr>
        <w:pStyle w:val="Heading2"/>
        <w:rPr>
          <w:b/>
          <w:color w:val="538135" w:themeColor="accent6" w:themeShade="BF"/>
        </w:rPr>
      </w:pPr>
      <w:r w:rsidRPr="00F95EE6">
        <w:rPr>
          <w:rStyle w:val="Heading1Char"/>
          <w:b/>
          <w:color w:val="538135" w:themeColor="accent6" w:themeShade="BF"/>
          <w:sz w:val="28"/>
          <w:szCs w:val="28"/>
        </w:rPr>
        <w:t>Summary Tables</w:t>
      </w:r>
    </w:p>
    <w:p w14:paraId="3B7B1862" w14:textId="3AE937AD" w:rsidR="009F5DD0" w:rsidRPr="00F95EE6" w:rsidRDefault="009C57F0" w:rsidP="2F89D8DF">
      <w:pPr>
        <w:pStyle w:val="Heading2"/>
        <w:rPr>
          <w:b/>
          <w:color w:val="538135" w:themeColor="accent6" w:themeShade="BF"/>
          <w:lang w:eastAsia="ar-SA"/>
        </w:rPr>
      </w:pPr>
      <w:r w:rsidRPr="00F95EE6">
        <w:rPr>
          <w:b/>
          <w:color w:val="538135" w:themeColor="accent6" w:themeShade="BF"/>
        </w:rPr>
        <w:t>Medicine Amendments</w:t>
      </w:r>
    </w:p>
    <w:p w14:paraId="47189936" w14:textId="3D2D8C6C" w:rsidR="00193BF4" w:rsidRDefault="00193BF4" w:rsidP="2F89D8DF">
      <w:pPr>
        <w:spacing w:after="0" w:line="240" w:lineRule="auto"/>
        <w:jc w:val="both"/>
        <w:rPr>
          <w:spacing w:val="-2"/>
          <w:lang w:eastAsia="ar-SA"/>
        </w:rPr>
      </w:pPr>
      <w:r w:rsidRPr="2F89D8DF">
        <w:rPr>
          <w:spacing w:val="-2"/>
          <w:lang w:eastAsia="ar-SA"/>
        </w:rPr>
        <w:t>Medicine amendment recommendations, with supporting evidence and rationale are listed below.</w:t>
      </w:r>
      <w:r w:rsidR="57B646EE" w:rsidRPr="2F89D8DF">
        <w:rPr>
          <w:spacing w:val="-2"/>
          <w:lang w:eastAsia="ar-SA"/>
        </w:rPr>
        <w:t xml:space="preserve"> If appropriate can include non-medicine amendments if </w:t>
      </w:r>
      <w:r w:rsidR="0F52C3D2" w:rsidRPr="2F89D8DF">
        <w:rPr>
          <w:spacing w:val="-2"/>
          <w:lang w:eastAsia="ar-SA"/>
        </w:rPr>
        <w:t>appropriate (</w:t>
      </w:r>
      <w:r w:rsidR="5965D87F" w:rsidRPr="2F89D8DF">
        <w:rPr>
          <w:spacing w:val="-2"/>
          <w:lang w:eastAsia="ar-SA"/>
        </w:rPr>
        <w:t xml:space="preserve">for example if item </w:t>
      </w:r>
      <w:r w:rsidR="57B646EE" w:rsidRPr="2F89D8DF">
        <w:rPr>
          <w:spacing w:val="-2"/>
          <w:lang w:eastAsia="ar-SA"/>
        </w:rPr>
        <w:t>has a large impact on how medicine is accessed</w:t>
      </w:r>
      <w:r w:rsidR="10E4D54A" w:rsidRPr="2F89D8DF">
        <w:rPr>
          <w:spacing w:val="-2"/>
          <w:lang w:eastAsia="ar-SA"/>
        </w:rPr>
        <w:t>)</w:t>
      </w:r>
      <w:r w:rsidR="150A7536" w:rsidRPr="2F89D8DF">
        <w:rPr>
          <w:spacing w:val="-2"/>
          <w:lang w:eastAsia="ar-SA"/>
        </w:rPr>
        <w:t>.</w:t>
      </w:r>
      <w:r w:rsidR="21293EA2" w:rsidRPr="2F89D8DF">
        <w:rPr>
          <w:spacing w:val="-2"/>
          <w:lang w:eastAsia="ar-SA"/>
        </w:rPr>
        <w:t xml:space="preserve"> </w:t>
      </w:r>
      <w:r w:rsidRPr="2F89D8DF">
        <w:rPr>
          <w:spacing w:val="-2"/>
          <w:lang w:eastAsia="ar-SA"/>
        </w:rPr>
        <w:t xml:space="preserve">Kindly review the medicine amendments in the context of the respective standard treatment guideline (STG). </w:t>
      </w:r>
      <w:r w:rsidR="462C6C5C" w:rsidRPr="2F89D8DF">
        <w:rPr>
          <w:spacing w:val="-2"/>
          <w:u w:val="single"/>
          <w:lang w:eastAsia="ar-SA"/>
        </w:rPr>
        <w:t xml:space="preserve">Include updates post </w:t>
      </w:r>
      <w:r w:rsidR="7D49A998" w:rsidRPr="2F89D8DF">
        <w:rPr>
          <w:spacing w:val="-2"/>
          <w:u w:val="single"/>
          <w:lang w:eastAsia="ar-SA"/>
        </w:rPr>
        <w:t xml:space="preserve">initial </w:t>
      </w:r>
      <w:r w:rsidR="462C6C5C" w:rsidRPr="2F89D8DF">
        <w:rPr>
          <w:spacing w:val="-2"/>
          <w:u w:val="single"/>
          <w:lang w:eastAsia="ar-SA"/>
        </w:rPr>
        <w:t>publication first or mark/highlight appropriately.</w:t>
      </w:r>
      <w:r w:rsidR="462C6C5C" w:rsidRPr="2F89D8DF">
        <w:rPr>
          <w:spacing w:val="-2"/>
          <w:lang w:eastAsia="ar-SA"/>
        </w:rPr>
        <w:t xml:space="preserve"> </w:t>
      </w:r>
    </w:p>
    <w:tbl>
      <w:tblPr>
        <w:tblStyle w:val="TableGrid1"/>
        <w:tblW w:w="10192" w:type="dxa"/>
        <w:tblInd w:w="-2" w:type="dxa"/>
        <w:tblLook w:val="04A0" w:firstRow="1" w:lastRow="0" w:firstColumn="1" w:lastColumn="0" w:noHBand="0" w:noVBand="1"/>
      </w:tblPr>
      <w:tblGrid>
        <w:gridCol w:w="1785"/>
        <w:gridCol w:w="960"/>
        <w:gridCol w:w="795"/>
        <w:gridCol w:w="1050"/>
        <w:gridCol w:w="615"/>
        <w:gridCol w:w="1815"/>
        <w:gridCol w:w="1320"/>
        <w:gridCol w:w="1852"/>
      </w:tblGrid>
      <w:tr w:rsidR="009C57F0" w:rsidRPr="009C57F0" w14:paraId="3240536B" w14:textId="77777777" w:rsidTr="00BF603E">
        <w:trPr>
          <w:trHeight w:val="300"/>
        </w:trPr>
        <w:tc>
          <w:tcPr>
            <w:tcW w:w="1785" w:type="dxa"/>
            <w:vMerge w:val="restar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6448D993" w14:textId="1E1BB6CC" w:rsidR="009C57F0" w:rsidRPr="009C57F0" w:rsidRDefault="66E280D2" w:rsidP="2F89D8DF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</w:pPr>
            <w:r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>STG</w:t>
            </w:r>
            <w:r w:rsidR="64DF7B87"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>/</w:t>
            </w:r>
            <w:r w:rsidR="3C573497"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>SECTION</w:t>
            </w:r>
          </w:p>
        </w:tc>
        <w:tc>
          <w:tcPr>
            <w:tcW w:w="3420" w:type="dxa"/>
            <w:gridSpan w:val="4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38C39DD0" w14:textId="77777777" w:rsidR="009C57F0" w:rsidRDefault="009C57F0" w:rsidP="2F89D8DF">
            <w:pPr>
              <w:rPr>
                <w:rFonts w:cs="Calibri"/>
                <w:b/>
                <w:bCs/>
                <w:sz w:val="22"/>
                <w:szCs w:val="22"/>
                <w:lang w:eastAsia="en-ZA"/>
              </w:rPr>
            </w:pPr>
            <w:r w:rsidRPr="2F89D8DF">
              <w:rPr>
                <w:rFonts w:cs="Calibri"/>
                <w:b/>
                <w:bCs/>
                <w:sz w:val="22"/>
                <w:szCs w:val="22"/>
                <w:lang w:eastAsia="en-ZA"/>
              </w:rPr>
              <w:t xml:space="preserve">GUIDANCE PRODUCTS </w:t>
            </w:r>
          </w:p>
          <w:p w14:paraId="1528F01F" w14:textId="32BDDC92" w:rsidR="009C57F0" w:rsidRPr="009C57F0" w:rsidRDefault="009C57F0" w:rsidP="2F89D8DF">
            <w:pPr>
              <w:rPr>
                <w:rFonts w:cs="Calibri"/>
                <w:b/>
                <w:bCs/>
                <w:lang w:eastAsia="en-ZA"/>
              </w:rPr>
            </w:pPr>
            <w:r w:rsidRPr="2F89D8DF">
              <w:rPr>
                <w:rFonts w:cs="Calibri"/>
                <w:b/>
                <w:bCs/>
                <w:sz w:val="22"/>
                <w:szCs w:val="22"/>
                <w:lang w:eastAsia="en-ZA"/>
              </w:rPr>
              <w:t>(Tick relevant)</w:t>
            </w:r>
          </w:p>
        </w:tc>
        <w:tc>
          <w:tcPr>
            <w:tcW w:w="1815" w:type="dxa"/>
            <w:vMerge w:val="restar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59CFBE8F" w14:textId="36009AF3" w:rsidR="009C57F0" w:rsidRPr="009C57F0" w:rsidRDefault="009C57F0" w:rsidP="2F89D8DF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</w:pPr>
            <w:r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>MEDICINE</w:t>
            </w:r>
            <w:r w:rsidR="28A1C938"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</w:t>
            </w:r>
            <w:r w:rsidR="146BEBE0"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MANAGEMENT</w:t>
            </w:r>
          </w:p>
        </w:tc>
        <w:tc>
          <w:tcPr>
            <w:tcW w:w="1320" w:type="dxa"/>
            <w:vMerge w:val="restar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11CE4BD8" w14:textId="025F8024" w:rsidR="009C57F0" w:rsidRPr="009C57F0" w:rsidRDefault="009C57F0" w:rsidP="2F89D8DF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</w:pPr>
            <w:r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>ADDED</w:t>
            </w:r>
            <w:r w:rsidR="0E17F8C4"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>/ DELETED</w:t>
            </w:r>
            <w:r w:rsidR="72019FCB"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2F89D8D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ZA"/>
              </w:rPr>
              <w:t>/ AMENDED</w:t>
            </w:r>
          </w:p>
        </w:tc>
        <w:tc>
          <w:tcPr>
            <w:tcW w:w="1852" w:type="dxa"/>
            <w:vMerge w:val="restar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0C51EB74" w14:textId="43570DE0" w:rsidR="5B770AEA" w:rsidRDefault="5B770AEA" w:rsidP="2F89D8DF">
            <w:pPr>
              <w:rPr>
                <w:rFonts w:asciiTheme="minorHAnsi" w:hAnsiTheme="minorHAnsi" w:cstheme="minorBidi"/>
                <w:b/>
                <w:bCs/>
                <w:lang w:eastAsia="en-ZA"/>
              </w:rPr>
            </w:pPr>
            <w:r w:rsidRPr="2F89D8DF">
              <w:rPr>
                <w:rFonts w:asciiTheme="minorHAnsi" w:hAnsiTheme="minorHAnsi" w:cstheme="minorBidi"/>
                <w:b/>
                <w:bCs/>
                <w:lang w:eastAsia="en-ZA"/>
              </w:rPr>
              <w:t>T</w:t>
            </w:r>
            <w:r w:rsidR="07E967CA" w:rsidRPr="2F89D8DF">
              <w:rPr>
                <w:rFonts w:asciiTheme="minorHAnsi" w:hAnsiTheme="minorHAnsi" w:cstheme="minorBidi"/>
                <w:b/>
                <w:bCs/>
                <w:lang w:eastAsia="en-ZA"/>
              </w:rPr>
              <w:t>I</w:t>
            </w:r>
            <w:r w:rsidR="430A33BB" w:rsidRPr="2F89D8DF">
              <w:rPr>
                <w:rFonts w:asciiTheme="minorHAnsi" w:hAnsiTheme="minorHAnsi" w:cstheme="minorBidi"/>
                <w:b/>
                <w:bCs/>
                <w:lang w:eastAsia="en-ZA"/>
              </w:rPr>
              <w:t>*</w:t>
            </w:r>
            <w:r w:rsidRPr="2F89D8DF">
              <w:rPr>
                <w:rFonts w:asciiTheme="minorHAnsi" w:hAnsiTheme="minorHAnsi" w:cstheme="minorBidi"/>
                <w:b/>
                <w:bCs/>
                <w:lang w:eastAsia="en-ZA"/>
              </w:rPr>
              <w:t xml:space="preserve"> C</w:t>
            </w:r>
            <w:r w:rsidR="1A86C885" w:rsidRPr="2F89D8DF">
              <w:rPr>
                <w:rFonts w:asciiTheme="minorHAnsi" w:hAnsiTheme="minorHAnsi" w:cstheme="minorBidi"/>
                <w:b/>
                <w:bCs/>
                <w:lang w:eastAsia="en-ZA"/>
              </w:rPr>
              <w:t>ONSIDERATIONS</w:t>
            </w:r>
            <w:r w:rsidRPr="2F89D8DF">
              <w:rPr>
                <w:rFonts w:asciiTheme="minorHAnsi" w:hAnsiTheme="minorHAnsi" w:cstheme="minorBidi"/>
                <w:b/>
                <w:bCs/>
                <w:lang w:eastAsia="en-ZA"/>
              </w:rPr>
              <w:t xml:space="preserve"> (if applicable)  </w:t>
            </w:r>
          </w:p>
        </w:tc>
      </w:tr>
      <w:tr w:rsidR="009C57F0" w:rsidRPr="009C57F0" w14:paraId="29638572" w14:textId="77777777" w:rsidTr="00BF603E">
        <w:trPr>
          <w:trHeight w:val="300"/>
        </w:trPr>
        <w:tc>
          <w:tcPr>
            <w:tcW w:w="1785" w:type="dxa"/>
            <w:vMerge/>
            <w:tcBorders>
              <w:bottom w:val="single" w:sz="2" w:space="0" w:color="auto"/>
            </w:tcBorders>
          </w:tcPr>
          <w:p w14:paraId="68CD0151" w14:textId="08150777" w:rsidR="009C57F0" w:rsidRPr="009C57F0" w:rsidRDefault="009C57F0" w:rsidP="006F5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EE0000"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AE9E" w14:textId="654C5710" w:rsidR="009C57F0" w:rsidRPr="009C57F0" w:rsidRDefault="603DCC01" w:rsidP="2F89D8DF">
            <w:pPr>
              <w:rPr>
                <w:rFonts w:cstheme="minorBidi"/>
                <w:spacing w:val="2"/>
                <w:sz w:val="18"/>
                <w:szCs w:val="18"/>
                <w:lang w:eastAsia="en-ZA"/>
              </w:rPr>
            </w:pPr>
            <w:r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>PHC</w:t>
            </w:r>
            <w:r w:rsidR="00014F42"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 xml:space="preserve"> STGs &amp; EML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CC4BB" w14:textId="7B64CE54" w:rsidR="009C57F0" w:rsidRPr="009C57F0" w:rsidRDefault="603DCC01" w:rsidP="2F89D8DF">
            <w:pPr>
              <w:rPr>
                <w:rFonts w:cstheme="minorBidi"/>
                <w:spacing w:val="2"/>
                <w:sz w:val="18"/>
                <w:szCs w:val="18"/>
                <w:lang w:eastAsia="en-ZA"/>
              </w:rPr>
            </w:pPr>
            <w:r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>AH</w:t>
            </w:r>
            <w:r w:rsidR="00014F42"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 xml:space="preserve"> STG &amp; EML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11E6" w14:textId="1DA70A1B" w:rsidR="009C57F0" w:rsidRPr="009C57F0" w:rsidRDefault="603DCC01" w:rsidP="2F89D8DF">
            <w:pPr>
              <w:rPr>
                <w:rFonts w:cstheme="minorBidi"/>
                <w:spacing w:val="2"/>
                <w:sz w:val="18"/>
                <w:szCs w:val="18"/>
                <w:lang w:eastAsia="en-ZA"/>
              </w:rPr>
            </w:pPr>
            <w:proofErr w:type="spellStart"/>
            <w:r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>PaedH</w:t>
            </w:r>
            <w:proofErr w:type="spellEnd"/>
            <w:r w:rsidR="00014F42"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 xml:space="preserve"> STG &amp; EML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97310FC" w14:textId="18D0AF7B" w:rsidR="009C57F0" w:rsidRPr="009C57F0" w:rsidRDefault="603DCC01" w:rsidP="2F89D8DF">
            <w:pPr>
              <w:rPr>
                <w:rFonts w:cstheme="minorBidi"/>
                <w:spacing w:val="2"/>
                <w:sz w:val="18"/>
                <w:szCs w:val="18"/>
                <w:lang w:eastAsia="en-ZA"/>
              </w:rPr>
            </w:pPr>
            <w:r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>TQ</w:t>
            </w:r>
            <w:r w:rsidR="00014F42" w:rsidRPr="2F89D8DF">
              <w:rPr>
                <w:rFonts w:cstheme="minorBidi"/>
                <w:spacing w:val="2"/>
                <w:sz w:val="18"/>
                <w:szCs w:val="18"/>
                <w:lang w:eastAsia="en-ZA"/>
              </w:rPr>
              <w:t xml:space="preserve"> EML</w:t>
            </w:r>
          </w:p>
        </w:tc>
        <w:tc>
          <w:tcPr>
            <w:tcW w:w="1815" w:type="dxa"/>
            <w:vMerge/>
            <w:tcBorders>
              <w:bottom w:val="single" w:sz="2" w:space="0" w:color="auto"/>
            </w:tcBorders>
          </w:tcPr>
          <w:p w14:paraId="1BB86B47" w14:textId="5E90860A" w:rsidR="009C57F0" w:rsidRPr="009C57F0" w:rsidRDefault="009C57F0" w:rsidP="006F5B76">
            <w:pPr>
              <w:jc w:val="both"/>
              <w:rPr>
                <w:rFonts w:asciiTheme="minorHAnsi" w:hAnsiTheme="minorHAnsi" w:cstheme="minorHAnsi"/>
                <w:color w:val="EE0000"/>
                <w:spacing w:val="2"/>
                <w:sz w:val="18"/>
                <w:szCs w:val="18"/>
                <w:lang w:eastAsia="en-ZA"/>
              </w:rPr>
            </w:pPr>
          </w:p>
        </w:tc>
        <w:tc>
          <w:tcPr>
            <w:tcW w:w="1320" w:type="dxa"/>
            <w:vMerge/>
            <w:tcBorders>
              <w:bottom w:val="single" w:sz="2" w:space="0" w:color="auto"/>
            </w:tcBorders>
          </w:tcPr>
          <w:p w14:paraId="0CF83705" w14:textId="51E28F2A" w:rsidR="009C57F0" w:rsidRPr="009C57F0" w:rsidRDefault="009C57F0" w:rsidP="006F5B76">
            <w:pPr>
              <w:jc w:val="both"/>
              <w:rPr>
                <w:rFonts w:asciiTheme="minorHAnsi" w:hAnsiTheme="minorHAnsi" w:cstheme="minorHAnsi"/>
                <w:bCs/>
                <w:color w:val="EE0000"/>
                <w:spacing w:val="2"/>
                <w:sz w:val="18"/>
                <w:szCs w:val="18"/>
                <w:lang w:eastAsia="en-ZA"/>
              </w:rPr>
            </w:pPr>
          </w:p>
        </w:tc>
        <w:tc>
          <w:tcPr>
            <w:tcW w:w="1852" w:type="dxa"/>
            <w:vMerge/>
            <w:tcBorders>
              <w:bottom w:val="single" w:sz="2" w:space="0" w:color="auto"/>
            </w:tcBorders>
          </w:tcPr>
          <w:p w14:paraId="6F61B7F4" w14:textId="77777777" w:rsidR="001A747B" w:rsidRDefault="001A747B"/>
        </w:tc>
      </w:tr>
      <w:tr w:rsidR="009C57F0" w:rsidRPr="009C57F0" w14:paraId="79ABFBFD" w14:textId="77777777" w:rsidTr="00BF603E">
        <w:trPr>
          <w:trHeight w:val="300"/>
        </w:trPr>
        <w:tc>
          <w:tcPr>
            <w:tcW w:w="101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D5797D" w14:textId="0B5AD82E" w:rsidR="012F5BD9" w:rsidRPr="00BF603E" w:rsidRDefault="012F5BD9" w:rsidP="00BF603E">
            <w:pPr>
              <w:widowControl w:val="0"/>
              <w:jc w:val="both"/>
              <w:rPr>
                <w:rFonts w:asciiTheme="minorHAnsi" w:hAnsiTheme="minorHAnsi" w:cstheme="minorBidi"/>
                <w:b/>
                <w:iCs/>
                <w:sz w:val="18"/>
                <w:szCs w:val="18"/>
                <w:lang w:val="en-GB"/>
              </w:rPr>
            </w:pPr>
            <w:r w:rsidRPr="00BF603E">
              <w:rPr>
                <w:rFonts w:asciiTheme="minorHAnsi" w:hAnsiTheme="minorHAnsi" w:cstheme="minorBidi"/>
                <w:b/>
                <w:iCs/>
                <w:sz w:val="18"/>
                <w:szCs w:val="18"/>
                <w:lang w:val="en-GB"/>
              </w:rPr>
              <w:t>Report Version v</w:t>
            </w:r>
            <w:r w:rsidR="00BF603E" w:rsidRPr="00BF603E">
              <w:rPr>
                <w:rFonts w:asciiTheme="minorHAnsi" w:hAnsiTheme="minorHAnsi" w:cstheme="minorBidi"/>
                <w:b/>
                <w:iCs/>
                <w:sz w:val="18"/>
                <w:szCs w:val="18"/>
                <w:lang w:val="en-GB"/>
              </w:rPr>
              <w:t>1</w:t>
            </w:r>
            <w:r w:rsidRPr="00BF603E">
              <w:rPr>
                <w:rFonts w:asciiTheme="minorHAnsi" w:hAnsiTheme="minorHAnsi" w:cstheme="minorBidi"/>
                <w:b/>
                <w:iCs/>
                <w:sz w:val="18"/>
                <w:szCs w:val="18"/>
                <w:lang w:val="en-GB"/>
              </w:rPr>
              <w:t>.0</w:t>
            </w:r>
            <w:r w:rsidR="00BF603E" w:rsidRPr="00BF603E">
              <w:rPr>
                <w:rFonts w:asciiTheme="minorHAnsi" w:hAnsiTheme="minorHAnsi" w:cstheme="minorBidi"/>
                <w:b/>
                <w:iCs/>
                <w:sz w:val="18"/>
                <w:szCs w:val="18"/>
                <w:lang w:val="en-GB"/>
              </w:rPr>
              <w:t>: HIV Pre-exposure prophylaxis (</w:t>
            </w:r>
            <w:proofErr w:type="spellStart"/>
            <w:r w:rsidR="00BF603E" w:rsidRPr="00BF603E">
              <w:rPr>
                <w:rFonts w:asciiTheme="minorHAnsi" w:hAnsiTheme="minorHAnsi" w:cstheme="minorBidi"/>
                <w:b/>
                <w:iCs/>
                <w:sz w:val="18"/>
                <w:szCs w:val="18"/>
                <w:lang w:val="en-GB"/>
              </w:rPr>
              <w:t>PrEP</w:t>
            </w:r>
            <w:proofErr w:type="spellEnd"/>
            <w:r w:rsidR="00BF603E" w:rsidRPr="00BF603E">
              <w:rPr>
                <w:rFonts w:asciiTheme="minorHAnsi" w:hAnsiTheme="minorHAnsi" w:cstheme="minorBidi"/>
                <w:b/>
                <w:iCs/>
                <w:sz w:val="18"/>
                <w:szCs w:val="18"/>
                <w:lang w:val="en-GB"/>
              </w:rPr>
              <w:t>)</w:t>
            </w:r>
          </w:p>
        </w:tc>
      </w:tr>
      <w:tr w:rsidR="009C57F0" w:rsidRPr="009C57F0" w14:paraId="0087A863" w14:textId="77777777" w:rsidTr="00BF603E">
        <w:trPr>
          <w:trHeight w:val="300"/>
        </w:trPr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F431B" w14:textId="0EF2989A" w:rsidR="009C57F0" w:rsidRPr="00BF603E" w:rsidRDefault="009C57F0" w:rsidP="2F89D8D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Bidi"/>
                <w:b/>
                <w:bCs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5BD9" w14:textId="0BD50A5D" w:rsidR="009C57F0" w:rsidRPr="00BF603E" w:rsidRDefault="00BF603E" w:rsidP="006F5B76">
            <w:pPr>
              <w:jc w:val="both"/>
              <w:rPr>
                <w:rFonts w:cstheme="minorHAnsi"/>
                <w:spacing w:val="2"/>
                <w:sz w:val="18"/>
                <w:szCs w:val="18"/>
                <w:lang w:eastAsia="en-ZA"/>
              </w:rPr>
            </w:pPr>
            <w:r w:rsidRPr="00BF603E">
              <w:rPr>
                <w:rFonts w:ascii="Haettenschweiler" w:hAnsi="Haettenschweiler" w:cstheme="minorHAnsi"/>
                <w:spacing w:val="2"/>
                <w:sz w:val="18"/>
                <w:szCs w:val="18"/>
                <w:lang w:eastAsia="en-ZA"/>
              </w:rPr>
              <w:t>√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4F07" w14:textId="77777777" w:rsidR="009C57F0" w:rsidRPr="00BF603E" w:rsidRDefault="009C57F0" w:rsidP="006F5B76">
            <w:pPr>
              <w:jc w:val="both"/>
              <w:rPr>
                <w:rFonts w:cstheme="minorHAnsi"/>
                <w:spacing w:val="2"/>
                <w:sz w:val="18"/>
                <w:szCs w:val="18"/>
                <w:lang w:eastAsia="en-ZA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860E" w14:textId="77777777" w:rsidR="009C57F0" w:rsidRPr="00BF603E" w:rsidRDefault="009C57F0" w:rsidP="006F5B76">
            <w:pPr>
              <w:jc w:val="both"/>
              <w:rPr>
                <w:rFonts w:cstheme="minorHAnsi"/>
                <w:spacing w:val="2"/>
                <w:sz w:val="18"/>
                <w:szCs w:val="18"/>
                <w:lang w:eastAsia="en-ZA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9EF58" w14:textId="3B35CF09" w:rsidR="009C57F0" w:rsidRPr="00BF603E" w:rsidRDefault="009C57F0" w:rsidP="006F5B76">
            <w:pPr>
              <w:jc w:val="both"/>
              <w:rPr>
                <w:rFonts w:cstheme="minorHAnsi"/>
                <w:spacing w:val="2"/>
                <w:sz w:val="18"/>
                <w:szCs w:val="18"/>
                <w:lang w:eastAsia="en-ZA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2CEA" w14:textId="5CEDDC27" w:rsidR="009C57F0" w:rsidRPr="00BF603E" w:rsidRDefault="00BF603E" w:rsidP="006F5B76">
            <w:pPr>
              <w:jc w:val="both"/>
              <w:rPr>
                <w:rFonts w:cstheme="minorHAnsi"/>
                <w:spacing w:val="2"/>
                <w:sz w:val="18"/>
                <w:szCs w:val="18"/>
                <w:lang w:eastAsia="en-ZA"/>
              </w:rPr>
            </w:pPr>
            <w:proofErr w:type="spellStart"/>
            <w:r w:rsidRPr="00BF603E">
              <w:rPr>
                <w:rFonts w:cstheme="minorHAnsi"/>
                <w:spacing w:val="2"/>
                <w:sz w:val="18"/>
                <w:szCs w:val="18"/>
                <w:lang w:eastAsia="en-ZA"/>
              </w:rPr>
              <w:t>Lenacapavir</w:t>
            </w:r>
            <w:proofErr w:type="spellEnd"/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E49A" w14:textId="70FEEF3E" w:rsidR="009C57F0" w:rsidRPr="00BF603E" w:rsidRDefault="001F713A" w:rsidP="006F5B76">
            <w:pPr>
              <w:jc w:val="both"/>
              <w:rPr>
                <w:rFonts w:cstheme="minorHAnsi"/>
                <w:bCs/>
                <w:spacing w:val="2"/>
                <w:sz w:val="18"/>
                <w:szCs w:val="18"/>
                <w:lang w:eastAsia="en-ZA"/>
              </w:rPr>
            </w:pPr>
            <w:r>
              <w:rPr>
                <w:rFonts w:cstheme="minorHAnsi"/>
                <w:bCs/>
                <w:spacing w:val="2"/>
                <w:sz w:val="18"/>
                <w:szCs w:val="18"/>
                <w:lang w:eastAsia="en-ZA"/>
              </w:rPr>
              <w:t>ADDED</w:t>
            </w:r>
            <w:r w:rsidR="00BF603E" w:rsidRPr="00BF603E">
              <w:rPr>
                <w:rFonts w:cstheme="minorHAnsi"/>
                <w:bCs/>
                <w:spacing w:val="2"/>
                <w:sz w:val="18"/>
                <w:szCs w:val="18"/>
                <w:lang w:eastAsia="en-ZA"/>
              </w:rPr>
              <w:t xml:space="preserve"> subject to SAHPRA registration and reference price being met.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53EBA" w14:textId="23317F2B" w:rsidR="2F89D8DF" w:rsidRPr="00BF603E" w:rsidRDefault="00BF603E" w:rsidP="2F89D8DF">
            <w:pPr>
              <w:jc w:val="both"/>
              <w:rPr>
                <w:rFonts w:cstheme="minorBidi"/>
                <w:sz w:val="18"/>
                <w:szCs w:val="18"/>
                <w:lang w:eastAsia="en-ZA"/>
              </w:rPr>
            </w:pPr>
            <w:r w:rsidRPr="00BF603E">
              <w:rPr>
                <w:rFonts w:cstheme="minorBidi"/>
                <w:sz w:val="18"/>
                <w:szCs w:val="18"/>
                <w:lang w:eastAsia="en-ZA"/>
              </w:rPr>
              <w:t>n/a</w:t>
            </w:r>
          </w:p>
        </w:tc>
      </w:tr>
    </w:tbl>
    <w:p w14:paraId="79E91BD7" w14:textId="23207F64" w:rsidR="0FF60583" w:rsidRDefault="0FF60583" w:rsidP="2F89D8DF">
      <w:pPr>
        <w:spacing w:after="0" w:line="240" w:lineRule="auto"/>
      </w:pPr>
      <w:r w:rsidRPr="2F89D8DF">
        <w:t>*</w:t>
      </w:r>
      <w:r w:rsidRPr="2F89D8DF">
        <w:rPr>
          <w:sz w:val="20"/>
          <w:szCs w:val="20"/>
        </w:rPr>
        <w:t>Therapeutic Interchange</w:t>
      </w:r>
    </w:p>
    <w:p w14:paraId="28CD2A43" w14:textId="28E29B6B" w:rsidR="2F89D8DF" w:rsidRDefault="2F89D8DF" w:rsidP="2F89D8DF">
      <w:pPr>
        <w:spacing w:after="0" w:line="240" w:lineRule="auto"/>
        <w:rPr>
          <w:sz w:val="20"/>
          <w:szCs w:val="20"/>
        </w:rPr>
      </w:pPr>
    </w:p>
    <w:p w14:paraId="598A7E49" w14:textId="77777777" w:rsidR="00391AC8" w:rsidRDefault="00391AC8" w:rsidP="2F89D8DF">
      <w:pPr>
        <w:pStyle w:val="Heading2"/>
        <w:rPr>
          <w:rStyle w:val="Heading1Char"/>
          <w:b/>
          <w:color w:val="538135" w:themeColor="accent6" w:themeShade="BF"/>
          <w:sz w:val="28"/>
          <w:szCs w:val="28"/>
        </w:rPr>
      </w:pPr>
    </w:p>
    <w:p w14:paraId="588B24B0" w14:textId="77ABE08A" w:rsidR="00923803" w:rsidRPr="0067509A" w:rsidRDefault="00BF603E" w:rsidP="2F89D8DF">
      <w:pPr>
        <w:pStyle w:val="Heading2"/>
        <w:rPr>
          <w:rStyle w:val="Heading1Char"/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7509A">
        <w:rPr>
          <w:rStyle w:val="Heading1Char"/>
          <w:rFonts w:ascii="Arial" w:hAnsi="Arial" w:cs="Arial"/>
          <w:b/>
          <w:color w:val="538135" w:themeColor="accent6" w:themeShade="BF"/>
          <w:sz w:val="28"/>
          <w:szCs w:val="28"/>
        </w:rPr>
        <w:t>Report V1</w:t>
      </w:r>
      <w:r w:rsidR="5059B11F" w:rsidRPr="0067509A">
        <w:rPr>
          <w:rStyle w:val="Heading1Char"/>
          <w:rFonts w:ascii="Arial" w:hAnsi="Arial" w:cs="Arial"/>
          <w:b/>
          <w:color w:val="538135" w:themeColor="accent6" w:themeShade="BF"/>
          <w:sz w:val="28"/>
          <w:szCs w:val="28"/>
        </w:rPr>
        <w:t>.0</w:t>
      </w:r>
    </w:p>
    <w:p w14:paraId="2B7EA418" w14:textId="4316F301" w:rsidR="00923803" w:rsidRPr="0067509A" w:rsidRDefault="00DE6650" w:rsidP="2F89D8DF">
      <w:pPr>
        <w:pStyle w:val="Heading3"/>
        <w:rPr>
          <w:rFonts w:ascii="Arial" w:hAnsi="Arial" w:cs="Arial"/>
          <w:b/>
          <w:color w:val="538135" w:themeColor="accent6" w:themeShade="BF"/>
        </w:rPr>
      </w:pPr>
      <w:r w:rsidRPr="0067509A">
        <w:rPr>
          <w:rFonts w:ascii="Arial" w:hAnsi="Arial" w:cs="Arial"/>
          <w:b/>
          <w:color w:val="538135" w:themeColor="accent6" w:themeShade="BF"/>
        </w:rPr>
        <w:t xml:space="preserve">PHC HIV Chapter 11 </w:t>
      </w:r>
      <w:r w:rsidR="4950F6B9" w:rsidRPr="0067509A">
        <w:rPr>
          <w:rFonts w:ascii="Arial" w:hAnsi="Arial" w:cs="Arial"/>
          <w:b/>
          <w:color w:val="538135" w:themeColor="accent6" w:themeShade="BF"/>
        </w:rPr>
        <w:t xml:space="preserve"> </w:t>
      </w:r>
    </w:p>
    <w:p w14:paraId="6B77A4EB" w14:textId="5259216A" w:rsidR="00DE6650" w:rsidRPr="0067509A" w:rsidRDefault="00DE6650" w:rsidP="00DE6650">
      <w:pPr>
        <w:pStyle w:val="TOC7"/>
        <w:ind w:left="0" w:firstLine="0"/>
        <w:rPr>
          <w:rFonts w:ascii="Arial" w:eastAsiaTheme="majorEastAsia" w:hAnsi="Arial" w:cs="Arial"/>
          <w:b/>
          <w:noProof w:val="0"/>
          <w:color w:val="538135" w:themeColor="accent6" w:themeShade="BF"/>
          <w:spacing w:val="0"/>
          <w:sz w:val="24"/>
          <w:szCs w:val="24"/>
        </w:rPr>
      </w:pPr>
      <w:r w:rsidRPr="0067509A">
        <w:rPr>
          <w:rFonts w:ascii="Arial" w:eastAsiaTheme="majorEastAsia" w:hAnsi="Arial" w:cs="Arial"/>
          <w:b/>
          <w:noProof w:val="0"/>
          <w:color w:val="538135" w:themeColor="accent6" w:themeShade="BF"/>
          <w:spacing w:val="0"/>
          <w:sz w:val="24"/>
          <w:szCs w:val="24"/>
        </w:rPr>
        <w:t xml:space="preserve">Section 11.11 </w:t>
      </w:r>
      <w:r w:rsidR="00FE6CFD" w:rsidRPr="0067509A">
        <w:rPr>
          <w:rFonts w:ascii="Arial" w:eastAsiaTheme="majorEastAsia" w:hAnsi="Arial" w:cs="Arial"/>
          <w:b/>
          <w:noProof w:val="0"/>
          <w:color w:val="538135" w:themeColor="accent6" w:themeShade="BF"/>
          <w:spacing w:val="0"/>
          <w:sz w:val="24"/>
          <w:szCs w:val="24"/>
        </w:rPr>
        <w:t xml:space="preserve">HIV </w:t>
      </w:r>
      <w:hyperlink w:anchor="_Toc177151125" w:history="1">
        <w:r w:rsidRPr="0067509A">
          <w:rPr>
            <w:rFonts w:ascii="Arial" w:eastAsiaTheme="majorEastAsia" w:hAnsi="Arial" w:cs="Arial"/>
            <w:b/>
            <w:noProof w:val="0"/>
            <w:color w:val="538135" w:themeColor="accent6" w:themeShade="BF"/>
            <w:spacing w:val="0"/>
            <w:sz w:val="24"/>
            <w:szCs w:val="24"/>
          </w:rPr>
          <w:t>Pre-exposure prophylaxis (</w:t>
        </w:r>
        <w:proofErr w:type="spellStart"/>
        <w:r w:rsidRPr="0067509A">
          <w:rPr>
            <w:rFonts w:ascii="Arial" w:eastAsiaTheme="majorEastAsia" w:hAnsi="Arial" w:cs="Arial"/>
            <w:b/>
            <w:noProof w:val="0"/>
            <w:color w:val="538135" w:themeColor="accent6" w:themeShade="BF"/>
            <w:spacing w:val="0"/>
            <w:sz w:val="24"/>
            <w:szCs w:val="24"/>
          </w:rPr>
          <w:t>PrEP</w:t>
        </w:r>
        <w:proofErr w:type="spellEnd"/>
        <w:r w:rsidRPr="0067509A">
          <w:rPr>
            <w:rFonts w:ascii="Arial" w:eastAsiaTheme="majorEastAsia" w:hAnsi="Arial" w:cs="Arial"/>
            <w:b/>
            <w:noProof w:val="0"/>
            <w:color w:val="538135" w:themeColor="accent6" w:themeShade="BF"/>
            <w:spacing w:val="0"/>
            <w:sz w:val="24"/>
            <w:szCs w:val="24"/>
          </w:rPr>
          <w:t>)</w:t>
        </w:r>
      </w:hyperlink>
    </w:p>
    <w:p w14:paraId="5DA8C47D" w14:textId="06259952" w:rsidR="00923803" w:rsidRDefault="00923803" w:rsidP="2F89D8DF">
      <w:pPr>
        <w:pStyle w:val="Heading3"/>
        <w:rPr>
          <w:i/>
          <w:iCs/>
          <w:color w:val="FF0000"/>
        </w:rPr>
      </w:pPr>
    </w:p>
    <w:p w14:paraId="59966859" w14:textId="77777777" w:rsidR="00F95EE6" w:rsidRPr="0067509A" w:rsidRDefault="00553DA1" w:rsidP="00553DA1">
      <w:pPr>
        <w:rPr>
          <w:rFonts w:ascii="Arial" w:hAnsi="Arial" w:cs="Arial"/>
          <w:u w:val="single"/>
        </w:rPr>
      </w:pPr>
      <w:r w:rsidRPr="0067509A">
        <w:rPr>
          <w:rFonts w:ascii="Arial" w:hAnsi="Arial" w:cs="Arial"/>
          <w:u w:val="single"/>
        </w:rPr>
        <w:t>Medicine Treatment</w:t>
      </w:r>
      <w:r w:rsidR="00F95EE6" w:rsidRPr="0067509A">
        <w:rPr>
          <w:rFonts w:ascii="Arial" w:hAnsi="Arial" w:cs="Arial"/>
          <w:u w:val="single"/>
        </w:rPr>
        <w:t>:</w:t>
      </w:r>
    </w:p>
    <w:p w14:paraId="7F96454E" w14:textId="6223CEA4" w:rsidR="00553DA1" w:rsidRPr="0067509A" w:rsidRDefault="00DE6650" w:rsidP="00553DA1">
      <w:pPr>
        <w:rPr>
          <w:rFonts w:ascii="Arial" w:eastAsiaTheme="majorEastAsia" w:hAnsi="Arial" w:cs="Arial"/>
          <w:i/>
          <w:iCs/>
          <w:color w:val="FF0000"/>
        </w:rPr>
      </w:pPr>
      <w:r w:rsidRPr="0067509A">
        <w:rPr>
          <w:rFonts w:ascii="Arial" w:hAnsi="Arial" w:cs="Arial"/>
          <w:b/>
        </w:rPr>
        <w:t>LENACAPAVIR:</w:t>
      </w:r>
      <w:r w:rsidRPr="0067509A">
        <w:rPr>
          <w:rFonts w:ascii="Arial" w:hAnsi="Arial" w:cs="Arial"/>
        </w:rPr>
        <w:t xml:space="preserve"> Added</w:t>
      </w:r>
      <w:r w:rsidR="00F95EE6" w:rsidRPr="0067509A">
        <w:rPr>
          <w:rFonts w:ascii="Arial" w:hAnsi="Arial" w:cs="Arial"/>
        </w:rPr>
        <w:t xml:space="preserve"> </w:t>
      </w:r>
      <w:r w:rsidR="002C7BDC">
        <w:rPr>
          <w:rFonts w:ascii="Arial" w:hAnsi="Arial" w:cs="Arial"/>
        </w:rPr>
        <w:t>(subject to reference price being met)</w:t>
      </w:r>
    </w:p>
    <w:p w14:paraId="4EC5D843" w14:textId="1706659F" w:rsidR="0092185C" w:rsidRPr="0067509A" w:rsidRDefault="0092185C" w:rsidP="00DE6650">
      <w:pPr>
        <w:spacing w:after="0" w:line="240" w:lineRule="auto"/>
        <w:jc w:val="both"/>
        <w:rPr>
          <w:rFonts w:ascii="Arial" w:hAnsi="Arial" w:cs="Arial"/>
          <w:iCs/>
        </w:rPr>
      </w:pPr>
      <w:r w:rsidRPr="0067509A">
        <w:rPr>
          <w:rFonts w:ascii="Arial" w:hAnsi="Arial" w:cs="Arial"/>
          <w:b/>
        </w:rPr>
        <w:t>NEMLC Recommendation:</w:t>
      </w:r>
    </w:p>
    <w:p w14:paraId="42EDC55C" w14:textId="44C75088" w:rsidR="00553DA1" w:rsidRPr="0067509A" w:rsidRDefault="00DE6650" w:rsidP="00DE6650">
      <w:pPr>
        <w:spacing w:after="0" w:line="240" w:lineRule="auto"/>
        <w:jc w:val="both"/>
        <w:rPr>
          <w:rFonts w:ascii="Arial" w:hAnsi="Arial" w:cs="Arial"/>
          <w:iCs/>
        </w:rPr>
      </w:pPr>
      <w:r w:rsidRPr="0067509A">
        <w:rPr>
          <w:rFonts w:ascii="Arial" w:hAnsi="Arial" w:cs="Arial"/>
          <w:iCs/>
        </w:rPr>
        <w:t xml:space="preserve">The NEMLC strongly recommends the use of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 (LEN) for HIV </w:t>
      </w:r>
      <w:proofErr w:type="spellStart"/>
      <w:r w:rsidRPr="0067509A">
        <w:rPr>
          <w:rFonts w:ascii="Arial" w:hAnsi="Arial" w:cs="Arial"/>
          <w:iCs/>
        </w:rPr>
        <w:t>PrEP</w:t>
      </w:r>
      <w:proofErr w:type="spellEnd"/>
      <w:r w:rsidRPr="0067509A">
        <w:rPr>
          <w:rFonts w:ascii="Arial" w:hAnsi="Arial" w:cs="Arial"/>
          <w:iCs/>
        </w:rPr>
        <w:t xml:space="preserve"> based on the evidence reviewed. Inclusion on the EML is </w:t>
      </w:r>
      <w:r w:rsidRPr="0067509A">
        <w:rPr>
          <w:rFonts w:ascii="Arial" w:hAnsi="Arial" w:cs="Arial"/>
          <w:i/>
          <w:iCs/>
        </w:rPr>
        <w:t>however</w:t>
      </w:r>
      <w:r w:rsidRPr="0067509A">
        <w:rPr>
          <w:rFonts w:ascii="Arial" w:hAnsi="Arial" w:cs="Arial"/>
          <w:iCs/>
        </w:rPr>
        <w:t xml:space="preserve"> subject to registration by the South African Health Products Regulatory Agency (SAHPRA) and contingent upon the reference price (as modelled in the economic analysis) being met.</w:t>
      </w:r>
    </w:p>
    <w:p w14:paraId="2D693B70" w14:textId="2D74E69E" w:rsidR="00DE6650" w:rsidRPr="0067509A" w:rsidRDefault="0092185C" w:rsidP="00FE6CFD">
      <w:pPr>
        <w:spacing w:after="0" w:line="240" w:lineRule="auto"/>
        <w:jc w:val="both"/>
        <w:rPr>
          <w:rFonts w:ascii="Arial" w:hAnsi="Arial" w:cs="Arial"/>
        </w:rPr>
      </w:pPr>
      <w:r w:rsidRPr="0067509A">
        <w:rPr>
          <w:rFonts w:ascii="Arial" w:hAnsi="Arial" w:cs="Arial"/>
          <w:iCs/>
        </w:rPr>
        <w:t xml:space="preserve">The NEMLC supports acceptance of the Global Fund’s </w:t>
      </w:r>
      <w:r w:rsidR="002C7BDC">
        <w:rPr>
          <w:rFonts w:ascii="Arial" w:hAnsi="Arial" w:cs="Arial"/>
          <w:iCs/>
        </w:rPr>
        <w:t xml:space="preserve">grant </w:t>
      </w:r>
      <w:r w:rsidRPr="0067509A">
        <w:rPr>
          <w:rFonts w:ascii="Arial" w:hAnsi="Arial" w:cs="Arial"/>
          <w:iCs/>
        </w:rPr>
        <w:t xml:space="preserve">towards the procurement of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. While the </w:t>
      </w:r>
      <w:r w:rsidR="00FE6CFD" w:rsidRPr="0067509A">
        <w:rPr>
          <w:rFonts w:ascii="Arial" w:hAnsi="Arial" w:cs="Arial"/>
          <w:iCs/>
        </w:rPr>
        <w:t xml:space="preserve">Committee notes potential </w:t>
      </w:r>
      <w:r w:rsidRPr="0067509A">
        <w:rPr>
          <w:rFonts w:ascii="Arial" w:hAnsi="Arial" w:cs="Arial"/>
          <w:iCs/>
        </w:rPr>
        <w:t>equi</w:t>
      </w:r>
      <w:r w:rsidR="00FE6CFD" w:rsidRPr="0067509A">
        <w:rPr>
          <w:rFonts w:ascii="Arial" w:hAnsi="Arial" w:cs="Arial"/>
          <w:iCs/>
        </w:rPr>
        <w:t>t</w:t>
      </w:r>
      <w:r w:rsidRPr="0067509A">
        <w:rPr>
          <w:rFonts w:ascii="Arial" w:hAnsi="Arial" w:cs="Arial"/>
          <w:iCs/>
        </w:rPr>
        <w:t xml:space="preserve">y concerns </w:t>
      </w:r>
      <w:r w:rsidR="00FE6CFD" w:rsidRPr="0067509A">
        <w:rPr>
          <w:rFonts w:ascii="Arial" w:hAnsi="Arial" w:cs="Arial"/>
          <w:iCs/>
        </w:rPr>
        <w:t xml:space="preserve">with this limited </w:t>
      </w:r>
      <w:r w:rsidR="002C7BDC">
        <w:rPr>
          <w:rFonts w:ascii="Arial" w:hAnsi="Arial" w:cs="Arial"/>
          <w:iCs/>
        </w:rPr>
        <w:t>grant</w:t>
      </w:r>
      <w:r w:rsidR="00FE6CFD" w:rsidRPr="0067509A">
        <w:rPr>
          <w:rFonts w:ascii="Arial" w:hAnsi="Arial" w:cs="Arial"/>
          <w:iCs/>
        </w:rPr>
        <w:t xml:space="preserve">, it does present opportunity to further our understanding of </w:t>
      </w:r>
      <w:proofErr w:type="spellStart"/>
      <w:r w:rsidR="00FE6CFD" w:rsidRPr="0067509A">
        <w:rPr>
          <w:rFonts w:ascii="Arial" w:hAnsi="Arial" w:cs="Arial"/>
          <w:iCs/>
        </w:rPr>
        <w:t>pharmacovigilance</w:t>
      </w:r>
      <w:proofErr w:type="spellEnd"/>
      <w:r w:rsidR="00FE6CFD" w:rsidRPr="0067509A">
        <w:rPr>
          <w:rFonts w:ascii="Arial" w:hAnsi="Arial" w:cs="Arial"/>
          <w:iCs/>
        </w:rPr>
        <w:t xml:space="preserve"> concerns, as well as facilitate the development of a strategy for a scaled roll out of </w:t>
      </w:r>
      <w:proofErr w:type="spellStart"/>
      <w:r w:rsidR="00FE6CFD" w:rsidRPr="0067509A">
        <w:rPr>
          <w:rFonts w:ascii="Arial" w:hAnsi="Arial" w:cs="Arial"/>
          <w:iCs/>
        </w:rPr>
        <w:t>lenacapavir</w:t>
      </w:r>
      <w:proofErr w:type="spellEnd"/>
      <w:r w:rsidR="00FE6CFD" w:rsidRPr="0067509A">
        <w:rPr>
          <w:rFonts w:ascii="Arial" w:hAnsi="Arial" w:cs="Arial"/>
          <w:iCs/>
        </w:rPr>
        <w:t xml:space="preserve"> once </w:t>
      </w:r>
      <w:proofErr w:type="gramStart"/>
      <w:r w:rsidR="002C7BDC">
        <w:rPr>
          <w:rFonts w:ascii="Arial" w:hAnsi="Arial" w:cs="Arial"/>
          <w:iCs/>
        </w:rPr>
        <w:t>procured</w:t>
      </w:r>
      <w:r w:rsidR="00062A4F">
        <w:rPr>
          <w:rFonts w:ascii="Arial" w:hAnsi="Arial" w:cs="Arial"/>
          <w:iCs/>
        </w:rPr>
        <w:t xml:space="preserve"> </w:t>
      </w:r>
      <w:r w:rsidR="002C7BDC">
        <w:rPr>
          <w:rFonts w:ascii="Arial" w:hAnsi="Arial" w:cs="Arial"/>
          <w:iCs/>
        </w:rPr>
        <w:t xml:space="preserve"> at</w:t>
      </w:r>
      <w:proofErr w:type="gramEnd"/>
      <w:r w:rsidR="002C7BDC">
        <w:rPr>
          <w:rFonts w:ascii="Arial" w:hAnsi="Arial" w:cs="Arial"/>
          <w:iCs/>
        </w:rPr>
        <w:t xml:space="preserve"> the stated reference price</w:t>
      </w:r>
      <w:r w:rsidR="00FE6CFD" w:rsidRPr="0067509A">
        <w:rPr>
          <w:rFonts w:ascii="Arial" w:hAnsi="Arial" w:cs="Arial"/>
          <w:iCs/>
        </w:rPr>
        <w:t>.</w:t>
      </w:r>
    </w:p>
    <w:p w14:paraId="1503725B" w14:textId="78F0F3CC" w:rsidR="00391AC8" w:rsidRPr="00391AC8" w:rsidRDefault="00391AC8" w:rsidP="2F89D8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280" w:type="dxa"/>
        <w:tblLook w:val="04A0" w:firstRow="1" w:lastRow="0" w:firstColumn="1" w:lastColumn="0" w:noHBand="0" w:noVBand="1"/>
      </w:tblPr>
      <w:tblGrid>
        <w:gridCol w:w="10280"/>
      </w:tblGrid>
      <w:tr w:rsidR="00391AC8" w14:paraId="4C7B54E7" w14:textId="77777777" w:rsidTr="001F2381">
        <w:trPr>
          <w:trHeight w:val="7413"/>
        </w:trPr>
        <w:tc>
          <w:tcPr>
            <w:tcW w:w="10280" w:type="dxa"/>
          </w:tcPr>
          <w:p w14:paraId="3BBC93B5" w14:textId="39C055C4" w:rsidR="00391AC8" w:rsidRDefault="001F2381" w:rsidP="001F238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9E1CFC">
              <w:rPr>
                <w:rFonts w:ascii="Arial" w:hAnsi="Arial" w:cs="Arial"/>
                <w:i/>
                <w:iCs/>
                <w:noProof/>
                <w:color w:val="FF0000"/>
                <w:sz w:val="20"/>
                <w:szCs w:val="20"/>
                <w:lang w:eastAsia="en-ZA"/>
              </w:rPr>
              <w:drawing>
                <wp:inline distT="0" distB="0" distL="0" distR="0" wp14:anchorId="1FE621E0" wp14:editId="3DC64BB3">
                  <wp:extent cx="5791200" cy="465527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297" cy="4656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DACA2" w14:textId="77777777" w:rsidR="00391AC8" w:rsidRPr="00391AC8" w:rsidRDefault="00391AC8" w:rsidP="2F89D8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218747" w14:textId="4D78EBE3" w:rsidR="00391AC8" w:rsidRPr="0067509A" w:rsidRDefault="00391AC8" w:rsidP="2F89D8DF">
      <w:pPr>
        <w:spacing w:after="0" w:line="240" w:lineRule="auto"/>
        <w:rPr>
          <w:rFonts w:ascii="Arial" w:hAnsi="Arial" w:cs="Arial"/>
          <w:b/>
        </w:rPr>
      </w:pPr>
      <w:r w:rsidRPr="0067509A">
        <w:rPr>
          <w:rFonts w:ascii="Arial" w:hAnsi="Arial" w:cs="Arial"/>
          <w:b/>
        </w:rPr>
        <w:lastRenderedPageBreak/>
        <w:t xml:space="preserve">STG Update: PHC Chapter 11 Section 11.11 HIV </w:t>
      </w:r>
      <w:proofErr w:type="spellStart"/>
      <w:r w:rsidRPr="0067509A">
        <w:rPr>
          <w:rFonts w:ascii="Arial" w:hAnsi="Arial" w:cs="Arial"/>
          <w:b/>
        </w:rPr>
        <w:t>PrEP</w:t>
      </w:r>
      <w:proofErr w:type="spellEnd"/>
    </w:p>
    <w:p w14:paraId="454F9B24" w14:textId="63A24642" w:rsidR="00391AC8" w:rsidRPr="0067509A" w:rsidRDefault="00391AC8" w:rsidP="00FE6CFD">
      <w:pPr>
        <w:spacing w:after="0" w:line="240" w:lineRule="auto"/>
        <w:jc w:val="both"/>
        <w:rPr>
          <w:rFonts w:ascii="Arial" w:hAnsi="Arial" w:cs="Arial"/>
          <w:iCs/>
        </w:rPr>
      </w:pPr>
      <w:r w:rsidRPr="0067509A">
        <w:rPr>
          <w:rFonts w:ascii="Arial" w:hAnsi="Arial" w:cs="Arial"/>
          <w:i/>
          <w:iCs/>
          <w:u w:val="single"/>
        </w:rPr>
        <w:t>Proposed draft updates</w:t>
      </w:r>
      <w:r w:rsidRPr="0067509A">
        <w:rPr>
          <w:rFonts w:ascii="Arial" w:hAnsi="Arial" w:cs="Arial"/>
          <w:iCs/>
        </w:rPr>
        <w:t xml:space="preserve"> to the STG are included below for external comment. </w:t>
      </w:r>
    </w:p>
    <w:p w14:paraId="04F7F2E7" w14:textId="77777777" w:rsidR="00FE6CFD" w:rsidRPr="0067509A" w:rsidRDefault="00FE6CFD" w:rsidP="2F89D8DF">
      <w:pPr>
        <w:spacing w:after="0" w:line="240" w:lineRule="auto"/>
        <w:rPr>
          <w:rFonts w:ascii="Arial" w:hAnsi="Arial" w:cs="Arial"/>
          <w:iCs/>
        </w:rPr>
      </w:pPr>
    </w:p>
    <w:p w14:paraId="7858E0CC" w14:textId="3FA72B4D" w:rsidR="0067509A" w:rsidRPr="0067509A" w:rsidRDefault="0067509A" w:rsidP="00FE6CFD">
      <w:pPr>
        <w:jc w:val="both"/>
        <w:rPr>
          <w:rFonts w:ascii="Arial" w:hAnsi="Arial" w:cs="Arial"/>
          <w:iCs/>
          <w:u w:val="single"/>
        </w:rPr>
      </w:pPr>
      <w:r w:rsidRPr="0067509A">
        <w:rPr>
          <w:rFonts w:ascii="Arial" w:hAnsi="Arial" w:cs="Arial"/>
          <w:iCs/>
          <w:u w:val="single"/>
        </w:rPr>
        <w:t xml:space="preserve">Eligibility for HIV </w:t>
      </w:r>
      <w:proofErr w:type="spellStart"/>
      <w:r w:rsidRPr="0067509A">
        <w:rPr>
          <w:rFonts w:ascii="Arial" w:hAnsi="Arial" w:cs="Arial"/>
          <w:iCs/>
          <w:u w:val="single"/>
        </w:rPr>
        <w:t>PrEP</w:t>
      </w:r>
      <w:proofErr w:type="spellEnd"/>
      <w:r w:rsidRPr="0067509A">
        <w:rPr>
          <w:rFonts w:ascii="Arial" w:hAnsi="Arial" w:cs="Arial"/>
          <w:iCs/>
          <w:u w:val="single"/>
        </w:rPr>
        <w:t xml:space="preserve">: </w:t>
      </w:r>
      <w:r w:rsidRPr="0067509A">
        <w:rPr>
          <w:rFonts w:ascii="Arial" w:hAnsi="Arial" w:cs="Arial"/>
          <w:i/>
          <w:iCs/>
        </w:rPr>
        <w:t>‘Individuals at substantial risk of HIV infection’</w:t>
      </w:r>
      <w:r w:rsidRPr="0067509A">
        <w:rPr>
          <w:rFonts w:ascii="Arial" w:hAnsi="Arial" w:cs="Arial"/>
          <w:iCs/>
        </w:rPr>
        <w:t xml:space="preserve"> has been removed as a criterion for HIV </w:t>
      </w:r>
      <w:proofErr w:type="spellStart"/>
      <w:r w:rsidRPr="0067509A">
        <w:rPr>
          <w:rFonts w:ascii="Arial" w:hAnsi="Arial" w:cs="Arial"/>
          <w:iCs/>
        </w:rPr>
        <w:t>PrEP</w:t>
      </w:r>
      <w:proofErr w:type="spellEnd"/>
      <w:r w:rsidRPr="0067509A">
        <w:rPr>
          <w:rFonts w:ascii="Arial" w:hAnsi="Arial" w:cs="Arial"/>
          <w:iCs/>
        </w:rPr>
        <w:t xml:space="preserve"> eligibility in line with the </w:t>
      </w:r>
      <w:proofErr w:type="spellStart"/>
      <w:r w:rsidRPr="0067509A">
        <w:rPr>
          <w:rFonts w:ascii="Arial" w:hAnsi="Arial" w:cs="Arial"/>
          <w:iCs/>
        </w:rPr>
        <w:t>NDoH</w:t>
      </w:r>
      <w:proofErr w:type="spellEnd"/>
      <w:r w:rsidRPr="0067509A">
        <w:rPr>
          <w:rFonts w:ascii="Arial" w:hAnsi="Arial" w:cs="Arial"/>
          <w:iCs/>
        </w:rPr>
        <w:t xml:space="preserve"> </w:t>
      </w:r>
      <w:proofErr w:type="spellStart"/>
      <w:r w:rsidRPr="0067509A">
        <w:rPr>
          <w:rFonts w:ascii="Arial" w:hAnsi="Arial" w:cs="Arial"/>
          <w:iCs/>
        </w:rPr>
        <w:t>PrEP</w:t>
      </w:r>
      <w:proofErr w:type="spellEnd"/>
      <w:r w:rsidRPr="0067509A">
        <w:rPr>
          <w:rFonts w:ascii="Arial" w:hAnsi="Arial" w:cs="Arial"/>
          <w:iCs/>
        </w:rPr>
        <w:t xml:space="preserve"> guideline (2021)</w:t>
      </w:r>
      <w:r w:rsidRPr="0067509A">
        <w:rPr>
          <w:rStyle w:val="FootnoteReference"/>
          <w:rFonts w:ascii="Arial" w:hAnsi="Arial" w:cs="Arial"/>
          <w:iCs/>
        </w:rPr>
        <w:footnoteReference w:id="2"/>
      </w:r>
      <w:r w:rsidRPr="0067509A">
        <w:rPr>
          <w:rFonts w:ascii="Arial" w:hAnsi="Arial" w:cs="Arial"/>
          <w:iCs/>
        </w:rPr>
        <w:t xml:space="preserve"> which recommends that </w:t>
      </w:r>
      <w:r w:rsidRPr="0067509A">
        <w:rPr>
          <w:rFonts w:ascii="Arial" w:hAnsi="Arial" w:cs="Arial"/>
          <w:i/>
          <w:iCs/>
        </w:rPr>
        <w:t xml:space="preserve">‘Any person requesting </w:t>
      </w:r>
      <w:proofErr w:type="spellStart"/>
      <w:r w:rsidRPr="0067509A">
        <w:rPr>
          <w:rFonts w:ascii="Arial" w:hAnsi="Arial" w:cs="Arial"/>
          <w:i/>
          <w:iCs/>
        </w:rPr>
        <w:t>PrEP</w:t>
      </w:r>
      <w:proofErr w:type="spellEnd"/>
      <w:r w:rsidRPr="0067509A">
        <w:rPr>
          <w:rFonts w:ascii="Arial" w:hAnsi="Arial" w:cs="Arial"/>
          <w:i/>
          <w:iCs/>
        </w:rPr>
        <w:t xml:space="preserve">, should be considered for </w:t>
      </w:r>
      <w:proofErr w:type="spellStart"/>
      <w:r w:rsidRPr="0067509A">
        <w:rPr>
          <w:rFonts w:ascii="Arial" w:hAnsi="Arial" w:cs="Arial"/>
          <w:i/>
          <w:iCs/>
        </w:rPr>
        <w:t>PrEP</w:t>
      </w:r>
      <w:proofErr w:type="spellEnd"/>
      <w:r w:rsidRPr="0067509A">
        <w:rPr>
          <w:rFonts w:ascii="Arial" w:hAnsi="Arial" w:cs="Arial"/>
          <w:i/>
          <w:iCs/>
        </w:rPr>
        <w:t>, even if he/she may not be perceived to be at risk by the provider</w:t>
      </w:r>
      <w:r w:rsidRPr="0067509A">
        <w:rPr>
          <w:rFonts w:ascii="Arial" w:hAnsi="Arial" w:cs="Arial"/>
          <w:iCs/>
        </w:rPr>
        <w:t>.’</w:t>
      </w:r>
      <w:r w:rsidRPr="0067509A">
        <w:rPr>
          <w:rFonts w:ascii="Arial" w:hAnsi="Arial" w:cs="Arial"/>
          <w:iCs/>
          <w:u w:val="single"/>
        </w:rPr>
        <w:t xml:space="preserve"> </w:t>
      </w:r>
    </w:p>
    <w:p w14:paraId="249F9735" w14:textId="4C4E8A32" w:rsidR="0067509A" w:rsidRDefault="0067509A" w:rsidP="00FE6CF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 xml:space="preserve">Contraindications to oral </w:t>
      </w:r>
      <w:proofErr w:type="spellStart"/>
      <w:r>
        <w:rPr>
          <w:rFonts w:ascii="Arial" w:hAnsi="Arial" w:cs="Arial"/>
          <w:iCs/>
          <w:u w:val="single"/>
        </w:rPr>
        <w:t>PrEP</w:t>
      </w:r>
      <w:proofErr w:type="spellEnd"/>
      <w:r>
        <w:rPr>
          <w:rFonts w:ascii="Arial" w:hAnsi="Arial" w:cs="Arial"/>
          <w:iCs/>
          <w:u w:val="single"/>
        </w:rPr>
        <w:t xml:space="preserve"> – renal function: </w:t>
      </w:r>
      <w:r>
        <w:rPr>
          <w:rFonts w:ascii="Arial" w:hAnsi="Arial" w:cs="Arial"/>
          <w:iCs/>
        </w:rPr>
        <w:t xml:space="preserve">The threshold of </w:t>
      </w:r>
      <w:proofErr w:type="spellStart"/>
      <w:r>
        <w:rPr>
          <w:rFonts w:ascii="Arial" w:hAnsi="Arial" w:cs="Arial"/>
          <w:iCs/>
        </w:rPr>
        <w:t>eGFR</w:t>
      </w:r>
      <w:proofErr w:type="spellEnd"/>
      <w:r>
        <w:rPr>
          <w:rFonts w:ascii="Arial" w:hAnsi="Arial" w:cs="Arial"/>
          <w:iCs/>
        </w:rPr>
        <w:t xml:space="preserve"> &lt;60mL/min has been retained as a contraindication to the use of TDF-FTC as oral </w:t>
      </w:r>
      <w:proofErr w:type="spellStart"/>
      <w:r>
        <w:rPr>
          <w:rFonts w:ascii="Arial" w:hAnsi="Arial" w:cs="Arial"/>
          <w:iCs/>
        </w:rPr>
        <w:t>PrEP</w:t>
      </w:r>
      <w:proofErr w:type="spellEnd"/>
      <w:r>
        <w:rPr>
          <w:rFonts w:ascii="Arial" w:hAnsi="Arial" w:cs="Arial"/>
          <w:iCs/>
        </w:rPr>
        <w:t>, in accordance with the South African Health Products (SAHPRA)-approved professional information</w:t>
      </w:r>
      <w:r w:rsidR="00571BB4">
        <w:rPr>
          <w:rFonts w:ascii="Arial" w:hAnsi="Arial" w:cs="Arial"/>
          <w:iCs/>
        </w:rPr>
        <w:t xml:space="preserve"> leaflet</w:t>
      </w:r>
      <w:r>
        <w:rPr>
          <w:rStyle w:val="FootnoteReference"/>
          <w:rFonts w:ascii="Arial" w:hAnsi="Arial" w:cs="Arial"/>
          <w:iCs/>
        </w:rPr>
        <w:footnoteReference w:id="3"/>
      </w:r>
      <w:r>
        <w:rPr>
          <w:rFonts w:ascii="Arial" w:hAnsi="Arial" w:cs="Arial"/>
          <w:iCs/>
        </w:rPr>
        <w:t>.</w:t>
      </w:r>
    </w:p>
    <w:p w14:paraId="636E48D0" w14:textId="3405AC53" w:rsidR="00575136" w:rsidRDefault="00575136" w:rsidP="00FE6CFD">
      <w:pPr>
        <w:jc w:val="both"/>
        <w:rPr>
          <w:rFonts w:ascii="Arial" w:hAnsi="Arial" w:cs="Arial"/>
          <w:iCs/>
        </w:rPr>
      </w:pPr>
      <w:r w:rsidRPr="00575136">
        <w:rPr>
          <w:rFonts w:ascii="Arial" w:hAnsi="Arial" w:cs="Arial"/>
          <w:iCs/>
          <w:u w:val="single"/>
        </w:rPr>
        <w:t>Screening investigations – baseline screening for hepatitis B</w:t>
      </w:r>
      <w:r>
        <w:rPr>
          <w:rFonts w:ascii="Arial" w:hAnsi="Arial" w:cs="Arial"/>
          <w:iCs/>
        </w:rPr>
        <w:t xml:space="preserve">: Baseline screening for hepatitis B is recommended for oral </w:t>
      </w:r>
      <w:proofErr w:type="spellStart"/>
      <w:r>
        <w:rPr>
          <w:rFonts w:ascii="Arial" w:hAnsi="Arial" w:cs="Arial"/>
          <w:iCs/>
        </w:rPr>
        <w:t>PrEP</w:t>
      </w:r>
      <w:proofErr w:type="spellEnd"/>
      <w:r>
        <w:rPr>
          <w:rFonts w:ascii="Arial" w:hAnsi="Arial" w:cs="Arial"/>
          <w:iCs/>
        </w:rPr>
        <w:t xml:space="preserve"> users as an alert to monitoring for a hepatitis flare up upon discontinuation of oral </w:t>
      </w:r>
      <w:proofErr w:type="spellStart"/>
      <w:r>
        <w:rPr>
          <w:rFonts w:ascii="Arial" w:hAnsi="Arial" w:cs="Arial"/>
          <w:iCs/>
        </w:rPr>
        <w:t>PrEP.</w:t>
      </w:r>
      <w:proofErr w:type="spellEnd"/>
      <w:r>
        <w:rPr>
          <w:rFonts w:ascii="Arial" w:hAnsi="Arial" w:cs="Arial"/>
          <w:iCs/>
        </w:rPr>
        <w:t xml:space="preserve"> Hepatitis flare up has not been identified as a risk with the use of </w:t>
      </w:r>
      <w:proofErr w:type="spellStart"/>
      <w:r>
        <w:rPr>
          <w:rFonts w:ascii="Arial" w:hAnsi="Arial" w:cs="Arial"/>
          <w:iCs/>
        </w:rPr>
        <w:t>lenacapavir</w:t>
      </w:r>
      <w:proofErr w:type="spellEnd"/>
      <w:r>
        <w:rPr>
          <w:rFonts w:ascii="Arial" w:hAnsi="Arial" w:cs="Arial"/>
          <w:iCs/>
        </w:rPr>
        <w:t xml:space="preserve">, which is not contra-indicated in patients diagnosed with hepatitis B. </w:t>
      </w:r>
    </w:p>
    <w:p w14:paraId="7C188BAF" w14:textId="4615119D" w:rsidR="00571BB4" w:rsidRPr="0067509A" w:rsidRDefault="00571BB4" w:rsidP="00FE6CFD">
      <w:pPr>
        <w:jc w:val="both"/>
        <w:rPr>
          <w:rFonts w:ascii="Arial" w:hAnsi="Arial" w:cs="Arial"/>
          <w:iCs/>
        </w:rPr>
      </w:pPr>
      <w:r w:rsidRPr="00571BB4">
        <w:rPr>
          <w:rFonts w:ascii="Arial" w:hAnsi="Arial" w:cs="Arial"/>
          <w:iCs/>
          <w:u w:val="single"/>
        </w:rPr>
        <w:t xml:space="preserve">Screening investigations – liver function testing for oral </w:t>
      </w:r>
      <w:proofErr w:type="spellStart"/>
      <w:r w:rsidRPr="00571BB4">
        <w:rPr>
          <w:rFonts w:ascii="Arial" w:hAnsi="Arial" w:cs="Arial"/>
          <w:iCs/>
          <w:u w:val="single"/>
        </w:rPr>
        <w:t>PrEP</w:t>
      </w:r>
      <w:proofErr w:type="spellEnd"/>
      <w:r w:rsidRPr="00571BB4">
        <w:rPr>
          <w:rFonts w:ascii="Arial" w:hAnsi="Arial" w:cs="Arial"/>
          <w:iCs/>
          <w:u w:val="single"/>
        </w:rPr>
        <w:t>:</w:t>
      </w:r>
      <w:r>
        <w:rPr>
          <w:rFonts w:ascii="Arial" w:hAnsi="Arial" w:cs="Arial"/>
          <w:iCs/>
        </w:rPr>
        <w:t xml:space="preserve"> Liver function screening (i.e. alanine </w:t>
      </w:r>
      <w:proofErr w:type="spellStart"/>
      <w:r>
        <w:rPr>
          <w:rFonts w:ascii="Arial" w:hAnsi="Arial" w:cs="Arial"/>
          <w:iCs/>
        </w:rPr>
        <w:t>transferase</w:t>
      </w:r>
      <w:proofErr w:type="spellEnd"/>
      <w:r>
        <w:rPr>
          <w:rFonts w:ascii="Arial" w:hAnsi="Arial" w:cs="Arial"/>
          <w:iCs/>
        </w:rPr>
        <w:t xml:space="preserve"> (ALT)) in individuals identified as hepatitis B surface antigen positive (</w:t>
      </w:r>
      <w:proofErr w:type="spellStart"/>
      <w:r>
        <w:rPr>
          <w:rFonts w:ascii="Arial" w:hAnsi="Arial" w:cs="Arial"/>
          <w:iCs/>
        </w:rPr>
        <w:t>HBsAg</w:t>
      </w:r>
      <w:proofErr w:type="spellEnd"/>
      <w:r>
        <w:rPr>
          <w:rFonts w:ascii="Arial" w:hAnsi="Arial" w:cs="Arial"/>
          <w:iCs/>
        </w:rPr>
        <w:t xml:space="preserve"> +</w:t>
      </w:r>
      <w:proofErr w:type="spellStart"/>
      <w:r>
        <w:rPr>
          <w:rFonts w:ascii="Arial" w:hAnsi="Arial" w:cs="Arial"/>
          <w:iCs/>
        </w:rPr>
        <w:t>ve</w:t>
      </w:r>
      <w:proofErr w:type="spellEnd"/>
      <w:r>
        <w:rPr>
          <w:rFonts w:ascii="Arial" w:hAnsi="Arial" w:cs="Arial"/>
          <w:iCs/>
        </w:rPr>
        <w:t xml:space="preserve">) has been removed from the STG. Individuals identified as </w:t>
      </w:r>
      <w:proofErr w:type="spellStart"/>
      <w:r>
        <w:rPr>
          <w:rFonts w:ascii="Arial" w:hAnsi="Arial" w:cs="Arial"/>
          <w:iCs/>
        </w:rPr>
        <w:t>HBsAg</w:t>
      </w:r>
      <w:proofErr w:type="spellEnd"/>
      <w:r>
        <w:rPr>
          <w:rFonts w:ascii="Arial" w:hAnsi="Arial" w:cs="Arial"/>
          <w:iCs/>
        </w:rPr>
        <w:t xml:space="preserve"> +</w:t>
      </w:r>
      <w:proofErr w:type="spellStart"/>
      <w:r>
        <w:rPr>
          <w:rFonts w:ascii="Arial" w:hAnsi="Arial" w:cs="Arial"/>
          <w:iCs/>
        </w:rPr>
        <w:t>ve</w:t>
      </w:r>
      <w:proofErr w:type="spellEnd"/>
      <w:r>
        <w:rPr>
          <w:rFonts w:ascii="Arial" w:hAnsi="Arial" w:cs="Arial"/>
          <w:iCs/>
        </w:rPr>
        <w:t xml:space="preserve"> and who are initiated on oral </w:t>
      </w:r>
      <w:proofErr w:type="spellStart"/>
      <w:r>
        <w:rPr>
          <w:rFonts w:ascii="Arial" w:hAnsi="Arial" w:cs="Arial"/>
          <w:iCs/>
        </w:rPr>
        <w:t>PrEP</w:t>
      </w:r>
      <w:proofErr w:type="spellEnd"/>
      <w:r>
        <w:rPr>
          <w:rFonts w:ascii="Arial" w:hAnsi="Arial" w:cs="Arial"/>
          <w:iCs/>
        </w:rPr>
        <w:t xml:space="preserve"> should be referred for specialist monitoring and care as TDF-FTC may potentiate the risk of hepatic adverse effects. Furthermore, there is a risk of hepatitis flare </w:t>
      </w:r>
      <w:r w:rsidR="008040E1">
        <w:rPr>
          <w:rFonts w:ascii="Arial" w:hAnsi="Arial" w:cs="Arial"/>
          <w:iCs/>
        </w:rPr>
        <w:t>upon discontinuation of TDF-FTC.</w:t>
      </w:r>
    </w:p>
    <w:p w14:paraId="19FF80BB" w14:textId="7F974B04" w:rsidR="00391AC8" w:rsidRDefault="00FE6CFD" w:rsidP="00FE6CFD">
      <w:pPr>
        <w:jc w:val="both"/>
        <w:rPr>
          <w:rFonts w:ascii="Arial" w:hAnsi="Arial" w:cs="Arial"/>
          <w:iCs/>
        </w:rPr>
      </w:pPr>
      <w:r w:rsidRPr="0067509A">
        <w:rPr>
          <w:rFonts w:ascii="Arial" w:hAnsi="Arial" w:cs="Arial"/>
          <w:iCs/>
          <w:u w:val="single"/>
        </w:rPr>
        <w:t xml:space="preserve">Management of potential drug-drug interactions: </w:t>
      </w:r>
      <w:r w:rsidRPr="0067509A">
        <w:rPr>
          <w:rFonts w:ascii="Arial" w:hAnsi="Arial" w:cs="Arial"/>
          <w:iCs/>
        </w:rPr>
        <w:t xml:space="preserve">The NEMLC has noted discordant international guidance on the management of potential drug interactions with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. More specifically, the Federal Drug Administration (FDA) in the United States provides dose guidance for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 in individuals requiring subsequent treatment with interacting medicines such as TB and antiepileptic medicines</w:t>
      </w:r>
      <w:r w:rsidRPr="0067509A">
        <w:rPr>
          <w:rStyle w:val="FootnoteReference"/>
          <w:rFonts w:ascii="Arial" w:hAnsi="Arial" w:cs="Arial"/>
          <w:iCs/>
        </w:rPr>
        <w:footnoteReference w:id="4"/>
      </w:r>
      <w:r w:rsidRPr="0067509A">
        <w:rPr>
          <w:rFonts w:ascii="Arial" w:hAnsi="Arial" w:cs="Arial"/>
          <w:iCs/>
        </w:rPr>
        <w:t xml:space="preserve">, while the European Medicines Agency (EMEA) advises against concomitant use of medicines that could potentially interaction with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Style w:val="FootnoteReference"/>
          <w:rFonts w:ascii="Arial" w:hAnsi="Arial" w:cs="Arial"/>
          <w:iCs/>
        </w:rPr>
        <w:footnoteReference w:id="5"/>
      </w:r>
      <w:r w:rsidRPr="0067509A">
        <w:rPr>
          <w:rFonts w:ascii="Arial" w:hAnsi="Arial" w:cs="Arial"/>
          <w:iCs/>
        </w:rPr>
        <w:t xml:space="preserve">. The NEMLC recommends that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 be avoided in individuals receiving treatment with medicines that have a potential to interact with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. This conservative approach is recommended as evidence on the use of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 is still evolving and while supplies of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 remains constrained. Guidance on potential drug interactions with </w:t>
      </w:r>
      <w:proofErr w:type="spellStart"/>
      <w:r w:rsidRPr="0067509A">
        <w:rPr>
          <w:rFonts w:ascii="Arial" w:hAnsi="Arial" w:cs="Arial"/>
          <w:iCs/>
        </w:rPr>
        <w:t>lenacapavir</w:t>
      </w:r>
      <w:proofErr w:type="spellEnd"/>
      <w:r w:rsidRPr="0067509A">
        <w:rPr>
          <w:rFonts w:ascii="Arial" w:hAnsi="Arial" w:cs="Arial"/>
          <w:iCs/>
        </w:rPr>
        <w:t xml:space="preserve"> can be sourced online: </w:t>
      </w:r>
      <w:hyperlink r:id="rId14" w:history="1">
        <w:r w:rsidR="00575136" w:rsidRPr="00995868">
          <w:rPr>
            <w:rStyle w:val="Hyperlink"/>
            <w:rFonts w:ascii="Arial" w:hAnsi="Arial" w:cs="Arial"/>
            <w:iCs/>
          </w:rPr>
          <w:t>https://www.hiv-druginteractions.org/checker</w:t>
        </w:r>
      </w:hyperlink>
      <w:r w:rsidRPr="0067509A">
        <w:rPr>
          <w:rFonts w:ascii="Arial" w:hAnsi="Arial" w:cs="Arial"/>
          <w:iCs/>
        </w:rPr>
        <w:t>.</w:t>
      </w:r>
    </w:p>
    <w:p w14:paraId="58B0CC49" w14:textId="4653413C" w:rsidR="00575136" w:rsidRPr="0067509A" w:rsidRDefault="00575136" w:rsidP="00FE6CFD">
      <w:pPr>
        <w:jc w:val="both"/>
        <w:rPr>
          <w:rFonts w:ascii="Arial" w:hAnsi="Arial" w:cs="Arial"/>
          <w:iCs/>
          <w:color w:val="FF0000"/>
          <w:highlight w:val="yellow"/>
        </w:rPr>
      </w:pPr>
      <w:proofErr w:type="spellStart"/>
      <w:r w:rsidRPr="00CA1FEB">
        <w:rPr>
          <w:rFonts w:ascii="Arial" w:hAnsi="Arial" w:cs="Arial"/>
          <w:iCs/>
          <w:u w:val="single"/>
        </w:rPr>
        <w:t>Lenacapavir</w:t>
      </w:r>
      <w:proofErr w:type="spellEnd"/>
      <w:r w:rsidRPr="00CA1FEB">
        <w:rPr>
          <w:rFonts w:ascii="Arial" w:hAnsi="Arial" w:cs="Arial"/>
          <w:iCs/>
          <w:u w:val="single"/>
        </w:rPr>
        <w:t xml:space="preserve"> - delayed injections and use of </w:t>
      </w:r>
      <w:r w:rsidR="00CA1FEB" w:rsidRPr="00CA1FEB">
        <w:rPr>
          <w:rFonts w:ascii="Arial" w:hAnsi="Arial" w:cs="Arial"/>
          <w:iCs/>
          <w:u w:val="single"/>
        </w:rPr>
        <w:t>oral bridging:</w:t>
      </w:r>
      <w:r w:rsidR="00CA1FEB">
        <w:rPr>
          <w:rFonts w:ascii="Arial" w:hAnsi="Arial" w:cs="Arial"/>
          <w:iCs/>
        </w:rPr>
        <w:t xml:space="preserve"> For individuals in the continuation phase, who present </w:t>
      </w:r>
      <w:r w:rsidR="0027238A">
        <w:rPr>
          <w:rFonts w:ascii="Arial" w:hAnsi="Arial" w:cs="Arial"/>
          <w:iCs/>
        </w:rPr>
        <w:t>at</w:t>
      </w:r>
      <w:r w:rsidR="00CA1FEB">
        <w:rPr>
          <w:rFonts w:ascii="Arial" w:hAnsi="Arial" w:cs="Arial"/>
          <w:iCs/>
        </w:rPr>
        <w:t xml:space="preserve"> weeks 26-28 after their last </w:t>
      </w:r>
      <w:proofErr w:type="spellStart"/>
      <w:r w:rsidR="00CA1FEB">
        <w:rPr>
          <w:rFonts w:ascii="Arial" w:hAnsi="Arial" w:cs="Arial"/>
          <w:iCs/>
        </w:rPr>
        <w:t>lenacapavir</w:t>
      </w:r>
      <w:proofErr w:type="spellEnd"/>
      <w:r w:rsidR="00CA1FEB">
        <w:rPr>
          <w:rFonts w:ascii="Arial" w:hAnsi="Arial" w:cs="Arial"/>
          <w:iCs/>
        </w:rPr>
        <w:t xml:space="preserve"> injection</w:t>
      </w:r>
      <w:r w:rsidR="0027238A">
        <w:rPr>
          <w:rFonts w:ascii="Arial" w:hAnsi="Arial" w:cs="Arial"/>
          <w:iCs/>
        </w:rPr>
        <w:t xml:space="preserve"> for a repeat injection</w:t>
      </w:r>
      <w:r w:rsidR="00CA1FEB">
        <w:rPr>
          <w:rFonts w:ascii="Arial" w:hAnsi="Arial" w:cs="Arial"/>
          <w:iCs/>
        </w:rPr>
        <w:t xml:space="preserve">, a single oral dose of </w:t>
      </w:r>
      <w:proofErr w:type="spellStart"/>
      <w:r w:rsidR="00CA1FEB">
        <w:rPr>
          <w:rFonts w:ascii="Arial" w:hAnsi="Arial" w:cs="Arial"/>
          <w:iCs/>
        </w:rPr>
        <w:t>lenacapvir</w:t>
      </w:r>
      <w:proofErr w:type="spellEnd"/>
      <w:r w:rsidR="00CA1FEB">
        <w:rPr>
          <w:rFonts w:ascii="Arial" w:hAnsi="Arial" w:cs="Arial"/>
          <w:iCs/>
        </w:rPr>
        <w:t xml:space="preserve"> 300mg should be administered in addition to the six monthly subcutaneous injection. </w:t>
      </w:r>
      <w:r w:rsidR="0027238A">
        <w:rPr>
          <w:rFonts w:ascii="Arial" w:hAnsi="Arial" w:cs="Arial"/>
          <w:iCs/>
        </w:rPr>
        <w:t>Available</w:t>
      </w:r>
      <w:r w:rsidR="00CA1FEB">
        <w:rPr>
          <w:rFonts w:ascii="Arial" w:hAnsi="Arial" w:cs="Arial"/>
          <w:iCs/>
        </w:rPr>
        <w:t xml:space="preserve"> evidence supports extended use of oral bridging for up to six months after the last </w:t>
      </w:r>
      <w:proofErr w:type="spellStart"/>
      <w:r w:rsidR="00CA1FEB">
        <w:rPr>
          <w:rFonts w:ascii="Arial" w:hAnsi="Arial" w:cs="Arial"/>
          <w:iCs/>
        </w:rPr>
        <w:t>lenacapavir</w:t>
      </w:r>
      <w:proofErr w:type="spellEnd"/>
      <w:r w:rsidR="00CA1FEB">
        <w:rPr>
          <w:rFonts w:ascii="Arial" w:hAnsi="Arial" w:cs="Arial"/>
          <w:iCs/>
        </w:rPr>
        <w:t xml:space="preserve"> injection</w:t>
      </w:r>
      <w:r w:rsidR="0027238A">
        <w:rPr>
          <w:rFonts w:ascii="Arial" w:hAnsi="Arial" w:cs="Arial"/>
          <w:iCs/>
        </w:rPr>
        <w:t xml:space="preserve"> (in the event of extended delays to injection administration). However,</w:t>
      </w:r>
      <w:r w:rsidR="00CA1FEB">
        <w:rPr>
          <w:rFonts w:ascii="Arial" w:hAnsi="Arial" w:cs="Arial"/>
          <w:iCs/>
        </w:rPr>
        <w:t xml:space="preserve"> the limited access of </w:t>
      </w:r>
      <w:proofErr w:type="spellStart"/>
      <w:r w:rsidR="00CA1FEB">
        <w:rPr>
          <w:rFonts w:ascii="Arial" w:hAnsi="Arial" w:cs="Arial"/>
          <w:iCs/>
        </w:rPr>
        <w:t>lenacapavir</w:t>
      </w:r>
      <w:proofErr w:type="spellEnd"/>
      <w:r w:rsidR="00CA1FEB">
        <w:rPr>
          <w:rFonts w:ascii="Arial" w:hAnsi="Arial" w:cs="Arial"/>
          <w:iCs/>
        </w:rPr>
        <w:t xml:space="preserve"> via the Global Fund GC7 allocation, </w:t>
      </w:r>
      <w:r w:rsidR="0027238A">
        <w:rPr>
          <w:rFonts w:ascii="Arial" w:hAnsi="Arial" w:cs="Arial"/>
          <w:iCs/>
        </w:rPr>
        <w:t xml:space="preserve">requires a considered approaching towards ensuring optimal use of a limited resource. </w:t>
      </w:r>
      <w:r w:rsidR="00CA1FEB">
        <w:rPr>
          <w:rFonts w:ascii="Arial" w:hAnsi="Arial" w:cs="Arial"/>
          <w:iCs/>
        </w:rPr>
        <w:t xml:space="preserve">NEMLC </w:t>
      </w:r>
      <w:r w:rsidR="0027238A">
        <w:rPr>
          <w:rFonts w:ascii="Arial" w:hAnsi="Arial" w:cs="Arial"/>
          <w:iCs/>
        </w:rPr>
        <w:t xml:space="preserve">therefore does not </w:t>
      </w:r>
      <w:r w:rsidR="00CA1FEB">
        <w:rPr>
          <w:rFonts w:ascii="Arial" w:hAnsi="Arial" w:cs="Arial"/>
          <w:iCs/>
        </w:rPr>
        <w:t xml:space="preserve">recommend </w:t>
      </w:r>
      <w:r w:rsidR="0027238A">
        <w:rPr>
          <w:rFonts w:ascii="Arial" w:hAnsi="Arial" w:cs="Arial"/>
          <w:iCs/>
        </w:rPr>
        <w:t xml:space="preserve">extended bridging with oral </w:t>
      </w:r>
      <w:proofErr w:type="spellStart"/>
      <w:r w:rsidR="0027238A">
        <w:rPr>
          <w:rFonts w:ascii="Arial" w:hAnsi="Arial" w:cs="Arial"/>
          <w:iCs/>
        </w:rPr>
        <w:t>lenacapavir</w:t>
      </w:r>
      <w:proofErr w:type="spellEnd"/>
      <w:r w:rsidR="0027238A">
        <w:rPr>
          <w:rFonts w:ascii="Arial" w:hAnsi="Arial" w:cs="Arial"/>
          <w:iCs/>
        </w:rPr>
        <w:t xml:space="preserve"> </w:t>
      </w:r>
      <w:r w:rsidR="0027238A">
        <w:rPr>
          <w:rFonts w:ascii="Arial" w:hAnsi="Arial" w:cs="Arial"/>
          <w:iCs/>
        </w:rPr>
        <w:lastRenderedPageBreak/>
        <w:t xml:space="preserve">beyond a single dose. Individuals who present more than 28 weeks after their last </w:t>
      </w:r>
      <w:proofErr w:type="spellStart"/>
      <w:r w:rsidR="0027238A">
        <w:rPr>
          <w:rFonts w:ascii="Arial" w:hAnsi="Arial" w:cs="Arial"/>
          <w:iCs/>
        </w:rPr>
        <w:t>lenacapavir</w:t>
      </w:r>
      <w:proofErr w:type="spellEnd"/>
      <w:r w:rsidR="0027238A">
        <w:rPr>
          <w:rFonts w:ascii="Arial" w:hAnsi="Arial" w:cs="Arial"/>
          <w:iCs/>
        </w:rPr>
        <w:t xml:space="preserve"> injection will require that </w:t>
      </w:r>
      <w:proofErr w:type="spellStart"/>
      <w:r w:rsidR="0027238A">
        <w:rPr>
          <w:rFonts w:ascii="Arial" w:hAnsi="Arial" w:cs="Arial"/>
          <w:iCs/>
        </w:rPr>
        <w:t>lenacapavir</w:t>
      </w:r>
      <w:proofErr w:type="spellEnd"/>
      <w:r w:rsidR="0027238A">
        <w:rPr>
          <w:rFonts w:ascii="Arial" w:hAnsi="Arial" w:cs="Arial"/>
          <w:iCs/>
        </w:rPr>
        <w:t xml:space="preserve"> be re-initiated as per the recommended initiation regimen.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724EC" w14:paraId="672025C9" w14:textId="77777777" w:rsidTr="00F724EC">
        <w:tc>
          <w:tcPr>
            <w:tcW w:w="10070" w:type="dxa"/>
          </w:tcPr>
          <w:p w14:paraId="52708729" w14:textId="1DC1841D" w:rsidR="00F724EC" w:rsidRDefault="00FE6CFD" w:rsidP="001026A0">
            <w:pPr>
              <w:rPr>
                <w:color w:val="FF0000"/>
              </w:rPr>
            </w:pPr>
            <w:r>
              <w:rPr>
                <w:color w:val="FF0000"/>
              </w:rPr>
              <w:t xml:space="preserve">PROPOSED STG UPDATE </w:t>
            </w:r>
          </w:p>
          <w:p w14:paraId="392A32C7" w14:textId="1C9D7C00" w:rsidR="00B0683D" w:rsidRPr="00061FD5" w:rsidRDefault="00B0683D" w:rsidP="00061FD5">
            <w:pPr>
              <w:pStyle w:val="Heading2"/>
              <w:numPr>
                <w:ilvl w:val="1"/>
                <w:numId w:val="20"/>
              </w:numPr>
              <w:shd w:val="clear" w:color="auto" w:fill="BFBFBF" w:themeFill="background1" w:themeFillShade="BF"/>
              <w:spacing w:before="120"/>
              <w:outlineLvl w:val="1"/>
              <w:rPr>
                <w:b/>
              </w:rPr>
            </w:pPr>
            <w:r w:rsidRPr="00061FD5">
              <w:rPr>
                <w:b/>
                <w:color w:val="auto"/>
              </w:rPr>
              <w:t>Pre-exposure prophylaxis (</w:t>
            </w:r>
            <w:proofErr w:type="spellStart"/>
            <w:r w:rsidRPr="00061FD5">
              <w:rPr>
                <w:b/>
                <w:color w:val="auto"/>
              </w:rPr>
              <w:t>PrEP</w:t>
            </w:r>
            <w:proofErr w:type="spellEnd"/>
            <w:r w:rsidRPr="00061FD5">
              <w:rPr>
                <w:b/>
                <w:color w:val="auto"/>
              </w:rPr>
              <w:t>)</w:t>
            </w:r>
            <w:r w:rsidRPr="00061FD5">
              <w:rPr>
                <w:b/>
              </w:rPr>
              <w:fldChar w:fldCharType="begin"/>
            </w:r>
            <w:r w:rsidRPr="00061FD5">
              <w:rPr>
                <w:b/>
              </w:rPr>
              <w:instrText xml:space="preserve"> XE "Pre-exposure prophylaxis (PrEP)" \f “c”</w:instrText>
            </w:r>
            <w:r w:rsidRPr="00061FD5">
              <w:rPr>
                <w:b/>
              </w:rPr>
              <w:fldChar w:fldCharType="end"/>
            </w:r>
          </w:p>
          <w:p w14:paraId="22EACE0B" w14:textId="77777777" w:rsidR="00B0683D" w:rsidRPr="00367F15" w:rsidRDefault="00B0683D" w:rsidP="00B0683D">
            <w:pPr>
              <w:pStyle w:val="ICD10"/>
              <w:shd w:val="clear" w:color="auto" w:fill="F2F2F2" w:themeFill="background1" w:themeFillShade="F2"/>
              <w:tabs>
                <w:tab w:val="left" w:pos="2753"/>
              </w:tabs>
              <w:jc w:val="both"/>
            </w:pPr>
            <w:r>
              <w:t xml:space="preserve">Z20.6 + </w:t>
            </w:r>
            <w:r w:rsidRPr="00367F15">
              <w:t>Z29.2</w:t>
            </w:r>
          </w:p>
          <w:p w14:paraId="24EF35FE" w14:textId="77777777" w:rsidR="00B0683D" w:rsidRPr="00B0683D" w:rsidRDefault="00B0683D" w:rsidP="00B0683D">
            <w:pPr>
              <w:pStyle w:val="Centeredbox"/>
              <w:pBdr>
                <w:left w:val="double" w:sz="4" w:space="0" w:color="auto"/>
              </w:pBdr>
              <w:rPr>
                <w:rFonts w:cs="Arial"/>
              </w:rPr>
            </w:pPr>
            <w:r w:rsidRPr="00B0683D">
              <w:rPr>
                <w:rFonts w:cs="Arial"/>
              </w:rPr>
              <w:t xml:space="preserve">Consult the most recent National Department of Health Guideline for </w:t>
            </w:r>
            <w:proofErr w:type="spellStart"/>
            <w:r w:rsidRPr="00B0683D">
              <w:rPr>
                <w:rFonts w:cs="Arial"/>
              </w:rPr>
              <w:t>PrEP</w:t>
            </w:r>
            <w:proofErr w:type="spellEnd"/>
            <w:r w:rsidRPr="00B0683D">
              <w:rPr>
                <w:rFonts w:cs="Arial"/>
              </w:rPr>
              <w:t xml:space="preserve"> eligibility criteria.</w:t>
            </w:r>
          </w:p>
          <w:p w14:paraId="07F71B62" w14:textId="77777777" w:rsidR="00B0683D" w:rsidRPr="001F2381" w:rsidRDefault="00B0683D" w:rsidP="00B0683D">
            <w:pPr>
              <w:pStyle w:val="Heading5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>DESCRIPTION</w:t>
            </w:r>
          </w:p>
          <w:p w14:paraId="2DE2245E" w14:textId="77777777" w:rsidR="00B0683D" w:rsidRPr="00B0683D" w:rsidRDefault="00B0683D" w:rsidP="00B0683D">
            <w:pPr>
              <w:pStyle w:val="NoSpacing"/>
              <w:rPr>
                <w:rFonts w:cs="Arial"/>
              </w:rPr>
            </w:pPr>
            <w:r w:rsidRPr="00B0683D">
              <w:rPr>
                <w:rFonts w:cs="Arial"/>
              </w:rPr>
              <w:t>Pre-exposure prophylaxis (</w:t>
            </w:r>
            <w:proofErr w:type="spellStart"/>
            <w:r w:rsidRPr="00B0683D">
              <w:rPr>
                <w:rFonts w:cs="Arial"/>
              </w:rPr>
              <w:t>PrEP</w:t>
            </w:r>
            <w:proofErr w:type="spellEnd"/>
            <w:r w:rsidRPr="00B0683D">
              <w:rPr>
                <w:rFonts w:cs="Arial"/>
              </w:rPr>
              <w:t xml:space="preserve">) is the use of antiretroviral medicines by HIV-negative individuals before potential exposure to HIV to prevent them from acquiring HIV infection. </w:t>
            </w:r>
          </w:p>
          <w:p w14:paraId="5799F29A" w14:textId="77777777" w:rsidR="00B0683D" w:rsidRPr="00B0683D" w:rsidRDefault="00B0683D" w:rsidP="00B0683D">
            <w:pPr>
              <w:pStyle w:val="NoSpacing"/>
              <w:rPr>
                <w:rFonts w:cs="Arial"/>
              </w:rPr>
            </w:pPr>
            <w:proofErr w:type="spellStart"/>
            <w:r w:rsidRPr="00B0683D">
              <w:rPr>
                <w:rFonts w:cs="Arial"/>
              </w:rPr>
              <w:t>PrEP</w:t>
            </w:r>
            <w:proofErr w:type="spellEnd"/>
            <w:r w:rsidRPr="00B0683D">
              <w:rPr>
                <w:rFonts w:cs="Arial"/>
              </w:rPr>
              <w:t xml:space="preserve"> only protects against HIV infection; it does not offer protection against other STIs or pregnancy.</w:t>
            </w:r>
          </w:p>
          <w:p w14:paraId="47FCF096" w14:textId="77777777" w:rsidR="00B0683D" w:rsidRPr="00B0683D" w:rsidRDefault="00B0683D" w:rsidP="00B0683D">
            <w:pPr>
              <w:pStyle w:val="NoSpacing"/>
              <w:rPr>
                <w:rFonts w:cs="Arial"/>
              </w:rPr>
            </w:pPr>
            <w:proofErr w:type="spellStart"/>
            <w:r w:rsidRPr="00B0683D">
              <w:rPr>
                <w:rFonts w:cs="Arial"/>
              </w:rPr>
              <w:t>PrEP</w:t>
            </w:r>
            <w:proofErr w:type="spellEnd"/>
            <w:r w:rsidRPr="00B0683D">
              <w:rPr>
                <w:rFonts w:cs="Arial"/>
              </w:rPr>
              <w:t xml:space="preserve"> should be used as part of a package that also includes condoms; lubricants for anal sex; STI management; screening and management of intimate partner violence; sexual and reproductive health services; medical male circumcision; and HIV services, including counselling and testing, HIV management, ART, and PEP.</w:t>
            </w:r>
          </w:p>
          <w:p w14:paraId="4DA680E2" w14:textId="77777777" w:rsidR="00B0683D" w:rsidRPr="00B0683D" w:rsidRDefault="00B0683D" w:rsidP="00B0683D">
            <w:pPr>
              <w:pStyle w:val="NoSpacing"/>
              <w:rPr>
                <w:rFonts w:cs="Arial"/>
              </w:rPr>
            </w:pPr>
            <w:r w:rsidRPr="00B0683D">
              <w:rPr>
                <w:rFonts w:cs="Arial"/>
              </w:rPr>
              <w:t xml:space="preserve">All individuals requesting </w:t>
            </w:r>
            <w:proofErr w:type="spellStart"/>
            <w:r w:rsidRPr="00B0683D">
              <w:rPr>
                <w:rFonts w:cs="Arial"/>
              </w:rPr>
              <w:t>PrEP</w:t>
            </w:r>
            <w:proofErr w:type="spellEnd"/>
            <w:r w:rsidRPr="00B0683D">
              <w:rPr>
                <w:rFonts w:cs="Arial"/>
              </w:rPr>
              <w:t xml:space="preserve"> should be assessed and initiated if eligible.</w:t>
            </w:r>
          </w:p>
          <w:p w14:paraId="07AB4881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1092DA4" w14:textId="77777777" w:rsidR="00B0683D" w:rsidRPr="001F2381" w:rsidRDefault="00B0683D" w:rsidP="00B0683D">
            <w:pPr>
              <w:pStyle w:val="Heading6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 xml:space="preserve">Individuals initiated on </w:t>
            </w:r>
            <w:proofErr w:type="spellStart"/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>PrEP</w:t>
            </w:r>
            <w:proofErr w:type="spellEnd"/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 xml:space="preserve"> must meet the following criteria:</w:t>
            </w:r>
          </w:p>
          <w:p w14:paraId="6828CFEE" w14:textId="77777777" w:rsidR="00B0683D" w:rsidRPr="001F2381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2381">
              <w:rPr>
                <w:rFonts w:ascii="Arial" w:hAnsi="Arial" w:cs="Arial"/>
                <w:sz w:val="18"/>
                <w:szCs w:val="18"/>
              </w:rPr>
              <w:t>HIV-negative.</w:t>
            </w:r>
          </w:p>
          <w:p w14:paraId="00BDD81F" w14:textId="77777777" w:rsidR="00B0683D" w:rsidRPr="001F2381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2381">
              <w:rPr>
                <w:rFonts w:ascii="Arial" w:hAnsi="Arial" w:cs="Arial"/>
                <w:sz w:val="18"/>
                <w:szCs w:val="18"/>
              </w:rPr>
              <w:t xml:space="preserve">Willing and able to adhere to </w:t>
            </w:r>
            <w:proofErr w:type="spellStart"/>
            <w:proofErr w:type="gramStart"/>
            <w:r w:rsidRPr="001F2381">
              <w:rPr>
                <w:rFonts w:ascii="Arial" w:hAnsi="Arial" w:cs="Arial"/>
                <w:sz w:val="18"/>
                <w:szCs w:val="18"/>
              </w:rPr>
              <w:t>PrEP</w:t>
            </w:r>
            <w:proofErr w:type="gramEnd"/>
            <w:r w:rsidRPr="001F2381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</w:p>
          <w:p w14:paraId="0E18DE01" w14:textId="77777777" w:rsidR="00B0683D" w:rsidRPr="001F2381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2381">
              <w:rPr>
                <w:rFonts w:ascii="Arial" w:hAnsi="Arial" w:cs="Arial"/>
                <w:sz w:val="18"/>
                <w:szCs w:val="18"/>
              </w:rPr>
              <w:t xml:space="preserve">Prepared to come for repeat HIV testing every 3 months if on oral </w:t>
            </w:r>
            <w:proofErr w:type="spellStart"/>
            <w:r w:rsidRPr="001F2381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1F2381">
              <w:rPr>
                <w:rFonts w:ascii="Arial" w:hAnsi="Arial" w:cs="Arial"/>
                <w:sz w:val="18"/>
                <w:szCs w:val="18"/>
              </w:rPr>
              <w:t xml:space="preserve"> or every 6 months if on injectable </w:t>
            </w:r>
            <w:proofErr w:type="spellStart"/>
            <w:proofErr w:type="gramStart"/>
            <w:r w:rsidRPr="001F2381">
              <w:rPr>
                <w:rFonts w:ascii="Arial" w:hAnsi="Arial" w:cs="Arial"/>
                <w:sz w:val="18"/>
                <w:szCs w:val="18"/>
              </w:rPr>
              <w:t>PrEP</w:t>
            </w:r>
            <w:proofErr w:type="gramEnd"/>
            <w:r w:rsidRPr="001F2381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</w:p>
          <w:p w14:paraId="6B097D71" w14:textId="77777777" w:rsidR="00B0683D" w:rsidRPr="001F2381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2381">
              <w:rPr>
                <w:rFonts w:ascii="Arial" w:hAnsi="Arial" w:cs="Arial"/>
                <w:sz w:val="18"/>
                <w:szCs w:val="18"/>
              </w:rPr>
              <w:t xml:space="preserve">No contra-indications to or drug interactions with available </w:t>
            </w:r>
            <w:proofErr w:type="spellStart"/>
            <w:r w:rsidRPr="001F2381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1F2381">
              <w:rPr>
                <w:rFonts w:ascii="Arial" w:hAnsi="Arial" w:cs="Arial"/>
                <w:sz w:val="18"/>
                <w:szCs w:val="18"/>
              </w:rPr>
              <w:t xml:space="preserve"> options.</w:t>
            </w:r>
          </w:p>
          <w:p w14:paraId="661E3C6A" w14:textId="77777777" w:rsidR="00B0683D" w:rsidRPr="001F2381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2381">
              <w:rPr>
                <w:rFonts w:ascii="Arial" w:hAnsi="Arial" w:cs="Arial"/>
                <w:sz w:val="18"/>
                <w:szCs w:val="18"/>
              </w:rPr>
              <w:t>No suspicion of acute HIV-infection (see clinical features, below).</w:t>
            </w:r>
          </w:p>
          <w:p w14:paraId="3100A75E" w14:textId="77777777" w:rsidR="00B0683D" w:rsidRPr="001F2381" w:rsidRDefault="00B0683D" w:rsidP="00B0683D">
            <w:pPr>
              <w:pStyle w:val="Heading6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>Clinical features of acute HIV infection</w:t>
            </w:r>
          </w:p>
          <w:tbl>
            <w:tblPr>
              <w:tblStyle w:val="SamplePHCTable"/>
              <w:tblW w:w="0" w:type="auto"/>
              <w:tblLook w:val="04A0" w:firstRow="1" w:lastRow="0" w:firstColumn="1" w:lastColumn="0" w:noHBand="0" w:noVBand="1"/>
            </w:tblPr>
            <w:tblGrid>
              <w:gridCol w:w="2796"/>
              <w:gridCol w:w="7048"/>
            </w:tblGrid>
            <w:tr w:rsidR="00B0683D" w:rsidRPr="00B0683D" w14:paraId="187A214A" w14:textId="77777777" w:rsidTr="005751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14:paraId="01219A78" w14:textId="77777777" w:rsidR="00B0683D" w:rsidRPr="00B0683D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Symptoms</w:t>
                  </w:r>
                </w:p>
              </w:tc>
              <w:tc>
                <w:tcPr>
                  <w:tcW w:w="0" w:type="auto"/>
                </w:tcPr>
                <w:p w14:paraId="012F8E7E" w14:textId="77777777" w:rsidR="00B0683D" w:rsidRPr="00B0683D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Signs</w:t>
                  </w:r>
                </w:p>
              </w:tc>
            </w:tr>
            <w:tr w:rsidR="00B0683D" w:rsidRPr="00B0683D" w14:paraId="4D3A6ECD" w14:textId="77777777" w:rsidTr="00575136">
              <w:tc>
                <w:tcPr>
                  <w:tcW w:w="0" w:type="auto"/>
                </w:tcPr>
                <w:p w14:paraId="205BC4A0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 xml:space="preserve">Malaise, anorexia, myalgia, headache, sore throat, sore glands, rash </w:t>
                  </w:r>
                </w:p>
              </w:tc>
              <w:tc>
                <w:tcPr>
                  <w:tcW w:w="0" w:type="auto"/>
                </w:tcPr>
                <w:p w14:paraId="7B92E3CF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 xml:space="preserve">Fever, sweating, viral meningitis, generalised lymphadenopathy, </w:t>
                  </w:r>
                  <w:proofErr w:type="spellStart"/>
                  <w:r w:rsidRPr="00B0683D">
                    <w:rPr>
                      <w:rFonts w:cs="Arial"/>
                    </w:rPr>
                    <w:t>hepatosplenomegaly</w:t>
                  </w:r>
                  <w:proofErr w:type="spellEnd"/>
                  <w:r w:rsidRPr="00B0683D">
                    <w:rPr>
                      <w:rFonts w:cs="Arial"/>
                    </w:rPr>
                    <w:t xml:space="preserve">, pharyngitis, </w:t>
                  </w:r>
                  <w:proofErr w:type="spellStart"/>
                  <w:r w:rsidRPr="00B0683D">
                    <w:rPr>
                      <w:rFonts w:cs="Arial"/>
                    </w:rPr>
                    <w:t>truncal</w:t>
                  </w:r>
                  <w:proofErr w:type="spellEnd"/>
                  <w:r w:rsidRPr="00B0683D">
                    <w:rPr>
                      <w:rFonts w:cs="Arial"/>
                    </w:rPr>
                    <w:t xml:space="preserve"> rash, </w:t>
                  </w:r>
                  <w:proofErr w:type="spellStart"/>
                  <w:r w:rsidRPr="00B0683D">
                    <w:rPr>
                      <w:rFonts w:cs="Arial"/>
                    </w:rPr>
                    <w:t>orogenital</w:t>
                  </w:r>
                  <w:proofErr w:type="spellEnd"/>
                  <w:r w:rsidRPr="00B0683D">
                    <w:rPr>
                      <w:rFonts w:cs="Arial"/>
                    </w:rPr>
                    <w:t xml:space="preserve"> </w:t>
                  </w:r>
                  <w:proofErr w:type="spellStart"/>
                  <w:r w:rsidRPr="00B0683D">
                    <w:rPr>
                      <w:rFonts w:cs="Arial"/>
                    </w:rPr>
                    <w:t>herpetiform</w:t>
                  </w:r>
                  <w:proofErr w:type="spellEnd"/>
                  <w:r w:rsidRPr="00B0683D">
                    <w:rPr>
                      <w:rFonts w:cs="Arial"/>
                    </w:rPr>
                    <w:t xml:space="preserve"> ulceration, oral/oesophageal candidiasis, cervical </w:t>
                  </w:r>
                  <w:proofErr w:type="spellStart"/>
                  <w:r w:rsidRPr="00B0683D">
                    <w:rPr>
                      <w:rFonts w:cs="Arial"/>
                    </w:rPr>
                    <w:t>adenopathy</w:t>
                  </w:r>
                  <w:proofErr w:type="spellEnd"/>
                  <w:r w:rsidRPr="00B0683D">
                    <w:rPr>
                      <w:rFonts w:cs="Arial"/>
                    </w:rPr>
                    <w:t xml:space="preserve"> </w:t>
                  </w:r>
                </w:p>
              </w:tc>
            </w:tr>
          </w:tbl>
          <w:p w14:paraId="55B99499" w14:textId="77777777" w:rsidR="00B0683D" w:rsidRPr="00B0683D" w:rsidRDefault="00B0683D" w:rsidP="00B0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86A186" w14:textId="77777777" w:rsidR="00B0683D" w:rsidRPr="00B0683D" w:rsidRDefault="00B0683D" w:rsidP="00B0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CONTRAINDICATIONS TO </w:t>
            </w:r>
            <w:proofErr w:type="spellStart"/>
            <w:r w:rsidRPr="00B0683D">
              <w:rPr>
                <w:rFonts w:ascii="Arial" w:hAnsi="Arial" w:cs="Arial"/>
                <w:b/>
                <w:bCs/>
                <w:sz w:val="18"/>
                <w:szCs w:val="18"/>
              </w:rPr>
              <w:t>PrEP</w:t>
            </w:r>
            <w:proofErr w:type="spellEnd"/>
          </w:p>
          <w:p w14:paraId="06EF79C2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</w:rPr>
            </w:pPr>
            <w:r w:rsidRPr="00B06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General contraindications to </w:t>
            </w:r>
            <w:proofErr w:type="spellStart"/>
            <w:r w:rsidRPr="00B0683D">
              <w:rPr>
                <w:rFonts w:ascii="Arial" w:hAnsi="Arial" w:cs="Arial"/>
                <w:b/>
                <w:bCs/>
                <w:sz w:val="18"/>
                <w:szCs w:val="18"/>
              </w:rPr>
              <w:t>PrEP</w:t>
            </w:r>
            <w:proofErr w:type="spellEnd"/>
          </w:p>
          <w:p w14:paraId="2C1EC66B" w14:textId="77777777" w:rsidR="00B0683D" w:rsidRPr="00B0683D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683D">
              <w:rPr>
                <w:rFonts w:ascii="Arial" w:hAnsi="Arial" w:cs="Arial"/>
                <w:sz w:val="18"/>
                <w:szCs w:val="18"/>
              </w:rPr>
              <w:t xml:space="preserve">Pre-existing HIV </w:t>
            </w:r>
            <w:r w:rsidRPr="001F2381">
              <w:rPr>
                <w:rFonts w:ascii="Arial" w:hAnsi="Arial" w:cs="Arial"/>
                <w:sz w:val="18"/>
                <w:szCs w:val="18"/>
              </w:rPr>
              <w:t>infection or unknown HIV status.</w:t>
            </w:r>
          </w:p>
          <w:p w14:paraId="33AEC087" w14:textId="77777777" w:rsidR="00B0683D" w:rsidRPr="00B0683D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683D">
              <w:rPr>
                <w:rFonts w:ascii="Arial" w:hAnsi="Arial" w:cs="Arial"/>
                <w:sz w:val="18"/>
                <w:szCs w:val="18"/>
              </w:rPr>
              <w:t>Young women/men &lt;35 kg or &lt;15 years of age who are not Tanner stage 3 (sexual maturity) or greater.</w:t>
            </w:r>
          </w:p>
          <w:p w14:paraId="521CC3B9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8D7164" w14:textId="77777777" w:rsidR="00B0683D" w:rsidRPr="00B0683D" w:rsidRDefault="00B0683D" w:rsidP="00B0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Contraindications specific to </w:t>
            </w:r>
            <w:proofErr w:type="spellStart"/>
            <w:r w:rsidRPr="00B0683D">
              <w:rPr>
                <w:rFonts w:ascii="Arial" w:hAnsi="Arial" w:cs="Arial"/>
                <w:b/>
                <w:bCs/>
                <w:sz w:val="18"/>
                <w:szCs w:val="18"/>
              </w:rPr>
              <w:t>PrEP</w:t>
            </w:r>
            <w:proofErr w:type="spellEnd"/>
            <w:r w:rsidRPr="00B06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options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4"/>
              <w:gridCol w:w="3374"/>
            </w:tblGrid>
            <w:tr w:rsidR="001F2381" w:rsidRPr="00B0683D" w14:paraId="5E8528A8" w14:textId="77777777" w:rsidTr="00575136">
              <w:tc>
                <w:tcPr>
                  <w:tcW w:w="3374" w:type="dxa"/>
                </w:tcPr>
                <w:p w14:paraId="3143D35C" w14:textId="295D5A6C" w:rsidR="001F2381" w:rsidRPr="00B0683D" w:rsidRDefault="001F2381" w:rsidP="001F2381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3649E">
                    <w:rPr>
                      <w:b/>
                      <w:lang w:val="en-US"/>
                    </w:rPr>
                    <w:t xml:space="preserve">Oral </w:t>
                  </w:r>
                  <w:proofErr w:type="spellStart"/>
                  <w:r w:rsidRPr="0083649E">
                    <w:rPr>
                      <w:b/>
                      <w:lang w:val="en-US"/>
                    </w:rPr>
                    <w:t>PrEP</w:t>
                  </w:r>
                  <w:proofErr w:type="spellEnd"/>
                  <w:r w:rsidRPr="0083649E">
                    <w:rPr>
                      <w:b/>
                      <w:lang w:val="en-US"/>
                    </w:rPr>
                    <w:t xml:space="preserve"> (</w:t>
                  </w:r>
                  <w:proofErr w:type="spellStart"/>
                  <w:r w:rsidRPr="0083649E">
                    <w:rPr>
                      <w:b/>
                      <w:lang w:val="en-US"/>
                    </w:rPr>
                    <w:t>tenofovir</w:t>
                  </w:r>
                  <w:proofErr w:type="spellEnd"/>
                  <w:r w:rsidRPr="0083649E">
                    <w:rPr>
                      <w:b/>
                      <w:lang w:val="en-US"/>
                    </w:rPr>
                    <w:t>/</w:t>
                  </w:r>
                  <w:proofErr w:type="spellStart"/>
                  <w:r w:rsidRPr="0083649E">
                    <w:rPr>
                      <w:b/>
                      <w:lang w:val="en-US"/>
                    </w:rPr>
                    <w:t>emtricitabine</w:t>
                  </w:r>
                  <w:proofErr w:type="spellEnd"/>
                  <w:r>
                    <w:rPr>
                      <w:b/>
                      <w:lang w:val="en-US"/>
                    </w:rPr>
                    <w:t xml:space="preserve"> (TDF+FTC)</w:t>
                  </w:r>
                  <w:r w:rsidRPr="0083649E">
                    <w:rPr>
                      <w:b/>
                      <w:lang w:val="en-US"/>
                    </w:rPr>
                    <w:t>)</w:t>
                  </w:r>
                </w:p>
              </w:tc>
              <w:tc>
                <w:tcPr>
                  <w:tcW w:w="3374" w:type="dxa"/>
                </w:tcPr>
                <w:p w14:paraId="4A575722" w14:textId="77777777" w:rsidR="001F2381" w:rsidRPr="00982700" w:rsidRDefault="001F2381" w:rsidP="001F2381">
                  <w:pPr>
                    <w:rPr>
                      <w:b/>
                      <w:lang w:val="en-US"/>
                    </w:rPr>
                  </w:pPr>
                  <w:r w:rsidRPr="00982700">
                    <w:rPr>
                      <w:b/>
                      <w:lang w:val="en-US"/>
                    </w:rPr>
                    <w:t xml:space="preserve">Injectable </w:t>
                  </w:r>
                  <w:proofErr w:type="spellStart"/>
                  <w:r w:rsidRPr="00982700">
                    <w:rPr>
                      <w:b/>
                      <w:lang w:val="en-US"/>
                    </w:rPr>
                    <w:t>PrEP</w:t>
                  </w:r>
                  <w:proofErr w:type="spellEnd"/>
                  <w:r w:rsidRPr="00982700">
                    <w:rPr>
                      <w:b/>
                      <w:lang w:val="en-US"/>
                    </w:rPr>
                    <w:t xml:space="preserve"> </w:t>
                  </w:r>
                </w:p>
                <w:p w14:paraId="12E461B5" w14:textId="13B691FD" w:rsidR="001F2381" w:rsidRPr="00B0683D" w:rsidRDefault="001F2381" w:rsidP="001F2381">
                  <w:pPr>
                    <w:rPr>
                      <w:rFonts w:ascii="Arial" w:hAnsi="Arial" w:cs="Arial"/>
                      <w:b/>
                      <w:color w:val="2E74B5" w:themeColor="accent1" w:themeShade="BF"/>
                      <w:sz w:val="18"/>
                      <w:szCs w:val="18"/>
                      <w:lang w:val="en-US"/>
                    </w:rPr>
                  </w:pPr>
                  <w:r w:rsidRPr="00982700">
                    <w:rPr>
                      <w:b/>
                      <w:lang w:val="en-US"/>
                    </w:rPr>
                    <w:t>(</w:t>
                  </w:r>
                  <w:proofErr w:type="spellStart"/>
                  <w:r w:rsidRPr="00982700">
                    <w:rPr>
                      <w:b/>
                      <w:lang w:val="en-US"/>
                    </w:rPr>
                    <w:t>lenacapavir</w:t>
                  </w:r>
                  <w:proofErr w:type="spellEnd"/>
                  <w:r w:rsidRPr="00982700">
                    <w:rPr>
                      <w:b/>
                      <w:lang w:val="en-US"/>
                    </w:rPr>
                    <w:t xml:space="preserve"> (LEN)) </w:t>
                  </w:r>
                </w:p>
              </w:tc>
            </w:tr>
            <w:tr w:rsidR="00B0683D" w:rsidRPr="00B0683D" w14:paraId="4634D658" w14:textId="77777777" w:rsidTr="00575136">
              <w:tc>
                <w:tcPr>
                  <w:tcW w:w="3374" w:type="dxa"/>
                </w:tcPr>
                <w:p w14:paraId="35758EF2" w14:textId="77777777" w:rsidR="00B0683D" w:rsidRPr="00B0683D" w:rsidRDefault="00B0683D" w:rsidP="00B0683D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0683D">
                    <w:rPr>
                      <w:rFonts w:ascii="Arial" w:hAnsi="Arial" w:cs="Arial"/>
                      <w:sz w:val="18"/>
                      <w:szCs w:val="18"/>
                    </w:rPr>
                    <w:t xml:space="preserve">Estimated creatinine clearance or </w:t>
                  </w:r>
                  <w:proofErr w:type="spellStart"/>
                  <w:r w:rsidRPr="00B0683D">
                    <w:rPr>
                      <w:rFonts w:ascii="Arial" w:hAnsi="Arial" w:cs="Arial"/>
                      <w:sz w:val="18"/>
                      <w:szCs w:val="18"/>
                    </w:rPr>
                    <w:t>eGFR</w:t>
                  </w:r>
                  <w:proofErr w:type="spellEnd"/>
                  <w:r w:rsidRPr="00B0683D">
                    <w:rPr>
                      <w:rFonts w:ascii="Arial" w:hAnsi="Arial" w:cs="Arial"/>
                      <w:sz w:val="18"/>
                      <w:szCs w:val="18"/>
                    </w:rPr>
                    <w:t xml:space="preserve"> &lt;60 mL/min.</w:t>
                  </w:r>
                </w:p>
                <w:p w14:paraId="79F9B28D" w14:textId="77777777" w:rsidR="00B0683D" w:rsidRPr="00B0683D" w:rsidRDefault="00B0683D" w:rsidP="00B0683D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0683D">
                    <w:rPr>
                      <w:rFonts w:ascii="Arial" w:hAnsi="Arial" w:cs="Arial"/>
                      <w:sz w:val="18"/>
                      <w:szCs w:val="18"/>
                    </w:rPr>
                    <w:t>Use of nephrotoxic medicines e.g. aminoglycosides.</w:t>
                  </w:r>
                </w:p>
                <w:p w14:paraId="7B43C6DA" w14:textId="77777777" w:rsidR="00B0683D" w:rsidRPr="00B0683D" w:rsidRDefault="00B0683D" w:rsidP="00B0683D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B0683D">
                    <w:rPr>
                      <w:rFonts w:ascii="Arial" w:hAnsi="Arial" w:cs="Arial"/>
                      <w:sz w:val="18"/>
                      <w:szCs w:val="18"/>
                    </w:rPr>
                    <w:t xml:space="preserve">Unwilling or unable to adhere to daily oral </w:t>
                  </w:r>
                  <w:proofErr w:type="spellStart"/>
                  <w:r w:rsidRPr="00B0683D">
                    <w:rPr>
                      <w:rFonts w:ascii="Arial" w:hAnsi="Arial" w:cs="Arial"/>
                      <w:sz w:val="18"/>
                      <w:szCs w:val="18"/>
                    </w:rPr>
                    <w:t>PrEP.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72308E4E" w14:textId="77777777" w:rsidR="00B0683D" w:rsidRPr="001F2381" w:rsidRDefault="00B0683D" w:rsidP="00B0683D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2381">
                    <w:rPr>
                      <w:rFonts w:ascii="Arial" w:hAnsi="Arial" w:cs="Arial"/>
                      <w:sz w:val="18"/>
                      <w:szCs w:val="18"/>
                    </w:rPr>
                    <w:t xml:space="preserve">Estimated creatinine clearance or </w:t>
                  </w:r>
                  <w:proofErr w:type="spellStart"/>
                  <w:r w:rsidRPr="001F2381">
                    <w:rPr>
                      <w:rFonts w:ascii="Arial" w:hAnsi="Arial" w:cs="Arial"/>
                      <w:sz w:val="18"/>
                      <w:szCs w:val="18"/>
                    </w:rPr>
                    <w:t>eGFR</w:t>
                  </w:r>
                  <w:proofErr w:type="spellEnd"/>
                  <w:r w:rsidRPr="001F2381">
                    <w:rPr>
                      <w:rFonts w:ascii="Arial" w:hAnsi="Arial" w:cs="Arial"/>
                      <w:sz w:val="18"/>
                      <w:szCs w:val="18"/>
                    </w:rPr>
                    <w:t xml:space="preserve"> &lt;15 mL/min or on renal replacement therapy.</w:t>
                  </w:r>
                </w:p>
                <w:p w14:paraId="4BD042F1" w14:textId="77777777" w:rsidR="00B0683D" w:rsidRPr="001F2381" w:rsidRDefault="00B0683D" w:rsidP="00B0683D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1F2381">
                    <w:rPr>
                      <w:rFonts w:ascii="Arial" w:hAnsi="Arial" w:cs="Arial"/>
                      <w:sz w:val="18"/>
                      <w:szCs w:val="18"/>
                    </w:rPr>
                    <w:t>Severe hepatic impairment (Child-Pugh Class C).</w:t>
                  </w:r>
                </w:p>
                <w:p w14:paraId="0FA4F417" w14:textId="77777777" w:rsidR="00B0683D" w:rsidRPr="00B0683D" w:rsidRDefault="00B0683D" w:rsidP="00B0683D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color w:val="2E74B5" w:themeColor="accent1" w:themeShade="BF"/>
                      <w:sz w:val="18"/>
                      <w:szCs w:val="18"/>
                      <w:lang w:val="en-US"/>
                    </w:rPr>
                  </w:pPr>
                  <w:r w:rsidRPr="001F2381">
                    <w:rPr>
                      <w:rFonts w:ascii="Arial" w:hAnsi="Arial" w:cs="Arial"/>
                      <w:sz w:val="18"/>
                      <w:szCs w:val="18"/>
                    </w:rPr>
                    <w:t xml:space="preserve">Unwilling or unable to adhere to 6 monthly injectable </w:t>
                  </w:r>
                  <w:proofErr w:type="spellStart"/>
                  <w:r w:rsidRPr="001F2381">
                    <w:rPr>
                      <w:rFonts w:ascii="Arial" w:hAnsi="Arial" w:cs="Arial"/>
                      <w:sz w:val="18"/>
                      <w:szCs w:val="18"/>
                    </w:rPr>
                    <w:t>PrEP.</w:t>
                  </w:r>
                  <w:proofErr w:type="spellEnd"/>
                </w:p>
              </w:tc>
            </w:tr>
          </w:tbl>
          <w:p w14:paraId="740FCC73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D2359DB" w14:textId="77777777" w:rsidR="00B0683D" w:rsidRPr="001F2381" w:rsidRDefault="00B0683D" w:rsidP="00B0683D">
            <w:pPr>
              <w:pStyle w:val="Heading6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 xml:space="preserve">SREENING INVESTIGATIONS BEFORE STARTING </w:t>
            </w:r>
            <w:proofErr w:type="spellStart"/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>PrEP</w:t>
            </w:r>
            <w:proofErr w:type="spellEnd"/>
          </w:p>
          <w:p w14:paraId="703AE69F" w14:textId="77777777" w:rsidR="00B0683D" w:rsidRPr="00B0683D" w:rsidRDefault="00B0683D" w:rsidP="00B0683D">
            <w:pPr>
              <w:pStyle w:val="NoSpacing"/>
              <w:rPr>
                <w:rFonts w:cs="Arial"/>
              </w:rPr>
            </w:pPr>
          </w:p>
          <w:tbl>
            <w:tblPr>
              <w:tblStyle w:val="SamplePHCTable"/>
              <w:tblW w:w="5000" w:type="pct"/>
              <w:tblLook w:val="04A0" w:firstRow="1" w:lastRow="0" w:firstColumn="1" w:lastColumn="0" w:noHBand="0" w:noVBand="1"/>
            </w:tblPr>
            <w:tblGrid>
              <w:gridCol w:w="1860"/>
              <w:gridCol w:w="850"/>
              <w:gridCol w:w="1457"/>
              <w:gridCol w:w="2554"/>
              <w:gridCol w:w="3123"/>
            </w:tblGrid>
            <w:tr w:rsidR="00B0683D" w:rsidRPr="00B0683D" w14:paraId="00C8F407" w14:textId="77777777" w:rsidTr="005751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5" w:type="pct"/>
                  <w:vMerge w:val="restart"/>
                </w:tcPr>
                <w:p w14:paraId="1EAE4738" w14:textId="77777777" w:rsidR="00B0683D" w:rsidRPr="001F2381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Investigation</w:t>
                  </w:r>
                </w:p>
              </w:tc>
              <w:tc>
                <w:tcPr>
                  <w:tcW w:w="1172" w:type="pct"/>
                  <w:gridSpan w:val="2"/>
                </w:tcPr>
                <w:p w14:paraId="1EEEE0B9" w14:textId="77777777" w:rsidR="00B0683D" w:rsidRPr="001F2381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 xml:space="preserve">Screen applicable </w:t>
                  </w:r>
                </w:p>
              </w:tc>
              <w:tc>
                <w:tcPr>
                  <w:tcW w:w="1297" w:type="pct"/>
                  <w:vMerge w:val="restart"/>
                </w:tcPr>
                <w:p w14:paraId="4D2FE795" w14:textId="77777777" w:rsidR="00B0683D" w:rsidRPr="00B0683D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Purpose</w:t>
                  </w:r>
                </w:p>
              </w:tc>
              <w:tc>
                <w:tcPr>
                  <w:tcW w:w="1586" w:type="pct"/>
                  <w:vMerge w:val="restart"/>
                </w:tcPr>
                <w:p w14:paraId="41D418D1" w14:textId="77777777" w:rsidR="00B0683D" w:rsidRPr="00B0683D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Action</w:t>
                  </w:r>
                </w:p>
              </w:tc>
            </w:tr>
            <w:tr w:rsidR="00B0683D" w:rsidRPr="00B0683D" w14:paraId="60E8FA0E" w14:textId="77777777" w:rsidTr="00575136">
              <w:tc>
                <w:tcPr>
                  <w:tcW w:w="945" w:type="pct"/>
                  <w:vMerge/>
                </w:tcPr>
                <w:p w14:paraId="38466BD0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</w:p>
              </w:tc>
              <w:tc>
                <w:tcPr>
                  <w:tcW w:w="432" w:type="pct"/>
                  <w:shd w:val="clear" w:color="auto" w:fill="D0CECE" w:themeFill="background2" w:themeFillShade="E6"/>
                </w:tcPr>
                <w:p w14:paraId="00A2D80B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  <w:b/>
                    </w:rPr>
                  </w:pPr>
                  <w:r w:rsidRPr="001F2381">
                    <w:rPr>
                      <w:rFonts w:cs="Arial"/>
                      <w:b/>
                    </w:rPr>
                    <w:t xml:space="preserve">Oral </w:t>
                  </w:r>
                  <w:proofErr w:type="spellStart"/>
                  <w:r w:rsidRPr="001F2381">
                    <w:rPr>
                      <w:rFonts w:cs="Arial"/>
                      <w:b/>
                    </w:rPr>
                    <w:t>PrEP</w:t>
                  </w:r>
                  <w:proofErr w:type="spellEnd"/>
                </w:p>
              </w:tc>
              <w:tc>
                <w:tcPr>
                  <w:tcW w:w="740" w:type="pct"/>
                  <w:shd w:val="clear" w:color="auto" w:fill="D0CECE" w:themeFill="background2" w:themeFillShade="E6"/>
                </w:tcPr>
                <w:p w14:paraId="0246D5E6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  <w:b/>
                    </w:rPr>
                  </w:pPr>
                  <w:r w:rsidRPr="001F2381">
                    <w:rPr>
                      <w:rFonts w:cs="Arial"/>
                      <w:b/>
                    </w:rPr>
                    <w:t>Injectable</w:t>
                  </w:r>
                </w:p>
                <w:p w14:paraId="728878FF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  <w:b/>
                    </w:rPr>
                  </w:pPr>
                  <w:proofErr w:type="spellStart"/>
                  <w:r w:rsidRPr="001F2381">
                    <w:rPr>
                      <w:rFonts w:cs="Arial"/>
                      <w:b/>
                    </w:rPr>
                    <w:t>PrEP</w:t>
                  </w:r>
                  <w:proofErr w:type="spellEnd"/>
                </w:p>
              </w:tc>
              <w:tc>
                <w:tcPr>
                  <w:tcW w:w="1297" w:type="pct"/>
                  <w:vMerge/>
                </w:tcPr>
                <w:p w14:paraId="7896CCEC" w14:textId="77777777" w:rsidR="00B0683D" w:rsidRPr="00B0683D" w:rsidRDefault="00B0683D" w:rsidP="00B0683D">
                  <w:pPr>
                    <w:pStyle w:val="NoSpacing"/>
                    <w:rPr>
                      <w:rFonts w:cs="Arial"/>
                    </w:rPr>
                  </w:pPr>
                </w:p>
              </w:tc>
              <w:tc>
                <w:tcPr>
                  <w:tcW w:w="1586" w:type="pct"/>
                  <w:vMerge/>
                </w:tcPr>
                <w:p w14:paraId="4C407C2F" w14:textId="77777777" w:rsidR="00B0683D" w:rsidRPr="00B0683D" w:rsidRDefault="00B0683D" w:rsidP="00B0683D">
                  <w:pPr>
                    <w:pStyle w:val="NoSpacing"/>
                    <w:rPr>
                      <w:rFonts w:cs="Arial"/>
                    </w:rPr>
                  </w:pPr>
                </w:p>
              </w:tc>
            </w:tr>
            <w:tr w:rsidR="00B0683D" w:rsidRPr="00B0683D" w14:paraId="1F6F3AED" w14:textId="77777777" w:rsidTr="00575136">
              <w:tc>
                <w:tcPr>
                  <w:tcW w:w="945" w:type="pct"/>
                </w:tcPr>
                <w:p w14:paraId="64CDC2E6" w14:textId="77777777" w:rsidR="00B0683D" w:rsidRPr="001F2381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HIV test</w:t>
                  </w:r>
                </w:p>
                <w:p w14:paraId="44BAED43" w14:textId="77777777" w:rsidR="00B0683D" w:rsidRPr="001F2381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(using algorithm in the HTS guidelines*)</w:t>
                  </w:r>
                </w:p>
              </w:tc>
              <w:tc>
                <w:tcPr>
                  <w:tcW w:w="432" w:type="pct"/>
                </w:tcPr>
                <w:p w14:paraId="522CF8E8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740" w:type="pct"/>
                </w:tcPr>
                <w:p w14:paraId="2255C6C2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1297" w:type="pct"/>
                </w:tcPr>
                <w:p w14:paraId="4FB6B839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Assessment of HIV status.</w:t>
                  </w:r>
                </w:p>
              </w:tc>
              <w:tc>
                <w:tcPr>
                  <w:tcW w:w="1586" w:type="pct"/>
                </w:tcPr>
                <w:p w14:paraId="2FC641F1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 xml:space="preserve">If HIV-negative, consider </w:t>
                  </w:r>
                  <w:proofErr w:type="spellStart"/>
                  <w:r w:rsidRPr="00B0683D">
                    <w:rPr>
                      <w:rFonts w:cs="Arial"/>
                    </w:rPr>
                    <w:t>PrEP</w:t>
                  </w:r>
                  <w:proofErr w:type="spellEnd"/>
                </w:p>
                <w:p w14:paraId="63DC8F38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If HIV-positive: Link to treatment and care services.</w:t>
                  </w:r>
                </w:p>
              </w:tc>
            </w:tr>
            <w:tr w:rsidR="00B0683D" w:rsidRPr="00B0683D" w14:paraId="7AB28743" w14:textId="77777777" w:rsidTr="00575136">
              <w:tc>
                <w:tcPr>
                  <w:tcW w:w="945" w:type="pct"/>
                </w:tcPr>
                <w:p w14:paraId="093458F0" w14:textId="77777777" w:rsidR="00B0683D" w:rsidRPr="001F2381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 xml:space="preserve">Estimated creatinine clearance </w:t>
                  </w:r>
                </w:p>
                <w:p w14:paraId="3844A390" w14:textId="77777777" w:rsidR="00B0683D" w:rsidRPr="001F2381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(</w:t>
                  </w:r>
                  <w:proofErr w:type="spellStart"/>
                  <w:r w:rsidRPr="001F2381">
                    <w:rPr>
                      <w:rFonts w:cs="Arial"/>
                    </w:rPr>
                    <w:t>eGFR</w:t>
                  </w:r>
                  <w:proofErr w:type="spellEnd"/>
                  <w:r w:rsidRPr="001F2381"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432" w:type="pct"/>
                </w:tcPr>
                <w:p w14:paraId="3C43A3E1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740" w:type="pct"/>
                </w:tcPr>
                <w:p w14:paraId="09F2BD0B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1297" w:type="pct"/>
                </w:tcPr>
                <w:p w14:paraId="404AFB5B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To identify pre-existing renal disease.</w:t>
                  </w:r>
                </w:p>
              </w:tc>
              <w:tc>
                <w:tcPr>
                  <w:tcW w:w="1586" w:type="pct"/>
                </w:tcPr>
                <w:p w14:paraId="179999EB" w14:textId="2A022252" w:rsidR="00B0683D" w:rsidRPr="00B0683D" w:rsidRDefault="001F2381" w:rsidP="00B0683D">
                  <w:pPr>
                    <w:pStyle w:val="NoSpacing"/>
                    <w:jc w:val="left"/>
                    <w:rPr>
                      <w:rFonts w:cs="Arial"/>
                      <w:color w:val="2E74B5" w:themeColor="accent1" w:themeShade="BF"/>
                    </w:rPr>
                  </w:pPr>
                  <w:r w:rsidRPr="00982700">
                    <w:t xml:space="preserve">Do not initiate oral </w:t>
                  </w:r>
                  <w:proofErr w:type="spellStart"/>
                  <w:r w:rsidRPr="00982700">
                    <w:t>PrEP</w:t>
                  </w:r>
                  <w:proofErr w:type="spellEnd"/>
                  <w:r w:rsidRPr="00982700">
                    <w:t xml:space="preserve"> if creatinine clearance/</w:t>
                  </w:r>
                  <w:proofErr w:type="spellStart"/>
                  <w:r w:rsidRPr="00982700">
                    <w:t>eGFR</w:t>
                  </w:r>
                  <w:proofErr w:type="spellEnd"/>
                  <w:r w:rsidRPr="00982700">
                    <w:t xml:space="preserve"> &lt;60 mL/min. Repeat creatinine clearance two weeks after baseline screen if baseline </w:t>
                  </w:r>
                  <w:proofErr w:type="spellStart"/>
                  <w:r w:rsidRPr="00982700">
                    <w:t>eGFR</w:t>
                  </w:r>
                  <w:proofErr w:type="spellEnd"/>
                  <w:r w:rsidRPr="00982700">
                    <w:t xml:space="preserve"> &lt; </w:t>
                  </w:r>
                  <w:r w:rsidRPr="00982700">
                    <w:lastRenderedPageBreak/>
                    <w:t xml:space="preserve">60mL/min. If renal function returns to normal and other </w:t>
                  </w:r>
                  <w:proofErr w:type="spellStart"/>
                  <w:r w:rsidRPr="00982700">
                    <w:t>PrEP</w:t>
                  </w:r>
                  <w:proofErr w:type="spellEnd"/>
                  <w:r w:rsidRPr="00982700">
                    <w:t xml:space="preserve"> criteria are met, oral </w:t>
                  </w:r>
                  <w:proofErr w:type="spellStart"/>
                  <w:r w:rsidRPr="00982700">
                    <w:t>PrEP</w:t>
                  </w:r>
                  <w:proofErr w:type="spellEnd"/>
                  <w:r w:rsidRPr="00982700">
                    <w:t xml:space="preserve"> may be initiated. Refer for further investigation if renal function remains abnormal - injectable </w:t>
                  </w:r>
                  <w:proofErr w:type="spellStart"/>
                  <w:r w:rsidRPr="00982700">
                    <w:t>PrEP</w:t>
                  </w:r>
                  <w:proofErr w:type="spellEnd"/>
                  <w:r w:rsidRPr="00982700">
                    <w:t xml:space="preserve"> may be considered if </w:t>
                  </w:r>
                  <w:proofErr w:type="spellStart"/>
                  <w:r w:rsidRPr="00982700">
                    <w:t>eGFR</w:t>
                  </w:r>
                  <w:proofErr w:type="spellEnd"/>
                  <w:r w:rsidRPr="00982700">
                    <w:t xml:space="preserve"> &gt; 15mL/min.</w:t>
                  </w:r>
                </w:p>
              </w:tc>
            </w:tr>
            <w:tr w:rsidR="001F2381" w:rsidRPr="00B0683D" w14:paraId="130FDE79" w14:textId="77777777" w:rsidTr="00575136">
              <w:tc>
                <w:tcPr>
                  <w:tcW w:w="945" w:type="pct"/>
                </w:tcPr>
                <w:p w14:paraId="2DFC0CB4" w14:textId="77777777" w:rsidR="001F2381" w:rsidRPr="001F2381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lastRenderedPageBreak/>
                    <w:t>Hepatitis B surface antigen (</w:t>
                  </w:r>
                  <w:proofErr w:type="spellStart"/>
                  <w:r w:rsidRPr="001F2381">
                    <w:rPr>
                      <w:rFonts w:cs="Arial"/>
                    </w:rPr>
                    <w:t>HBsAg</w:t>
                  </w:r>
                  <w:proofErr w:type="spellEnd"/>
                  <w:r w:rsidRPr="001F2381"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432" w:type="pct"/>
                </w:tcPr>
                <w:p w14:paraId="39801681" w14:textId="77777777" w:rsidR="001F2381" w:rsidRPr="001F2381" w:rsidRDefault="001F2381" w:rsidP="001F2381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740" w:type="pct"/>
                </w:tcPr>
                <w:p w14:paraId="01EC26C9" w14:textId="47EF9855" w:rsidR="001F2381" w:rsidRPr="001F2381" w:rsidRDefault="001F2381" w:rsidP="001F2381">
                  <w:pPr>
                    <w:pStyle w:val="NoSpacing"/>
                    <w:rPr>
                      <w:rFonts w:cs="Arial"/>
                    </w:rPr>
                  </w:pPr>
                  <w:r w:rsidRPr="001F2381">
                    <w:t xml:space="preserve">No but may screen for hepatitis B once injectable </w:t>
                  </w:r>
                  <w:proofErr w:type="spellStart"/>
                  <w:r w:rsidRPr="001F2381">
                    <w:t>PrEP</w:t>
                  </w:r>
                  <w:proofErr w:type="spellEnd"/>
                  <w:r w:rsidRPr="001F2381">
                    <w:t xml:space="preserve"> commenced</w:t>
                  </w:r>
                </w:p>
              </w:tc>
              <w:tc>
                <w:tcPr>
                  <w:tcW w:w="1297" w:type="pct"/>
                </w:tcPr>
                <w:p w14:paraId="04594E2D" w14:textId="77777777" w:rsidR="001F2381" w:rsidRPr="00982700" w:rsidRDefault="001F2381" w:rsidP="001F2381">
                  <w:pPr>
                    <w:pStyle w:val="NoSpacing"/>
                    <w:jc w:val="left"/>
                  </w:pPr>
                  <w:r w:rsidRPr="00982700">
                    <w:t xml:space="preserve">To caution those with hepatitis B infection of risk of hepatitis flare upon discontinuation of oral </w:t>
                  </w:r>
                  <w:proofErr w:type="spellStart"/>
                  <w:r w:rsidRPr="00982700">
                    <w:t>PrEP.</w:t>
                  </w:r>
                  <w:proofErr w:type="spellEnd"/>
                </w:p>
                <w:p w14:paraId="7118D3F6" w14:textId="77777777" w:rsidR="001F2381" w:rsidRPr="00982700" w:rsidRDefault="001F2381" w:rsidP="001F2381">
                  <w:pPr>
                    <w:pStyle w:val="NoSpacing"/>
                    <w:jc w:val="left"/>
                  </w:pPr>
                  <w:r w:rsidRPr="00982700">
                    <w:t xml:space="preserve">Hepatitis flare not identified as a risk with </w:t>
                  </w:r>
                  <w:proofErr w:type="spellStart"/>
                  <w:r w:rsidRPr="00982700">
                    <w:t>lenacapavir</w:t>
                  </w:r>
                  <w:proofErr w:type="spellEnd"/>
                  <w:r w:rsidRPr="00982700">
                    <w:t>.</w:t>
                  </w:r>
                </w:p>
                <w:p w14:paraId="0BD5DCD8" w14:textId="4DB3C354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1586" w:type="pct"/>
                </w:tcPr>
                <w:p w14:paraId="6BCC3AD4" w14:textId="77777777" w:rsidR="001F2381" w:rsidRPr="00982700" w:rsidRDefault="001F2381" w:rsidP="001F2381">
                  <w:pPr>
                    <w:pStyle w:val="NoSpacing"/>
                    <w:jc w:val="left"/>
                  </w:pPr>
                  <w:r w:rsidRPr="00982700">
                    <w:t xml:space="preserve">Assess eligibility for vaccination if available (see table below). </w:t>
                  </w:r>
                </w:p>
                <w:p w14:paraId="00713BCD" w14:textId="14F9BB93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982700">
                    <w:t xml:space="preserve">If </w:t>
                  </w:r>
                  <w:proofErr w:type="spellStart"/>
                  <w:r w:rsidRPr="00982700">
                    <w:t>HBsAg</w:t>
                  </w:r>
                  <w:proofErr w:type="spellEnd"/>
                  <w:r w:rsidRPr="00982700">
                    <w:t>-positive, refer to specialist.</w:t>
                  </w:r>
                </w:p>
              </w:tc>
            </w:tr>
            <w:tr w:rsidR="00B0683D" w:rsidRPr="00B0683D" w14:paraId="1F1E1C47" w14:textId="77777777" w:rsidTr="00575136">
              <w:tc>
                <w:tcPr>
                  <w:tcW w:w="945" w:type="pct"/>
                </w:tcPr>
                <w:p w14:paraId="62D687DF" w14:textId="77777777" w:rsidR="00B0683D" w:rsidRPr="001F2381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Urine pregnancy test</w:t>
                  </w:r>
                </w:p>
              </w:tc>
              <w:tc>
                <w:tcPr>
                  <w:tcW w:w="432" w:type="pct"/>
                </w:tcPr>
                <w:p w14:paraId="5B275907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740" w:type="pct"/>
                </w:tcPr>
                <w:p w14:paraId="0F8F4FFE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1297" w:type="pct"/>
                </w:tcPr>
                <w:p w14:paraId="07FC6CB6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To identify if pregnant.</w:t>
                  </w:r>
                </w:p>
              </w:tc>
              <w:tc>
                <w:tcPr>
                  <w:tcW w:w="1586" w:type="pct"/>
                </w:tcPr>
                <w:p w14:paraId="79E346C0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 xml:space="preserve">Provide counselling covering risk of HIV infection during pregnancy and benefits of taking </w:t>
                  </w:r>
                  <w:proofErr w:type="spellStart"/>
                  <w:r w:rsidRPr="00B0683D">
                    <w:rPr>
                      <w:rFonts w:cs="Arial"/>
                    </w:rPr>
                    <w:t>PrEP.</w:t>
                  </w:r>
                  <w:proofErr w:type="spellEnd"/>
                </w:p>
              </w:tc>
            </w:tr>
            <w:tr w:rsidR="00B0683D" w:rsidRPr="00B0683D" w14:paraId="76CFD70F" w14:textId="77777777" w:rsidTr="00575136">
              <w:trPr>
                <w:trHeight w:val="423"/>
              </w:trPr>
              <w:tc>
                <w:tcPr>
                  <w:tcW w:w="945" w:type="pct"/>
                </w:tcPr>
                <w:p w14:paraId="612F9241" w14:textId="77777777" w:rsidR="00B0683D" w:rsidRPr="001F2381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RPR</w:t>
                  </w:r>
                </w:p>
              </w:tc>
              <w:tc>
                <w:tcPr>
                  <w:tcW w:w="432" w:type="pct"/>
                </w:tcPr>
                <w:p w14:paraId="790AA5DF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740" w:type="pct"/>
                </w:tcPr>
                <w:p w14:paraId="288A492F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1297" w:type="pct"/>
                </w:tcPr>
                <w:p w14:paraId="5C265C93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To diagnose syphilis infection for treatment.</w:t>
                  </w:r>
                </w:p>
              </w:tc>
              <w:tc>
                <w:tcPr>
                  <w:tcW w:w="1586" w:type="pct"/>
                </w:tcPr>
                <w:p w14:paraId="46BA5EB3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Manage according to STI guidelines.</w:t>
                  </w:r>
                </w:p>
              </w:tc>
            </w:tr>
            <w:tr w:rsidR="00B0683D" w:rsidRPr="00B0683D" w14:paraId="10979730" w14:textId="77777777" w:rsidTr="00575136">
              <w:tc>
                <w:tcPr>
                  <w:tcW w:w="945" w:type="pct"/>
                </w:tcPr>
                <w:p w14:paraId="1E7A5915" w14:textId="77777777" w:rsidR="00B0683D" w:rsidRPr="001F2381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proofErr w:type="spellStart"/>
                  <w:r w:rsidRPr="001F2381">
                    <w:rPr>
                      <w:rFonts w:cs="Arial"/>
                    </w:rPr>
                    <w:t>Syndromic</w:t>
                  </w:r>
                  <w:proofErr w:type="spellEnd"/>
                  <w:r w:rsidRPr="001F2381">
                    <w:rPr>
                      <w:rFonts w:cs="Arial"/>
                    </w:rPr>
                    <w:t xml:space="preserve"> STI screening</w:t>
                  </w:r>
                </w:p>
              </w:tc>
              <w:tc>
                <w:tcPr>
                  <w:tcW w:w="432" w:type="pct"/>
                </w:tcPr>
                <w:p w14:paraId="56B82D34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740" w:type="pct"/>
                </w:tcPr>
                <w:p w14:paraId="72AB1508" w14:textId="77777777" w:rsidR="00B0683D" w:rsidRPr="001F2381" w:rsidRDefault="00B0683D" w:rsidP="00B0683D">
                  <w:pPr>
                    <w:pStyle w:val="NoSpacing"/>
                    <w:rPr>
                      <w:rFonts w:cs="Arial"/>
                    </w:rPr>
                  </w:pPr>
                  <w:r w:rsidRPr="001F2381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1297" w:type="pct"/>
                </w:tcPr>
                <w:p w14:paraId="2852B863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To diagnose and treat STI.</w:t>
                  </w:r>
                </w:p>
              </w:tc>
              <w:tc>
                <w:tcPr>
                  <w:tcW w:w="1586" w:type="pct"/>
                </w:tcPr>
                <w:p w14:paraId="087877C6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Manage according to STI guidelines.</w:t>
                  </w:r>
                </w:p>
              </w:tc>
            </w:tr>
          </w:tbl>
          <w:p w14:paraId="228FBF04" w14:textId="77777777" w:rsidR="00B0683D" w:rsidRPr="00B0683D" w:rsidRDefault="00B0683D" w:rsidP="00B0683D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 xml:space="preserve">Table 11.13: Screening investigations before starting </w:t>
            </w:r>
            <w:proofErr w:type="spellStart"/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>PrEP</w:t>
            </w:r>
            <w:proofErr w:type="spellEnd"/>
          </w:p>
          <w:p w14:paraId="7F9FC73A" w14:textId="77777777" w:rsidR="00B0683D" w:rsidRPr="00B0683D" w:rsidRDefault="00B0683D" w:rsidP="00B0683D">
            <w:pPr>
              <w:pStyle w:val="BulletMedicine"/>
              <w:numPr>
                <w:ilvl w:val="0"/>
                <w:numId w:val="0"/>
              </w:numPr>
              <w:ind w:left="284" w:hanging="284"/>
              <w:rPr>
                <w:rStyle w:val="Strong"/>
                <w:rFonts w:cs="Arial"/>
                <w:b w:val="0"/>
              </w:rPr>
            </w:pPr>
            <w:r w:rsidRPr="00B0683D">
              <w:rPr>
                <w:rFonts w:cs="Arial"/>
              </w:rPr>
              <w:t>*HIV Testing Services guidelines</w:t>
            </w:r>
          </w:p>
          <w:p w14:paraId="2FAB06EA" w14:textId="77777777" w:rsidR="00B0683D" w:rsidRPr="00B0683D" w:rsidRDefault="00B0683D" w:rsidP="00B0683D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>Note:</w:t>
            </w:r>
          </w:p>
          <w:p w14:paraId="4F3508D0" w14:textId="77777777" w:rsidR="00B0683D" w:rsidRPr="001F2381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683D">
              <w:rPr>
                <w:rFonts w:ascii="Arial" w:hAnsi="Arial" w:cs="Arial"/>
                <w:sz w:val="18"/>
                <w:szCs w:val="18"/>
              </w:rPr>
              <w:t xml:space="preserve">If symptoms or signs of acute HIV infection are present, </w:t>
            </w:r>
            <w:proofErr w:type="spellStart"/>
            <w:r w:rsidRPr="00B0683D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B0683D">
              <w:rPr>
                <w:rFonts w:ascii="Arial" w:hAnsi="Arial" w:cs="Arial"/>
                <w:sz w:val="18"/>
                <w:szCs w:val="18"/>
              </w:rPr>
              <w:t xml:space="preserve"> should be postponed until symptoms subside and a repeat rapid </w:t>
            </w:r>
            <w:r w:rsidRPr="001F2381">
              <w:rPr>
                <w:rFonts w:ascii="Arial" w:hAnsi="Arial" w:cs="Arial"/>
                <w:sz w:val="18"/>
                <w:szCs w:val="18"/>
              </w:rPr>
              <w:t>HIV test after 4 weeks remains negative.</w:t>
            </w:r>
          </w:p>
          <w:p w14:paraId="409FEA2E" w14:textId="77777777" w:rsidR="00B0683D" w:rsidRPr="001F2381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2381">
              <w:rPr>
                <w:rFonts w:ascii="Arial" w:hAnsi="Arial" w:cs="Arial"/>
                <w:sz w:val="18"/>
                <w:szCs w:val="18"/>
              </w:rPr>
              <w:t xml:space="preserve">TDF + FTC is active against hepatitis B (HBV) infection. HBV infection is not a contra-indication to </w:t>
            </w:r>
            <w:proofErr w:type="spellStart"/>
            <w:r w:rsidRPr="001F2381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1F2381">
              <w:rPr>
                <w:rFonts w:ascii="Arial" w:hAnsi="Arial" w:cs="Arial"/>
                <w:sz w:val="18"/>
                <w:szCs w:val="18"/>
              </w:rPr>
              <w:t xml:space="preserve">, but will require LFT monitoring in patients on oral </w:t>
            </w:r>
            <w:proofErr w:type="spellStart"/>
            <w:r w:rsidRPr="001F2381">
              <w:rPr>
                <w:rFonts w:ascii="Arial" w:hAnsi="Arial" w:cs="Arial"/>
                <w:sz w:val="18"/>
                <w:szCs w:val="18"/>
              </w:rPr>
              <w:t>PrEP.</w:t>
            </w:r>
            <w:proofErr w:type="spellEnd"/>
            <w:r w:rsidRPr="001F2381">
              <w:rPr>
                <w:rFonts w:ascii="Arial" w:hAnsi="Arial" w:cs="Arial"/>
                <w:sz w:val="18"/>
                <w:szCs w:val="18"/>
              </w:rPr>
              <w:t xml:space="preserve"> Discontinuation of TDF + FTC in patients with HBV requires referral to a specialist because of a risk of a hepatitis flare.</w:t>
            </w:r>
          </w:p>
          <w:p w14:paraId="51E7BFA6" w14:textId="77777777" w:rsidR="00B0683D" w:rsidRPr="001F2381" w:rsidRDefault="00B0683D" w:rsidP="00B0683D">
            <w:pPr>
              <w:pStyle w:val="Heading6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 xml:space="preserve">Hepatitis B immune status and oral </w:t>
            </w:r>
            <w:proofErr w:type="spellStart"/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>PrEP</w:t>
            </w:r>
            <w:proofErr w:type="spellEnd"/>
            <w:r w:rsidRPr="001F2381">
              <w:rPr>
                <w:rFonts w:ascii="Arial" w:hAnsi="Arial" w:cs="Arial"/>
                <w:color w:val="auto"/>
                <w:sz w:val="18"/>
                <w:szCs w:val="18"/>
              </w:rPr>
              <w:t xml:space="preserve"> eligibility</w:t>
            </w:r>
          </w:p>
          <w:tbl>
            <w:tblPr>
              <w:tblStyle w:val="SamplePHCTable"/>
              <w:tblW w:w="0" w:type="auto"/>
              <w:tblLook w:val="04A0" w:firstRow="1" w:lastRow="0" w:firstColumn="1" w:lastColumn="0" w:noHBand="0" w:noVBand="1"/>
            </w:tblPr>
            <w:tblGrid>
              <w:gridCol w:w="1839"/>
              <w:gridCol w:w="1842"/>
              <w:gridCol w:w="2998"/>
            </w:tblGrid>
            <w:tr w:rsidR="00B0683D" w:rsidRPr="00B0683D" w14:paraId="7D972461" w14:textId="77777777" w:rsidTr="005751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39" w:type="dxa"/>
                </w:tcPr>
                <w:p w14:paraId="42B03472" w14:textId="77777777" w:rsidR="00B0683D" w:rsidRPr="00B0683D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Hepatitis B surface antigen (</w:t>
                  </w:r>
                  <w:proofErr w:type="spellStart"/>
                  <w:r w:rsidRPr="00B0683D">
                    <w:rPr>
                      <w:rFonts w:cs="Arial"/>
                    </w:rPr>
                    <w:t>HBsAg</w:t>
                  </w:r>
                  <w:proofErr w:type="spellEnd"/>
                  <w:r w:rsidRPr="00B0683D"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7CD8DDE4" w14:textId="77777777" w:rsidR="00B0683D" w:rsidRPr="00B0683D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Hepatitis B surface antibody (</w:t>
                  </w:r>
                  <w:proofErr w:type="spellStart"/>
                  <w:r w:rsidRPr="00B0683D">
                    <w:rPr>
                      <w:rFonts w:cs="Arial"/>
                    </w:rPr>
                    <w:t>HBsAb</w:t>
                  </w:r>
                  <w:proofErr w:type="spellEnd"/>
                  <w:r w:rsidRPr="00B0683D"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2998" w:type="dxa"/>
                </w:tcPr>
                <w:p w14:paraId="26C563EC" w14:textId="77777777" w:rsidR="00B0683D" w:rsidRPr="00B0683D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Action</w:t>
                  </w:r>
                </w:p>
              </w:tc>
            </w:tr>
            <w:tr w:rsidR="001F2381" w:rsidRPr="00B0683D" w14:paraId="33B51C4D" w14:textId="77777777" w:rsidTr="00575136">
              <w:tc>
                <w:tcPr>
                  <w:tcW w:w="1839" w:type="dxa"/>
                </w:tcPr>
                <w:p w14:paraId="2A5BA0AA" w14:textId="77777777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Negative (-)</w:t>
                  </w:r>
                </w:p>
              </w:tc>
              <w:tc>
                <w:tcPr>
                  <w:tcW w:w="1842" w:type="dxa"/>
                </w:tcPr>
                <w:p w14:paraId="182F6450" w14:textId="77777777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Negative (-)</w:t>
                  </w:r>
                </w:p>
              </w:tc>
              <w:tc>
                <w:tcPr>
                  <w:tcW w:w="2998" w:type="dxa"/>
                </w:tcPr>
                <w:p w14:paraId="0FC7E4BF" w14:textId="77777777" w:rsidR="001F2381" w:rsidRPr="00982700" w:rsidRDefault="001F2381" w:rsidP="001F2381">
                  <w:pPr>
                    <w:pStyle w:val="NoSpacing"/>
                    <w:jc w:val="left"/>
                  </w:pPr>
                  <w:r w:rsidRPr="00982700">
                    <w:t xml:space="preserve">Start </w:t>
                  </w:r>
                  <w:proofErr w:type="spellStart"/>
                  <w:r w:rsidRPr="00982700">
                    <w:t>PrEP</w:t>
                  </w:r>
                  <w:proofErr w:type="spellEnd"/>
                  <w:r w:rsidRPr="00982700">
                    <w:t xml:space="preserve">: TDF+FTC or </w:t>
                  </w:r>
                  <w:proofErr w:type="spellStart"/>
                  <w:r w:rsidRPr="00982700">
                    <w:t>lenacapavir</w:t>
                  </w:r>
                  <w:proofErr w:type="spellEnd"/>
                  <w:r w:rsidRPr="00982700">
                    <w:t xml:space="preserve"> may be offered</w:t>
                  </w:r>
                </w:p>
                <w:p w14:paraId="3778E34F" w14:textId="029F3B3F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982700">
                    <w:t>Vaccinate with Hep B vaccine concurrently if available.</w:t>
                  </w:r>
                </w:p>
              </w:tc>
            </w:tr>
            <w:tr w:rsidR="001F2381" w:rsidRPr="00B0683D" w14:paraId="42FBB3DF" w14:textId="77777777" w:rsidTr="00575136">
              <w:tc>
                <w:tcPr>
                  <w:tcW w:w="1839" w:type="dxa"/>
                </w:tcPr>
                <w:p w14:paraId="460B7E34" w14:textId="77777777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Negative (-)</w:t>
                  </w:r>
                </w:p>
              </w:tc>
              <w:tc>
                <w:tcPr>
                  <w:tcW w:w="1842" w:type="dxa"/>
                </w:tcPr>
                <w:p w14:paraId="41F56EA0" w14:textId="77777777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Positive (+)</w:t>
                  </w:r>
                </w:p>
              </w:tc>
              <w:tc>
                <w:tcPr>
                  <w:tcW w:w="2998" w:type="dxa"/>
                </w:tcPr>
                <w:p w14:paraId="5F2EBBA8" w14:textId="77777777" w:rsidR="001F2381" w:rsidRPr="00982700" w:rsidRDefault="001F2381" w:rsidP="001F2381">
                  <w:pPr>
                    <w:pStyle w:val="NoSpacing"/>
                    <w:jc w:val="left"/>
                  </w:pPr>
                  <w:r w:rsidRPr="00982700">
                    <w:t xml:space="preserve">Start </w:t>
                  </w:r>
                  <w:proofErr w:type="spellStart"/>
                  <w:r w:rsidRPr="00982700">
                    <w:t>PrEP</w:t>
                  </w:r>
                  <w:proofErr w:type="spellEnd"/>
                  <w:r w:rsidRPr="00982700">
                    <w:t xml:space="preserve">: TDF+FTC or </w:t>
                  </w:r>
                  <w:proofErr w:type="spellStart"/>
                  <w:r w:rsidRPr="00982700">
                    <w:t>lenacapavir</w:t>
                  </w:r>
                  <w:proofErr w:type="spellEnd"/>
                  <w:r w:rsidRPr="00982700">
                    <w:t xml:space="preserve"> may be offered</w:t>
                  </w:r>
                </w:p>
                <w:p w14:paraId="7E23EB02" w14:textId="1EE1F413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982700">
                    <w:t>No Hep B vaccine needed</w:t>
                  </w:r>
                </w:p>
              </w:tc>
            </w:tr>
            <w:tr w:rsidR="001F2381" w:rsidRPr="00B0683D" w14:paraId="6BC1C581" w14:textId="77777777" w:rsidTr="00575136">
              <w:tc>
                <w:tcPr>
                  <w:tcW w:w="1839" w:type="dxa"/>
                </w:tcPr>
                <w:p w14:paraId="4D304D80" w14:textId="77777777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Positive (+)</w:t>
                  </w:r>
                </w:p>
              </w:tc>
              <w:tc>
                <w:tcPr>
                  <w:tcW w:w="1842" w:type="dxa"/>
                </w:tcPr>
                <w:p w14:paraId="5119F905" w14:textId="77777777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N/A</w:t>
                  </w:r>
                </w:p>
              </w:tc>
              <w:tc>
                <w:tcPr>
                  <w:tcW w:w="2998" w:type="dxa"/>
                </w:tcPr>
                <w:p w14:paraId="5D5D40C9" w14:textId="77777777" w:rsidR="001F2381" w:rsidRPr="00982700" w:rsidRDefault="001F2381" w:rsidP="001F2381">
                  <w:pPr>
                    <w:pStyle w:val="NoSpacing"/>
                    <w:jc w:val="left"/>
                  </w:pPr>
                  <w:r w:rsidRPr="00982700">
                    <w:t xml:space="preserve">Start </w:t>
                  </w:r>
                  <w:proofErr w:type="spellStart"/>
                  <w:r w:rsidRPr="00982700">
                    <w:t>PrEP</w:t>
                  </w:r>
                  <w:proofErr w:type="spellEnd"/>
                  <w:r w:rsidRPr="00982700">
                    <w:t xml:space="preserve">: TDF+FTC or </w:t>
                  </w:r>
                  <w:proofErr w:type="spellStart"/>
                  <w:r w:rsidRPr="00982700">
                    <w:t>lenacapavir</w:t>
                  </w:r>
                  <w:proofErr w:type="spellEnd"/>
                  <w:r w:rsidRPr="00982700">
                    <w:t xml:space="preserve"> may be offered.</w:t>
                  </w:r>
                </w:p>
                <w:p w14:paraId="5D8B4E96" w14:textId="77777777" w:rsidR="001F2381" w:rsidRPr="00982700" w:rsidRDefault="001F2381" w:rsidP="001F2381">
                  <w:pPr>
                    <w:pStyle w:val="NoSpacing"/>
                    <w:jc w:val="left"/>
                  </w:pPr>
                  <w:r w:rsidRPr="00982700">
                    <w:t xml:space="preserve">Refer for HBV evaluation and monitoring of liver function. </w:t>
                  </w:r>
                </w:p>
                <w:p w14:paraId="7D5973F0" w14:textId="77777777" w:rsidR="001F2381" w:rsidRPr="00B0683D" w:rsidRDefault="001F2381" w:rsidP="001F2381">
                  <w:pPr>
                    <w:pStyle w:val="NoSpacing"/>
                    <w:jc w:val="left"/>
                    <w:rPr>
                      <w:rFonts w:cs="Arial"/>
                    </w:rPr>
                  </w:pPr>
                </w:p>
              </w:tc>
            </w:tr>
          </w:tbl>
          <w:p w14:paraId="03C2E7DE" w14:textId="77777777" w:rsidR="00B0683D" w:rsidRPr="00B0683D" w:rsidRDefault="00B0683D" w:rsidP="00B0683D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 xml:space="preserve">Table 11.14: </w:t>
            </w:r>
            <w:proofErr w:type="spellStart"/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 xml:space="preserve"> eligibility determined by hepatitis B immune status</w:t>
            </w:r>
          </w:p>
          <w:p w14:paraId="6745E8D1" w14:textId="77777777" w:rsidR="00B0683D" w:rsidRPr="00B0683D" w:rsidRDefault="00B0683D" w:rsidP="00B0683D">
            <w:pPr>
              <w:pStyle w:val="NoSpacing"/>
              <w:rPr>
                <w:rStyle w:val="Strong"/>
                <w:rFonts w:cs="Arial"/>
              </w:rPr>
            </w:pPr>
          </w:p>
          <w:p w14:paraId="00018A79" w14:textId="77777777" w:rsidR="00B0683D" w:rsidRPr="00B0683D" w:rsidRDefault="00B0683D" w:rsidP="00B0683D">
            <w:pPr>
              <w:pStyle w:val="NoSpacing"/>
              <w:rPr>
                <w:rStyle w:val="Strong"/>
                <w:rFonts w:cs="Arial"/>
              </w:rPr>
            </w:pPr>
            <w:r w:rsidRPr="00B0683D">
              <w:rPr>
                <w:rStyle w:val="Strong"/>
                <w:rFonts w:cs="Arial"/>
              </w:rPr>
              <w:t>Note:</w:t>
            </w:r>
          </w:p>
          <w:p w14:paraId="5629F0B0" w14:textId="77777777" w:rsidR="00B0683D" w:rsidRPr="00B0683D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0683D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B0683D">
              <w:rPr>
                <w:rFonts w:ascii="Arial" w:hAnsi="Arial" w:cs="Arial"/>
                <w:sz w:val="18"/>
                <w:szCs w:val="18"/>
              </w:rPr>
              <w:t xml:space="preserve"> users with chronic hepatitis B infection who develop abnormal liver function tests should be referred for assessment.</w:t>
            </w:r>
          </w:p>
          <w:p w14:paraId="22037AA4" w14:textId="77777777" w:rsidR="00B0683D" w:rsidRPr="0079728A" w:rsidRDefault="00B0683D" w:rsidP="00B0683D">
            <w:pPr>
              <w:pStyle w:val="Heading6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PrEP</w:t>
            </w:r>
            <w:proofErr w:type="spellEnd"/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 xml:space="preserve"> follow up and monitoring</w:t>
            </w:r>
          </w:p>
          <w:tbl>
            <w:tblPr>
              <w:tblStyle w:val="SamplePHCTable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4557"/>
            </w:tblGrid>
            <w:tr w:rsidR="00B0683D" w:rsidRPr="00B0683D" w14:paraId="44DBC7F5" w14:textId="77777777" w:rsidTr="005751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122" w:type="dxa"/>
                </w:tcPr>
                <w:p w14:paraId="7A8499BA" w14:textId="77777777" w:rsidR="00B0683D" w:rsidRPr="00B0683D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Activity</w:t>
                  </w:r>
                </w:p>
              </w:tc>
              <w:tc>
                <w:tcPr>
                  <w:tcW w:w="4557" w:type="dxa"/>
                </w:tcPr>
                <w:p w14:paraId="4C0A5E98" w14:textId="77777777" w:rsidR="00B0683D" w:rsidRPr="00B0683D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Frequency</w:t>
                  </w:r>
                </w:p>
              </w:tc>
            </w:tr>
            <w:tr w:rsidR="00B0683D" w:rsidRPr="00B0683D" w14:paraId="65C2F35F" w14:textId="77777777" w:rsidTr="00575136">
              <w:tc>
                <w:tcPr>
                  <w:tcW w:w="2122" w:type="dxa"/>
                </w:tcPr>
                <w:p w14:paraId="3E92DA92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Confirmation of HIV-negative status</w:t>
                  </w:r>
                </w:p>
              </w:tc>
              <w:tc>
                <w:tcPr>
                  <w:tcW w:w="4557" w:type="dxa"/>
                </w:tcPr>
                <w:p w14:paraId="22D7E157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Oral Prep: At 1 month, then every 3 months.</w:t>
                  </w:r>
                </w:p>
                <w:p w14:paraId="4EEC9953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Injectable </w:t>
                  </w: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>: At 1 month then every 6 months</w:t>
                  </w:r>
                </w:p>
              </w:tc>
            </w:tr>
            <w:tr w:rsidR="00B0683D" w:rsidRPr="00B0683D" w14:paraId="45A13DB7" w14:textId="77777777" w:rsidTr="00575136">
              <w:tc>
                <w:tcPr>
                  <w:tcW w:w="2122" w:type="dxa"/>
                </w:tcPr>
                <w:p w14:paraId="02FF64C6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Address side effects</w:t>
                  </w:r>
                </w:p>
              </w:tc>
              <w:tc>
                <w:tcPr>
                  <w:tcW w:w="4557" w:type="dxa"/>
                </w:tcPr>
                <w:p w14:paraId="1AC9AA91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Every visit.</w:t>
                  </w:r>
                </w:p>
              </w:tc>
            </w:tr>
            <w:tr w:rsidR="00B0683D" w:rsidRPr="00B0683D" w14:paraId="377C557F" w14:textId="77777777" w:rsidTr="00575136">
              <w:tc>
                <w:tcPr>
                  <w:tcW w:w="2122" w:type="dxa"/>
                </w:tcPr>
                <w:p w14:paraId="55C9796F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 xml:space="preserve">Adherence </w:t>
                  </w:r>
                  <w:proofErr w:type="spellStart"/>
                  <w:r w:rsidRPr="00B0683D">
                    <w:rPr>
                      <w:rFonts w:cs="Arial"/>
                    </w:rPr>
                    <w:t>counseling</w:t>
                  </w:r>
                  <w:proofErr w:type="spellEnd"/>
                </w:p>
              </w:tc>
              <w:tc>
                <w:tcPr>
                  <w:tcW w:w="4557" w:type="dxa"/>
                </w:tcPr>
                <w:p w14:paraId="2D447D01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Every visit.</w:t>
                  </w:r>
                </w:p>
              </w:tc>
            </w:tr>
            <w:tr w:rsidR="00B0683D" w:rsidRPr="00B0683D" w14:paraId="196CD88B" w14:textId="77777777" w:rsidTr="00575136">
              <w:trPr>
                <w:trHeight w:val="2018"/>
              </w:trPr>
              <w:tc>
                <w:tcPr>
                  <w:tcW w:w="2122" w:type="dxa"/>
                </w:tcPr>
                <w:p w14:paraId="37E8C393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lastRenderedPageBreak/>
                    <w:t>Estimated creatinine clearance</w:t>
                  </w:r>
                </w:p>
              </w:tc>
              <w:tc>
                <w:tcPr>
                  <w:tcW w:w="4557" w:type="dxa"/>
                </w:tcPr>
                <w:p w14:paraId="4C7CDC2E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Frequency dependant on pregnancy status, age and co-morbidity:</w:t>
                  </w:r>
                </w:p>
                <w:tbl>
                  <w:tblPr>
                    <w:tblStyle w:val="TableGrid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021"/>
                    <w:gridCol w:w="1701"/>
                    <w:gridCol w:w="1609"/>
                  </w:tblGrid>
                  <w:tr w:rsidR="00B0683D" w:rsidRPr="00B0683D" w14:paraId="046E2ED6" w14:textId="77777777" w:rsidTr="00575136">
                    <w:tc>
                      <w:tcPr>
                        <w:tcW w:w="1179" w:type="pct"/>
                        <w:shd w:val="clear" w:color="auto" w:fill="F2F2F2" w:themeFill="background1" w:themeFillShade="F2"/>
                      </w:tcPr>
                      <w:p w14:paraId="6D17AD9F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  <w:b/>
                          </w:rPr>
                        </w:pPr>
                        <w:r w:rsidRPr="00B0683D">
                          <w:rPr>
                            <w:rFonts w:cs="Arial"/>
                            <w:b/>
                          </w:rPr>
                          <w:t xml:space="preserve">Age/ </w:t>
                        </w:r>
                      </w:p>
                      <w:p w14:paraId="406C8F98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  <w:b/>
                          </w:rPr>
                        </w:pPr>
                        <w:r w:rsidRPr="00B0683D">
                          <w:rPr>
                            <w:rFonts w:cs="Arial"/>
                            <w:b/>
                          </w:rPr>
                          <w:t>pregnant</w:t>
                        </w:r>
                      </w:p>
                    </w:tc>
                    <w:tc>
                      <w:tcPr>
                        <w:tcW w:w="1964" w:type="pct"/>
                        <w:shd w:val="clear" w:color="auto" w:fill="F2F2F2" w:themeFill="background1" w:themeFillShade="F2"/>
                      </w:tcPr>
                      <w:p w14:paraId="1FCD842D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  <w:b/>
                          </w:rPr>
                        </w:pPr>
                        <w:r w:rsidRPr="00B0683D">
                          <w:rPr>
                            <w:rFonts w:cs="Arial"/>
                            <w:b/>
                          </w:rPr>
                          <w:t>Co-morbidity</w:t>
                        </w:r>
                      </w:p>
                    </w:tc>
                    <w:tc>
                      <w:tcPr>
                        <w:tcW w:w="1858" w:type="pct"/>
                        <w:shd w:val="clear" w:color="auto" w:fill="F2F2F2" w:themeFill="background1" w:themeFillShade="F2"/>
                      </w:tcPr>
                      <w:p w14:paraId="2A54708A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  <w:b/>
                          </w:rPr>
                        </w:pPr>
                        <w:r w:rsidRPr="00B0683D">
                          <w:rPr>
                            <w:rFonts w:cs="Arial"/>
                            <w:b/>
                          </w:rPr>
                          <w:t>Creatinine</w:t>
                        </w:r>
                      </w:p>
                    </w:tc>
                  </w:tr>
                  <w:tr w:rsidR="00B0683D" w:rsidRPr="00B0683D" w14:paraId="41CE8CF7" w14:textId="77777777" w:rsidTr="00575136">
                    <w:tc>
                      <w:tcPr>
                        <w:tcW w:w="1179" w:type="pct"/>
                      </w:tcPr>
                      <w:p w14:paraId="12076CE9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&lt;30 years</w:t>
                        </w:r>
                      </w:p>
                    </w:tc>
                    <w:tc>
                      <w:tcPr>
                        <w:tcW w:w="1964" w:type="pct"/>
                      </w:tcPr>
                      <w:p w14:paraId="41E9DDB8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None</w:t>
                        </w:r>
                      </w:p>
                    </w:tc>
                    <w:tc>
                      <w:tcPr>
                        <w:tcW w:w="1858" w:type="pct"/>
                      </w:tcPr>
                      <w:p w14:paraId="43EBA2BA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n/a</w:t>
                        </w:r>
                      </w:p>
                    </w:tc>
                  </w:tr>
                  <w:tr w:rsidR="00B0683D" w:rsidRPr="00B0683D" w14:paraId="36E18CB0" w14:textId="77777777" w:rsidTr="00575136">
                    <w:tc>
                      <w:tcPr>
                        <w:tcW w:w="1179" w:type="pct"/>
                      </w:tcPr>
                      <w:p w14:paraId="2C02BFF1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30–49 years</w:t>
                        </w:r>
                      </w:p>
                    </w:tc>
                    <w:tc>
                      <w:tcPr>
                        <w:tcW w:w="1964" w:type="pct"/>
                      </w:tcPr>
                      <w:p w14:paraId="008A3CB9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None</w:t>
                        </w:r>
                      </w:p>
                    </w:tc>
                    <w:tc>
                      <w:tcPr>
                        <w:tcW w:w="1858" w:type="pct"/>
                      </w:tcPr>
                      <w:p w14:paraId="52483336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Baseline</w:t>
                        </w:r>
                      </w:p>
                    </w:tc>
                  </w:tr>
                  <w:tr w:rsidR="00B0683D" w:rsidRPr="00B0683D" w14:paraId="5D3DCDDE" w14:textId="77777777" w:rsidTr="00575136">
                    <w:tc>
                      <w:tcPr>
                        <w:tcW w:w="1179" w:type="pct"/>
                      </w:tcPr>
                      <w:p w14:paraId="05DF1ABA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176ED9">
                          <w:rPr>
                            <w:rFonts w:cs="Arial"/>
                          </w:rPr>
                          <w:t>&lt;50 years</w:t>
                        </w:r>
                      </w:p>
                    </w:tc>
                    <w:tc>
                      <w:tcPr>
                        <w:tcW w:w="1964" w:type="pct"/>
                      </w:tcPr>
                      <w:p w14:paraId="5B10FC6E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Diabetes/ hypertension</w:t>
                        </w:r>
                      </w:p>
                    </w:tc>
                    <w:tc>
                      <w:tcPr>
                        <w:tcW w:w="1858" w:type="pct"/>
                      </w:tcPr>
                      <w:p w14:paraId="35B0DDE8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Baseline, annually</w:t>
                        </w:r>
                      </w:p>
                    </w:tc>
                  </w:tr>
                  <w:tr w:rsidR="00B0683D" w:rsidRPr="00B0683D" w14:paraId="497FF4A8" w14:textId="77777777" w:rsidTr="00575136">
                    <w:tc>
                      <w:tcPr>
                        <w:tcW w:w="1179" w:type="pct"/>
                      </w:tcPr>
                      <w:p w14:paraId="270FAD85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≥ 50 years</w:t>
                        </w:r>
                      </w:p>
                    </w:tc>
                    <w:tc>
                      <w:tcPr>
                        <w:tcW w:w="1964" w:type="pct"/>
                      </w:tcPr>
                      <w:p w14:paraId="1F808210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None</w:t>
                        </w:r>
                      </w:p>
                    </w:tc>
                    <w:tc>
                      <w:tcPr>
                        <w:tcW w:w="1858" w:type="pct"/>
                      </w:tcPr>
                      <w:p w14:paraId="200A62E0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  <w:color w:val="2E74B5" w:themeColor="accent1" w:themeShade="BF"/>
                          </w:rPr>
                        </w:pPr>
                        <w:r w:rsidRPr="00B0683D">
                          <w:rPr>
                            <w:rFonts w:cs="Arial"/>
                          </w:rPr>
                          <w:t>Baseline</w:t>
                        </w:r>
                      </w:p>
                    </w:tc>
                  </w:tr>
                  <w:tr w:rsidR="00B0683D" w:rsidRPr="00B0683D" w14:paraId="5577C50D" w14:textId="77777777" w:rsidTr="00575136">
                    <w:tc>
                      <w:tcPr>
                        <w:tcW w:w="1179" w:type="pct"/>
                      </w:tcPr>
                      <w:p w14:paraId="4CD99D3C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≥ 50 years</w:t>
                        </w:r>
                      </w:p>
                    </w:tc>
                    <w:tc>
                      <w:tcPr>
                        <w:tcW w:w="1964" w:type="pct"/>
                      </w:tcPr>
                      <w:p w14:paraId="5371D638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Diabetes/ hypertension</w:t>
                        </w:r>
                      </w:p>
                    </w:tc>
                    <w:tc>
                      <w:tcPr>
                        <w:tcW w:w="1858" w:type="pct"/>
                      </w:tcPr>
                      <w:p w14:paraId="513410DD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Baseline, annually</w:t>
                        </w:r>
                      </w:p>
                    </w:tc>
                  </w:tr>
                  <w:tr w:rsidR="00B0683D" w:rsidRPr="00B0683D" w14:paraId="1CE112B2" w14:textId="77777777" w:rsidTr="00575136">
                    <w:tc>
                      <w:tcPr>
                        <w:tcW w:w="1179" w:type="pct"/>
                      </w:tcPr>
                      <w:p w14:paraId="6ECF6A99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Pregnant</w:t>
                        </w:r>
                      </w:p>
                    </w:tc>
                    <w:tc>
                      <w:tcPr>
                        <w:tcW w:w="1964" w:type="pct"/>
                      </w:tcPr>
                      <w:p w14:paraId="2639587C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n/a</w:t>
                        </w:r>
                      </w:p>
                    </w:tc>
                    <w:tc>
                      <w:tcPr>
                        <w:tcW w:w="1858" w:type="pct"/>
                      </w:tcPr>
                      <w:p w14:paraId="01044BEA" w14:textId="77777777" w:rsidR="00B0683D" w:rsidRPr="00B0683D" w:rsidRDefault="00B0683D" w:rsidP="00B0683D">
                        <w:pPr>
                          <w:pStyle w:val="NoSpacing"/>
                          <w:rPr>
                            <w:rFonts w:cs="Arial"/>
                          </w:rPr>
                        </w:pPr>
                        <w:r w:rsidRPr="00B0683D">
                          <w:rPr>
                            <w:rFonts w:cs="Arial"/>
                          </w:rPr>
                          <w:t>Baseline, 3 &amp; 6 months</w:t>
                        </w:r>
                      </w:p>
                    </w:tc>
                  </w:tr>
                </w:tbl>
                <w:p w14:paraId="01970379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</w:p>
              </w:tc>
            </w:tr>
            <w:tr w:rsidR="00B0683D" w:rsidRPr="00B0683D" w14:paraId="5795A028" w14:textId="77777777" w:rsidTr="00575136">
              <w:tc>
                <w:tcPr>
                  <w:tcW w:w="2122" w:type="dxa"/>
                </w:tcPr>
                <w:p w14:paraId="7FBC0254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STI screening and treatment</w:t>
                  </w:r>
                </w:p>
              </w:tc>
              <w:tc>
                <w:tcPr>
                  <w:tcW w:w="4557" w:type="dxa"/>
                </w:tcPr>
                <w:p w14:paraId="6AB25C8E" w14:textId="77777777" w:rsidR="00B0683D" w:rsidRPr="00B0683D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B0683D">
                    <w:rPr>
                      <w:rFonts w:cs="Arial"/>
                    </w:rPr>
                    <w:t>Every visit.</w:t>
                  </w:r>
                </w:p>
              </w:tc>
            </w:tr>
            <w:tr w:rsidR="00B0683D" w:rsidRPr="00B0683D" w14:paraId="6285F1EF" w14:textId="77777777" w:rsidTr="00575136">
              <w:tc>
                <w:tcPr>
                  <w:tcW w:w="2122" w:type="dxa"/>
                </w:tcPr>
                <w:p w14:paraId="222DFFF1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 xml:space="preserve"> supply</w:t>
                  </w:r>
                </w:p>
              </w:tc>
              <w:tc>
                <w:tcPr>
                  <w:tcW w:w="4557" w:type="dxa"/>
                </w:tcPr>
                <w:p w14:paraId="59C0791F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Oral </w:t>
                  </w: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 xml:space="preserve"> (TDF+FTC): 1 month supply, then 3 monthly supply.</w:t>
                  </w:r>
                </w:p>
                <w:p w14:paraId="47F3796C" w14:textId="21A2B42D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proofErr w:type="spellStart"/>
                  <w:r w:rsidRPr="0079728A">
                    <w:rPr>
                      <w:rFonts w:cs="Arial"/>
                    </w:rPr>
                    <w:t>Lenacapavir</w:t>
                  </w:r>
                  <w:proofErr w:type="spellEnd"/>
                  <w:r w:rsidRPr="0079728A">
                    <w:rPr>
                      <w:rFonts w:cs="Arial"/>
                    </w:rPr>
                    <w:t>. Loading dose tablets: Day 1 tablets to be administered during clinic visit with supply for Day 2. Injections to be administered by healthcare staff</w:t>
                  </w:r>
                  <w:r w:rsidR="0079728A" w:rsidRPr="0079728A">
                    <w:rPr>
                      <w:rFonts w:cs="Arial"/>
                    </w:rPr>
                    <w:t xml:space="preserve"> every six months</w:t>
                  </w:r>
                  <w:r w:rsidRPr="0079728A">
                    <w:rPr>
                      <w:rFonts w:cs="Arial"/>
                    </w:rPr>
                    <w:t xml:space="preserve">. </w:t>
                  </w:r>
                </w:p>
              </w:tc>
            </w:tr>
            <w:tr w:rsidR="00B0683D" w:rsidRPr="00B0683D" w14:paraId="28A84920" w14:textId="77777777" w:rsidTr="00575136">
              <w:tc>
                <w:tcPr>
                  <w:tcW w:w="2122" w:type="dxa"/>
                </w:tcPr>
                <w:p w14:paraId="479F4586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Behavioural sexual risk reduction </w:t>
                  </w:r>
                  <w:proofErr w:type="spellStart"/>
                  <w:r w:rsidRPr="0079728A">
                    <w:rPr>
                      <w:rFonts w:cs="Arial"/>
                    </w:rPr>
                    <w:t>counseling</w:t>
                  </w:r>
                  <w:proofErr w:type="spellEnd"/>
                </w:p>
              </w:tc>
              <w:tc>
                <w:tcPr>
                  <w:tcW w:w="4557" w:type="dxa"/>
                </w:tcPr>
                <w:p w14:paraId="443B0E81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Every visit.</w:t>
                  </w:r>
                </w:p>
              </w:tc>
            </w:tr>
          </w:tbl>
          <w:p w14:paraId="5B0A176E" w14:textId="77777777" w:rsidR="00B0683D" w:rsidRPr="00B0683D" w:rsidRDefault="00B0683D" w:rsidP="00B068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 xml:space="preserve">Table 11.15: Monitoring of person(s) on </w:t>
            </w:r>
            <w:proofErr w:type="spellStart"/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>PrEP</w:t>
            </w:r>
            <w:proofErr w:type="spellEnd"/>
          </w:p>
          <w:p w14:paraId="2D31C9C1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5AF14" w14:textId="77777777" w:rsidR="00B0683D" w:rsidRPr="0079728A" w:rsidRDefault="00B0683D" w:rsidP="00B0683D">
            <w:pPr>
              <w:pStyle w:val="Heading5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PREP REGIMENS AND SAFETY</w:t>
            </w:r>
          </w:p>
          <w:p w14:paraId="5CEA746C" w14:textId="77777777" w:rsidR="00B0683D" w:rsidRPr="0079728A" w:rsidRDefault="00B0683D" w:rsidP="00B0683D">
            <w:pPr>
              <w:pStyle w:val="Heading5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 xml:space="preserve">ORAL </w:t>
            </w:r>
            <w:proofErr w:type="spellStart"/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PREp</w:t>
            </w:r>
            <w:proofErr w:type="spellEnd"/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 xml:space="preserve"> (TDF-FTC) REGIMEN </w:t>
            </w:r>
          </w:p>
          <w:p w14:paraId="29812B21" w14:textId="77777777" w:rsidR="00B0683D" w:rsidRPr="00B0683D" w:rsidRDefault="00B0683D" w:rsidP="00B0683D">
            <w:pPr>
              <w:pStyle w:val="NoSpacing"/>
              <w:rPr>
                <w:rFonts w:cs="Arial"/>
              </w:rPr>
            </w:pPr>
            <w:r w:rsidRPr="00B0683D">
              <w:rPr>
                <w:rFonts w:cs="Arial"/>
              </w:rPr>
              <w:t xml:space="preserve">A fixed dose combination formulation of: </w:t>
            </w:r>
          </w:p>
          <w:p w14:paraId="5B6046EF" w14:textId="77777777" w:rsidR="00B0683D" w:rsidRPr="00B0683D" w:rsidRDefault="00B0683D" w:rsidP="00B0683D">
            <w:pPr>
              <w:pStyle w:val="BulletMedicine"/>
              <w:jc w:val="left"/>
              <w:rPr>
                <w:rFonts w:cs="Arial"/>
              </w:rPr>
            </w:pPr>
            <w:proofErr w:type="spellStart"/>
            <w:r w:rsidRPr="00B0683D">
              <w:rPr>
                <w:rFonts w:cs="Arial"/>
              </w:rPr>
              <w:t>Tenofovir</w:t>
            </w:r>
            <w:proofErr w:type="spellEnd"/>
            <w:r w:rsidRPr="00B0683D">
              <w:rPr>
                <w:rFonts w:cs="Arial"/>
              </w:rPr>
              <w:t xml:space="preserve"> </w:t>
            </w:r>
            <w:proofErr w:type="spellStart"/>
            <w:r w:rsidRPr="00B0683D">
              <w:rPr>
                <w:rFonts w:cs="Arial"/>
              </w:rPr>
              <w:t>disoproxil</w:t>
            </w:r>
            <w:proofErr w:type="spellEnd"/>
            <w:r w:rsidRPr="00B0683D">
              <w:rPr>
                <w:rFonts w:cs="Arial"/>
              </w:rPr>
              <w:t xml:space="preserve"> </w:t>
            </w:r>
            <w:proofErr w:type="spellStart"/>
            <w:r w:rsidRPr="00B0683D">
              <w:rPr>
                <w:rFonts w:cs="Arial"/>
              </w:rPr>
              <w:t>fumarate</w:t>
            </w:r>
            <w:proofErr w:type="spellEnd"/>
            <w:r w:rsidRPr="00B0683D">
              <w:rPr>
                <w:rFonts w:cs="Arial"/>
              </w:rPr>
              <w:t xml:space="preserve"> (TDF)</w:t>
            </w:r>
            <w:r w:rsidRPr="00B0683D">
              <w:rPr>
                <w:rFonts w:cs="Arial"/>
              </w:rPr>
              <w:fldChar w:fldCharType="begin"/>
            </w:r>
            <w:r w:rsidRPr="00B0683D">
              <w:rPr>
                <w:rFonts w:cs="Arial"/>
              </w:rPr>
              <w:instrText xml:space="preserve"> XE "Tenofovir (TDF)" \f "m" </w:instrText>
            </w:r>
            <w:r w:rsidRPr="00B0683D">
              <w:rPr>
                <w:rFonts w:cs="Arial"/>
              </w:rPr>
              <w:fldChar w:fldCharType="end"/>
            </w:r>
            <w:r w:rsidRPr="00B0683D">
              <w:rPr>
                <w:rFonts w:cs="Arial"/>
              </w:rPr>
              <w:t xml:space="preserve">, oral, 300 mg daily. </w:t>
            </w:r>
          </w:p>
          <w:p w14:paraId="178E36A3" w14:textId="77777777" w:rsidR="00B0683D" w:rsidRPr="00B0683D" w:rsidRDefault="00B0683D" w:rsidP="00B0683D">
            <w:pPr>
              <w:pStyle w:val="NoSpacing"/>
              <w:rPr>
                <w:rStyle w:val="Strong"/>
                <w:rFonts w:cs="Arial"/>
              </w:rPr>
            </w:pPr>
            <w:r w:rsidRPr="00B0683D">
              <w:rPr>
                <w:rStyle w:val="Strong"/>
                <w:rFonts w:cs="Arial"/>
              </w:rPr>
              <w:t>AND</w:t>
            </w:r>
          </w:p>
          <w:p w14:paraId="4293D807" w14:textId="77777777" w:rsidR="00B0683D" w:rsidRPr="00B0683D" w:rsidRDefault="00B0683D" w:rsidP="00B0683D">
            <w:pPr>
              <w:pStyle w:val="BulletMedicine"/>
              <w:jc w:val="left"/>
              <w:rPr>
                <w:rFonts w:cs="Arial"/>
              </w:rPr>
            </w:pPr>
            <w:proofErr w:type="spellStart"/>
            <w:r w:rsidRPr="00B0683D">
              <w:rPr>
                <w:rFonts w:cs="Arial"/>
              </w:rPr>
              <w:t>Emtricitabine</w:t>
            </w:r>
            <w:proofErr w:type="spellEnd"/>
            <w:r w:rsidRPr="00B0683D">
              <w:rPr>
                <w:rFonts w:cs="Arial"/>
              </w:rPr>
              <w:fldChar w:fldCharType="begin"/>
            </w:r>
            <w:r w:rsidRPr="00B0683D">
              <w:rPr>
                <w:rFonts w:cs="Arial"/>
              </w:rPr>
              <w:instrText xml:space="preserve"> XE "Emtricitabine (FTC)" \f "m" </w:instrText>
            </w:r>
            <w:r w:rsidRPr="00B0683D">
              <w:rPr>
                <w:rFonts w:cs="Arial"/>
              </w:rPr>
              <w:fldChar w:fldCharType="end"/>
            </w:r>
            <w:r w:rsidRPr="00B0683D">
              <w:rPr>
                <w:rFonts w:cs="Arial"/>
              </w:rPr>
              <w:t>, oral, 200 mg daily.</w:t>
            </w:r>
          </w:p>
          <w:p w14:paraId="057BCEA2" w14:textId="77777777" w:rsidR="00B0683D" w:rsidRPr="00B0683D" w:rsidRDefault="00B0683D" w:rsidP="00B0683D">
            <w:pPr>
              <w:pStyle w:val="NoSpacing"/>
              <w:rPr>
                <w:rFonts w:cs="Arial"/>
              </w:rPr>
            </w:pPr>
            <w:r w:rsidRPr="00B0683D">
              <w:rPr>
                <w:rStyle w:val="Strong"/>
                <w:rFonts w:cs="Arial"/>
              </w:rPr>
              <w:t>Note:</w:t>
            </w:r>
            <w:r w:rsidRPr="00B0683D">
              <w:rPr>
                <w:rFonts w:cs="Arial"/>
              </w:rPr>
              <w:t xml:space="preserve"> To reach adequate protective levels in tissues, 7 days of daily dosing are required. Individuals should be counselled that additional barrier protection should be used until therapeutic levels achieved.</w:t>
            </w:r>
          </w:p>
          <w:p w14:paraId="79B2DA97" w14:textId="77777777" w:rsidR="00B0683D" w:rsidRPr="00B0683D" w:rsidRDefault="00B0683D" w:rsidP="00B068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78C678" w14:textId="77777777" w:rsidR="00B0683D" w:rsidRPr="0079728A" w:rsidRDefault="00B0683D" w:rsidP="00B0683D">
            <w:pPr>
              <w:pStyle w:val="Heading5"/>
              <w:spacing w:before="0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SAFETY</w:t>
            </w:r>
          </w:p>
          <w:p w14:paraId="7D62CDEB" w14:textId="77777777" w:rsidR="00B0683D" w:rsidRPr="0079728A" w:rsidRDefault="00B0683D" w:rsidP="00B0683D">
            <w:pPr>
              <w:pStyle w:val="Heading6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Relevant medicine interaction information with TDF + FTC combination</w:t>
            </w:r>
          </w:p>
          <w:tbl>
            <w:tblPr>
              <w:tblStyle w:val="SamplePHCTable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2106"/>
              <w:gridCol w:w="6022"/>
            </w:tblGrid>
            <w:tr w:rsidR="0079728A" w:rsidRPr="0079728A" w14:paraId="447A20E9" w14:textId="77777777" w:rsidTr="005751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14:paraId="5282B8E4" w14:textId="77777777" w:rsidR="00B0683D" w:rsidRPr="0079728A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Medicine</w:t>
                  </w:r>
                </w:p>
              </w:tc>
              <w:tc>
                <w:tcPr>
                  <w:tcW w:w="0" w:type="auto"/>
                </w:tcPr>
                <w:p w14:paraId="7BFBDADE" w14:textId="77777777" w:rsidR="00B0683D" w:rsidRPr="0079728A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Interaction information</w:t>
                  </w:r>
                </w:p>
              </w:tc>
              <w:tc>
                <w:tcPr>
                  <w:tcW w:w="0" w:type="auto"/>
                </w:tcPr>
                <w:p w14:paraId="080860E7" w14:textId="77777777" w:rsidR="00B0683D" w:rsidRPr="0079728A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Advise</w:t>
                  </w:r>
                </w:p>
              </w:tc>
            </w:tr>
            <w:tr w:rsidR="0079728A" w:rsidRPr="0079728A" w14:paraId="56DD2FFA" w14:textId="77777777" w:rsidTr="00575136">
              <w:tc>
                <w:tcPr>
                  <w:tcW w:w="0" w:type="auto"/>
                </w:tcPr>
                <w:p w14:paraId="1C4D5DD1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Standard TB medicines</w:t>
                  </w:r>
                </w:p>
              </w:tc>
              <w:tc>
                <w:tcPr>
                  <w:tcW w:w="0" w:type="auto"/>
                </w:tcPr>
                <w:p w14:paraId="5F14E63A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No interaction.</w:t>
                  </w:r>
                </w:p>
              </w:tc>
              <w:tc>
                <w:tcPr>
                  <w:tcW w:w="0" w:type="auto"/>
                </w:tcPr>
                <w:p w14:paraId="3FD12DF7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No need for dose adjustments.</w:t>
                  </w:r>
                </w:p>
              </w:tc>
            </w:tr>
            <w:tr w:rsidR="0079728A" w:rsidRPr="0079728A" w14:paraId="0FDB714C" w14:textId="77777777" w:rsidTr="00575136">
              <w:tc>
                <w:tcPr>
                  <w:tcW w:w="0" w:type="auto"/>
                </w:tcPr>
                <w:p w14:paraId="7E865C17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Hormonal contraception</w:t>
                  </w:r>
                </w:p>
              </w:tc>
              <w:tc>
                <w:tcPr>
                  <w:tcW w:w="0" w:type="auto"/>
                </w:tcPr>
                <w:p w14:paraId="0387C922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No interaction.</w:t>
                  </w:r>
                </w:p>
              </w:tc>
              <w:tc>
                <w:tcPr>
                  <w:tcW w:w="0" w:type="auto"/>
                </w:tcPr>
                <w:p w14:paraId="0B3BCAB0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Hormonal contraception does not affect </w:t>
                  </w: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 xml:space="preserve"> effectiveness, nor does </w:t>
                  </w: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 xml:space="preserve"> affect hormonal contraceptive effectiveness.</w:t>
                  </w:r>
                </w:p>
              </w:tc>
            </w:tr>
            <w:tr w:rsidR="0079728A" w:rsidRPr="0079728A" w14:paraId="3C61F411" w14:textId="77777777" w:rsidTr="00575136">
              <w:tc>
                <w:tcPr>
                  <w:tcW w:w="0" w:type="auto"/>
                </w:tcPr>
                <w:p w14:paraId="70961C4A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Nephrotoxic medicines</w:t>
                  </w:r>
                </w:p>
              </w:tc>
              <w:tc>
                <w:tcPr>
                  <w:tcW w:w="0" w:type="auto"/>
                </w:tcPr>
                <w:p w14:paraId="49C83F1D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Increase risk of renal side effects.</w:t>
                  </w:r>
                </w:p>
              </w:tc>
              <w:tc>
                <w:tcPr>
                  <w:tcW w:w="0" w:type="auto"/>
                </w:tcPr>
                <w:p w14:paraId="222A1BAC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Avoid daily oral </w:t>
                  </w: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 xml:space="preserve"> regimen. </w:t>
                  </w:r>
                </w:p>
                <w:p w14:paraId="44744AAF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Advise other prevention methods or consider injectable </w:t>
                  </w: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 xml:space="preserve"> regimen.</w:t>
                  </w:r>
                </w:p>
              </w:tc>
            </w:tr>
          </w:tbl>
          <w:p w14:paraId="14DCF783" w14:textId="77777777" w:rsidR="00B0683D" w:rsidRPr="0079728A" w:rsidRDefault="00B0683D" w:rsidP="00B068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9728A">
              <w:rPr>
                <w:rStyle w:val="Strong"/>
                <w:rFonts w:ascii="Arial" w:hAnsi="Arial" w:cs="Arial"/>
                <w:sz w:val="18"/>
                <w:szCs w:val="18"/>
              </w:rPr>
              <w:t xml:space="preserve">Table 11.16: Oral </w:t>
            </w:r>
            <w:proofErr w:type="spellStart"/>
            <w:r w:rsidRPr="0079728A">
              <w:rPr>
                <w:rStyle w:val="Strong"/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79728A">
              <w:rPr>
                <w:rStyle w:val="Strong"/>
                <w:rFonts w:ascii="Arial" w:hAnsi="Arial" w:cs="Arial"/>
                <w:sz w:val="18"/>
                <w:szCs w:val="18"/>
              </w:rPr>
              <w:t xml:space="preserve"> drug interactions</w:t>
            </w:r>
          </w:p>
          <w:p w14:paraId="7C100D11" w14:textId="77777777" w:rsidR="00B0683D" w:rsidRPr="00B0683D" w:rsidRDefault="00B0683D" w:rsidP="00B0683D">
            <w:pPr>
              <w:pStyle w:val="Heading6"/>
              <w:spacing w:before="0"/>
              <w:outlineLvl w:val="5"/>
              <w:rPr>
                <w:rFonts w:ascii="Arial" w:hAnsi="Arial" w:cs="Arial"/>
                <w:sz w:val="18"/>
                <w:szCs w:val="18"/>
              </w:rPr>
            </w:pPr>
          </w:p>
          <w:p w14:paraId="0ED23306" w14:textId="77777777" w:rsidR="00B0683D" w:rsidRPr="0079728A" w:rsidRDefault="00B0683D" w:rsidP="00B0683D">
            <w:pPr>
              <w:pStyle w:val="Heading6"/>
              <w:spacing w:before="0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Side effects of TDF + FTC combination</w:t>
            </w:r>
          </w:p>
          <w:tbl>
            <w:tblPr>
              <w:tblStyle w:val="SamplePHCTable"/>
              <w:tblW w:w="0" w:type="auto"/>
              <w:tblLook w:val="0480" w:firstRow="0" w:lastRow="0" w:firstColumn="1" w:lastColumn="0" w:noHBand="0" w:noVBand="1"/>
            </w:tblPr>
            <w:tblGrid>
              <w:gridCol w:w="704"/>
              <w:gridCol w:w="5975"/>
            </w:tblGrid>
            <w:tr w:rsidR="0079728A" w:rsidRPr="0079728A" w14:paraId="55F37099" w14:textId="77777777" w:rsidTr="00575136">
              <w:tc>
                <w:tcPr>
                  <w:tcW w:w="704" w:type="dxa"/>
                </w:tcPr>
                <w:p w14:paraId="30FC2BBF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Major </w:t>
                  </w:r>
                </w:p>
              </w:tc>
              <w:tc>
                <w:tcPr>
                  <w:tcW w:w="5975" w:type="dxa"/>
                </w:tcPr>
                <w:p w14:paraId="55270B90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Renal toxicity, decreased bone mineral density, extremely small risk of lactic acidosis and hepatic </w:t>
                  </w:r>
                  <w:proofErr w:type="spellStart"/>
                  <w:r w:rsidRPr="0079728A">
                    <w:rPr>
                      <w:rFonts w:cs="Arial"/>
                    </w:rPr>
                    <w:t>steatosis</w:t>
                  </w:r>
                  <w:proofErr w:type="spellEnd"/>
                  <w:r w:rsidRPr="0079728A">
                    <w:rPr>
                      <w:rFonts w:cs="Arial"/>
                    </w:rPr>
                    <w:t xml:space="preserve"> or </w:t>
                  </w:r>
                  <w:proofErr w:type="spellStart"/>
                  <w:r w:rsidRPr="0079728A">
                    <w:rPr>
                      <w:rFonts w:cs="Arial"/>
                    </w:rPr>
                    <w:t>steatohepatitis</w:t>
                  </w:r>
                  <w:proofErr w:type="spellEnd"/>
                  <w:r w:rsidRPr="0079728A">
                    <w:rPr>
                      <w:rFonts w:cs="Arial"/>
                    </w:rPr>
                    <w:t>.</w:t>
                  </w:r>
                </w:p>
              </w:tc>
            </w:tr>
            <w:tr w:rsidR="0079728A" w:rsidRPr="0079728A" w14:paraId="14103EC4" w14:textId="77777777" w:rsidTr="00575136">
              <w:tc>
                <w:tcPr>
                  <w:tcW w:w="704" w:type="dxa"/>
                </w:tcPr>
                <w:p w14:paraId="77337CE3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Minor</w:t>
                  </w:r>
                </w:p>
              </w:tc>
              <w:tc>
                <w:tcPr>
                  <w:tcW w:w="5975" w:type="dxa"/>
                </w:tcPr>
                <w:p w14:paraId="0D4B1278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Gastrointestinal symptoms (diarrhoea, nausea, vomiting and flatulence), unintentional weight loss.</w:t>
                  </w:r>
                </w:p>
              </w:tc>
            </w:tr>
          </w:tbl>
          <w:p w14:paraId="4E44AF62" w14:textId="77777777" w:rsidR="00B0683D" w:rsidRPr="0079728A" w:rsidRDefault="00B0683D" w:rsidP="00B068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9728A">
              <w:rPr>
                <w:rStyle w:val="Strong"/>
                <w:rFonts w:ascii="Arial" w:hAnsi="Arial" w:cs="Arial"/>
                <w:sz w:val="18"/>
                <w:szCs w:val="18"/>
              </w:rPr>
              <w:t xml:space="preserve">Table 11.17: Side effects of oral </w:t>
            </w:r>
            <w:proofErr w:type="spellStart"/>
            <w:r w:rsidRPr="0079728A">
              <w:rPr>
                <w:rStyle w:val="Strong"/>
                <w:rFonts w:ascii="Arial" w:hAnsi="Arial" w:cs="Arial"/>
                <w:sz w:val="18"/>
                <w:szCs w:val="18"/>
              </w:rPr>
              <w:t>PrEP</w:t>
            </w:r>
            <w:proofErr w:type="spellEnd"/>
          </w:p>
          <w:p w14:paraId="3C0915B3" w14:textId="77777777" w:rsidR="00B0683D" w:rsidRPr="0079728A" w:rsidRDefault="00B0683D" w:rsidP="00B068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728A">
              <w:rPr>
                <w:rFonts w:ascii="Arial" w:hAnsi="Arial" w:cs="Arial"/>
                <w:b/>
                <w:sz w:val="18"/>
                <w:szCs w:val="18"/>
              </w:rPr>
              <w:t>Note:</w:t>
            </w:r>
          </w:p>
          <w:p w14:paraId="4392385D" w14:textId="77777777" w:rsidR="00B0683D" w:rsidRPr="0079728A" w:rsidRDefault="00B0683D" w:rsidP="00B068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28A">
              <w:rPr>
                <w:rFonts w:ascii="Arial" w:hAnsi="Arial" w:cs="Arial"/>
                <w:sz w:val="18"/>
                <w:szCs w:val="18"/>
              </w:rPr>
              <w:t>Minor side effects are relatively common (approximately 1 in 10 individuals in the first 1 to 2 months).</w:t>
            </w:r>
          </w:p>
          <w:p w14:paraId="5B89146F" w14:textId="77777777" w:rsidR="00B0683D" w:rsidRPr="0079728A" w:rsidRDefault="00B0683D" w:rsidP="00B068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28A">
              <w:rPr>
                <w:rFonts w:ascii="Arial" w:hAnsi="Arial" w:cs="Arial"/>
                <w:sz w:val="18"/>
                <w:szCs w:val="18"/>
              </w:rPr>
              <w:t>Mild and self-limiting; do not require discontinuation.</w:t>
            </w:r>
          </w:p>
          <w:p w14:paraId="34E1DF8F" w14:textId="77777777" w:rsidR="00B0683D" w:rsidRPr="0079728A" w:rsidRDefault="00B0683D" w:rsidP="00B0683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28A">
              <w:rPr>
                <w:rFonts w:ascii="Arial" w:hAnsi="Arial" w:cs="Arial"/>
                <w:sz w:val="18"/>
                <w:szCs w:val="18"/>
              </w:rPr>
              <w:t>Renal toxicity and decreased bone mineral density usually reversible upon stopping TDF + FTC.</w:t>
            </w:r>
          </w:p>
          <w:p w14:paraId="584A46BE" w14:textId="77777777" w:rsidR="00B0683D" w:rsidRPr="00B0683D" w:rsidRDefault="00B0683D" w:rsidP="00B068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88C00A" w14:textId="02EEFBBE" w:rsidR="00B0683D" w:rsidRPr="0079728A" w:rsidRDefault="00B0683D" w:rsidP="00B0683D">
            <w:pPr>
              <w:pStyle w:val="Heading5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 xml:space="preserve">INJECTABLE </w:t>
            </w:r>
            <w:r w:rsidR="00061FD5">
              <w:rPr>
                <w:rFonts w:ascii="Arial" w:hAnsi="Arial" w:cs="Arial"/>
                <w:color w:val="auto"/>
                <w:sz w:val="18"/>
                <w:szCs w:val="18"/>
              </w:rPr>
              <w:t xml:space="preserve">PREP </w:t>
            </w:r>
            <w:bookmarkStart w:id="0" w:name="_GoBack"/>
            <w:bookmarkEnd w:id="0"/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(LENACAPAVIR) REGIMEN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5335"/>
            </w:tblGrid>
            <w:tr w:rsidR="0079728A" w:rsidRPr="0079728A" w14:paraId="7566CC89" w14:textId="77777777" w:rsidTr="00575136">
              <w:tc>
                <w:tcPr>
                  <w:tcW w:w="1413" w:type="dxa"/>
                </w:tcPr>
                <w:p w14:paraId="7D3C1160" w14:textId="77777777" w:rsidR="00B0683D" w:rsidRPr="0079728A" w:rsidRDefault="00B0683D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Initiation</w:t>
                  </w:r>
                </w:p>
                <w:p w14:paraId="0473969A" w14:textId="77777777" w:rsidR="00B0683D" w:rsidRPr="0079728A" w:rsidRDefault="00B0683D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Day 1</w:t>
                  </w:r>
                </w:p>
              </w:tc>
              <w:tc>
                <w:tcPr>
                  <w:tcW w:w="5335" w:type="dxa"/>
                </w:tcPr>
                <w:p w14:paraId="616535D6" w14:textId="7CD09E67" w:rsidR="00B0683D" w:rsidRPr="0079728A" w:rsidRDefault="0079728A" w:rsidP="00B0683D">
                  <w:pPr>
                    <w:pStyle w:val="BulletMedicin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LEN</w:t>
                  </w:r>
                  <w:r w:rsidR="00B0683D" w:rsidRPr="0079728A">
                    <w:rPr>
                      <w:rFonts w:cs="Arial"/>
                    </w:rPr>
                    <w:t>, subcutaneous injection, 927 mg (2X1.5mL injections)</w:t>
                  </w:r>
                </w:p>
                <w:p w14:paraId="02CF2CCF" w14:textId="77777777" w:rsidR="00B0683D" w:rsidRPr="0079728A" w:rsidRDefault="00B0683D" w:rsidP="00B0683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AND</w:t>
                  </w:r>
                </w:p>
                <w:p w14:paraId="60F6C169" w14:textId="250BF127" w:rsidR="00B0683D" w:rsidRPr="0079728A" w:rsidRDefault="0079728A" w:rsidP="00B0683D">
                  <w:pPr>
                    <w:pStyle w:val="BulletMedicin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LEN</w:t>
                  </w:r>
                  <w:r w:rsidR="00B0683D" w:rsidRPr="0079728A">
                    <w:rPr>
                      <w:rFonts w:cs="Arial"/>
                    </w:rPr>
                    <w:t>, oral, 600 mg (2 X 300 mg tablets)</w:t>
                  </w:r>
                </w:p>
              </w:tc>
            </w:tr>
            <w:tr w:rsidR="0079728A" w:rsidRPr="0079728A" w14:paraId="6DFFB54A" w14:textId="77777777" w:rsidTr="00575136">
              <w:tc>
                <w:tcPr>
                  <w:tcW w:w="1413" w:type="dxa"/>
                </w:tcPr>
                <w:p w14:paraId="03C18A20" w14:textId="77777777" w:rsidR="00B0683D" w:rsidRPr="0079728A" w:rsidRDefault="00B0683D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Initiation </w:t>
                  </w:r>
                </w:p>
                <w:p w14:paraId="32DCA5E6" w14:textId="77777777" w:rsidR="00B0683D" w:rsidRPr="0079728A" w:rsidRDefault="00B0683D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Day 2</w:t>
                  </w:r>
                </w:p>
              </w:tc>
              <w:tc>
                <w:tcPr>
                  <w:tcW w:w="5335" w:type="dxa"/>
                </w:tcPr>
                <w:p w14:paraId="61F3C9B7" w14:textId="631F168D" w:rsidR="00B0683D" w:rsidRPr="0079728A" w:rsidRDefault="0079728A" w:rsidP="00B0683D">
                  <w:pPr>
                    <w:pStyle w:val="BulletMedicin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LEN</w:t>
                  </w:r>
                  <w:r w:rsidR="00B0683D" w:rsidRPr="0079728A">
                    <w:rPr>
                      <w:rFonts w:cs="Arial"/>
                    </w:rPr>
                    <w:t>, oral, 600 mg (2 X 300 mg tablets)</w:t>
                  </w:r>
                </w:p>
                <w:p w14:paraId="55D52BD7" w14:textId="608E6D1C" w:rsidR="0079728A" w:rsidRPr="0079728A" w:rsidRDefault="0079728A" w:rsidP="0079728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Do not take the Day 1 and Day 2 oral doses on the same day.</w:t>
                  </w:r>
                </w:p>
              </w:tc>
            </w:tr>
            <w:tr w:rsidR="0079728A" w:rsidRPr="0079728A" w14:paraId="2D28EC17" w14:textId="77777777" w:rsidTr="00575136">
              <w:tc>
                <w:tcPr>
                  <w:tcW w:w="1413" w:type="dxa"/>
                </w:tcPr>
                <w:p w14:paraId="05DABE17" w14:textId="77777777" w:rsidR="00B0683D" w:rsidRPr="0079728A" w:rsidRDefault="00B0683D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Continuation</w:t>
                  </w:r>
                </w:p>
              </w:tc>
              <w:tc>
                <w:tcPr>
                  <w:tcW w:w="5335" w:type="dxa"/>
                </w:tcPr>
                <w:p w14:paraId="33BB228B" w14:textId="4F3204ED" w:rsidR="00B0683D" w:rsidRPr="0079728A" w:rsidRDefault="0079728A" w:rsidP="0079728A">
                  <w:pPr>
                    <w:pStyle w:val="BulletMedicin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LEN</w:t>
                  </w:r>
                  <w:r w:rsidR="00B0683D" w:rsidRPr="0079728A">
                    <w:rPr>
                      <w:rFonts w:cs="Arial"/>
                    </w:rPr>
                    <w:t>, subcutaneous injection, 927 mg (2X1.5mL injections) every six months or 26 weeks from the last injection.</w:t>
                  </w:r>
                </w:p>
              </w:tc>
            </w:tr>
          </w:tbl>
          <w:p w14:paraId="15F5EDAC" w14:textId="77777777" w:rsidR="00B0683D" w:rsidRPr="00B0683D" w:rsidRDefault="00B0683D" w:rsidP="00B0683D">
            <w:pPr>
              <w:rPr>
                <w:rFonts w:ascii="Arial" w:hAnsi="Arial" w:cs="Arial"/>
                <w:bCs/>
                <w:color w:val="2E74B5" w:themeColor="accent1" w:themeShade="BF"/>
                <w:sz w:val="18"/>
                <w:szCs w:val="18"/>
              </w:rPr>
            </w:pPr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 xml:space="preserve">Table 11.18: Dose regimen for initiating </w:t>
            </w:r>
            <w:proofErr w:type="spellStart"/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>lenacapavir</w:t>
            </w:r>
            <w:proofErr w:type="spellEnd"/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 xml:space="preserve"> as </w:t>
            </w:r>
            <w:proofErr w:type="spellStart"/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>PrEP</w:t>
            </w:r>
            <w:proofErr w:type="spellEnd"/>
          </w:p>
          <w:p w14:paraId="16ABA59F" w14:textId="77777777" w:rsidR="00B0683D" w:rsidRPr="00B0683D" w:rsidRDefault="00B0683D" w:rsidP="00B0683D">
            <w:pP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</w:p>
          <w:p w14:paraId="51FD78D6" w14:textId="2B98C863" w:rsidR="00B0683D" w:rsidRPr="0079728A" w:rsidRDefault="00B0683D" w:rsidP="00B0683D">
            <w:pPr>
              <w:pStyle w:val="Heading5"/>
              <w:spacing w:before="0"/>
              <w:outlineLvl w:val="4"/>
              <w:rPr>
                <w:rStyle w:val="Strong"/>
                <w:rFonts w:ascii="Arial" w:hAnsi="Arial" w:cs="Arial"/>
                <w:caps/>
                <w:color w:val="auto"/>
                <w:sz w:val="18"/>
                <w:szCs w:val="18"/>
              </w:rPr>
            </w:pPr>
            <w:r w:rsidRPr="0079728A">
              <w:rPr>
                <w:rStyle w:val="Strong"/>
                <w:rFonts w:ascii="Arial" w:hAnsi="Arial" w:cs="Arial"/>
                <w:b w:val="0"/>
                <w:bCs w:val="0"/>
                <w:caps/>
                <w:color w:val="auto"/>
                <w:sz w:val="18"/>
                <w:szCs w:val="18"/>
              </w:rPr>
              <w:t>Management</w:t>
            </w:r>
            <w:r w:rsidR="00062A4F">
              <w:rPr>
                <w:rStyle w:val="Strong"/>
                <w:rFonts w:ascii="Arial" w:hAnsi="Arial" w:cs="Arial"/>
                <w:b w:val="0"/>
                <w:bCs w:val="0"/>
                <w:caps/>
                <w:color w:val="auto"/>
                <w:sz w:val="18"/>
                <w:szCs w:val="18"/>
              </w:rPr>
              <w:t xml:space="preserve"> of missed doses of leN</w:t>
            </w:r>
          </w:p>
          <w:p w14:paraId="04118CCD" w14:textId="77777777" w:rsidR="00B0683D" w:rsidRPr="0079728A" w:rsidRDefault="00B0683D" w:rsidP="00B0683D">
            <w:pPr>
              <w:pStyle w:val="Heading5"/>
              <w:keepLines w:val="0"/>
              <w:numPr>
                <w:ilvl w:val="0"/>
                <w:numId w:val="10"/>
              </w:numPr>
              <w:spacing w:before="0"/>
              <w:outlineLvl w:val="4"/>
              <w:rPr>
                <w:rFonts w:ascii="Arial" w:hAnsi="Arial" w:cs="Arial"/>
                <w:caps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aps/>
                <w:color w:val="auto"/>
                <w:sz w:val="18"/>
                <w:szCs w:val="18"/>
              </w:rPr>
              <w:t>Initiation Phase - Missed oral dose on Day 2</w:t>
            </w:r>
          </w:p>
          <w:p w14:paraId="30534CE5" w14:textId="361AFB40" w:rsidR="00B0683D" w:rsidRPr="0079728A" w:rsidRDefault="0079728A" w:rsidP="0079728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</w:t>
            </w:r>
            <w:r w:rsidR="00B0683D" w:rsidRPr="0079728A">
              <w:rPr>
                <w:rFonts w:ascii="Arial" w:hAnsi="Arial" w:cs="Arial"/>
                <w:sz w:val="18"/>
                <w:szCs w:val="18"/>
              </w:rPr>
              <w:t xml:space="preserve">, oral, 600 mg (2 X 300 mg tablets), take as soon as possible. </w:t>
            </w:r>
          </w:p>
          <w:p w14:paraId="1ECABE74" w14:textId="77777777" w:rsidR="00B0683D" w:rsidRPr="0079728A" w:rsidRDefault="00B0683D" w:rsidP="00B0683D">
            <w:pPr>
              <w:pStyle w:val="Heading5"/>
              <w:spacing w:before="0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2F928BA" w14:textId="77777777" w:rsidR="00B0683D" w:rsidRPr="0079728A" w:rsidRDefault="00B0683D" w:rsidP="00B0683D">
            <w:pPr>
              <w:pStyle w:val="Heading5"/>
              <w:keepLines w:val="0"/>
              <w:numPr>
                <w:ilvl w:val="0"/>
                <w:numId w:val="10"/>
              </w:numPr>
              <w:spacing w:before="0"/>
              <w:outlineLvl w:val="4"/>
              <w:rPr>
                <w:rFonts w:ascii="Arial" w:hAnsi="Arial" w:cs="Arial"/>
                <w:caps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aps/>
                <w:color w:val="auto"/>
                <w:sz w:val="18"/>
                <w:szCs w:val="18"/>
              </w:rPr>
              <w:t>Continuation Phase – Delayed injection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4768"/>
            </w:tblGrid>
            <w:tr w:rsidR="0079728A" w:rsidRPr="0079728A" w14:paraId="4F03092B" w14:textId="77777777" w:rsidTr="00575136">
              <w:tc>
                <w:tcPr>
                  <w:tcW w:w="1980" w:type="dxa"/>
                </w:tcPr>
                <w:p w14:paraId="0B9C5771" w14:textId="77777777" w:rsidR="00B0683D" w:rsidRPr="0079728A" w:rsidRDefault="00B0683D" w:rsidP="00B0683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b/>
                      <w:sz w:val="18"/>
                      <w:szCs w:val="18"/>
                    </w:rPr>
                    <w:t>Time since last injection</w:t>
                  </w:r>
                </w:p>
              </w:tc>
              <w:tc>
                <w:tcPr>
                  <w:tcW w:w="4768" w:type="dxa"/>
                </w:tcPr>
                <w:p w14:paraId="07D344CC" w14:textId="77777777" w:rsidR="00B0683D" w:rsidRPr="0079728A" w:rsidRDefault="00B0683D" w:rsidP="00B0683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b/>
                      <w:sz w:val="18"/>
                      <w:szCs w:val="18"/>
                    </w:rPr>
                    <w:t>Dosage recommendation</w:t>
                  </w:r>
                </w:p>
              </w:tc>
            </w:tr>
            <w:tr w:rsidR="00B0683D" w:rsidRPr="00B0683D" w14:paraId="01B16806" w14:textId="77777777" w:rsidTr="00575136">
              <w:tc>
                <w:tcPr>
                  <w:tcW w:w="1980" w:type="dxa"/>
                </w:tcPr>
                <w:p w14:paraId="4283A644" w14:textId="77777777" w:rsidR="00B0683D" w:rsidRPr="0079728A" w:rsidRDefault="00B0683D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26-28 weeks</w:t>
                  </w:r>
                </w:p>
              </w:tc>
              <w:tc>
                <w:tcPr>
                  <w:tcW w:w="4768" w:type="dxa"/>
                </w:tcPr>
                <w:p w14:paraId="4F8E4AE8" w14:textId="546FB486" w:rsidR="00B0683D" w:rsidRPr="0079728A" w:rsidRDefault="0079728A" w:rsidP="00B0683D">
                  <w:pPr>
                    <w:pStyle w:val="BulletMedicin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LEN</w:t>
                  </w:r>
                  <w:r w:rsidR="00B0683D" w:rsidRPr="0079728A">
                    <w:rPr>
                      <w:rFonts w:cs="Arial"/>
                    </w:rPr>
                    <w:t xml:space="preserve">, oral, 300 mg (1 X 300 mg tablets) </w:t>
                  </w:r>
                  <w:r w:rsidR="00062A4F">
                    <w:rPr>
                      <w:rFonts w:cs="Arial"/>
                    </w:rPr>
                    <w:t>as a single dose</w:t>
                  </w:r>
                </w:p>
                <w:p w14:paraId="7891061F" w14:textId="77777777" w:rsidR="0079728A" w:rsidRPr="0079728A" w:rsidRDefault="0079728A" w:rsidP="0079728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AND </w:t>
                  </w:r>
                </w:p>
                <w:p w14:paraId="6EA4D33D" w14:textId="77777777" w:rsidR="0079728A" w:rsidRPr="0079728A" w:rsidRDefault="0079728A" w:rsidP="0079728A">
                  <w:pPr>
                    <w:pStyle w:val="BulletMedicine"/>
                    <w:jc w:val="left"/>
                  </w:pPr>
                  <w:r w:rsidRPr="0079728A">
                    <w:t>LEN, subcutaneous injection, 927 mg (2 X 1.5mL injections).</w:t>
                  </w:r>
                </w:p>
                <w:p w14:paraId="4448AE4A" w14:textId="77777777" w:rsidR="0079728A" w:rsidRPr="0079728A" w:rsidRDefault="0079728A" w:rsidP="0079728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Administer injection on same day as single oral dose.</w:t>
                  </w:r>
                </w:p>
                <w:p w14:paraId="335332B6" w14:textId="77777777" w:rsidR="0079728A" w:rsidRPr="0079728A" w:rsidRDefault="0079728A" w:rsidP="0079728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Continue with LEN injection every six months or 26 weeks from the last injection.</w:t>
                  </w:r>
                </w:p>
                <w:p w14:paraId="3F718969" w14:textId="404029D1" w:rsidR="00B0683D" w:rsidRPr="0079728A" w:rsidRDefault="00B0683D" w:rsidP="0079728A">
                  <w:pPr>
                    <w:pStyle w:val="ListParagraph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683D" w:rsidRPr="00B0683D" w14:paraId="219C73FB" w14:textId="77777777" w:rsidTr="00575136">
              <w:tc>
                <w:tcPr>
                  <w:tcW w:w="1980" w:type="dxa"/>
                </w:tcPr>
                <w:p w14:paraId="0DF070B8" w14:textId="77777777" w:rsidR="00B0683D" w:rsidRPr="0079728A" w:rsidRDefault="00B0683D" w:rsidP="00B0683D">
                  <w:pPr>
                    <w:ind w:left="360" w:hanging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› 28 weeks</w:t>
                  </w:r>
                </w:p>
              </w:tc>
              <w:tc>
                <w:tcPr>
                  <w:tcW w:w="4768" w:type="dxa"/>
                </w:tcPr>
                <w:p w14:paraId="5C2101B6" w14:textId="7DFE7318" w:rsidR="00B0683D" w:rsidRPr="0079728A" w:rsidRDefault="0079728A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Reinitiate LEN</w:t>
                  </w:r>
                  <w:r w:rsidR="00B0683D" w:rsidRPr="0079728A">
                    <w:rPr>
                      <w:rFonts w:ascii="Arial" w:hAnsi="Arial" w:cs="Arial"/>
                      <w:sz w:val="18"/>
                      <w:szCs w:val="18"/>
                    </w:rPr>
                    <w:t xml:space="preserve"> as per table 11.18 above</w:t>
                  </w:r>
                </w:p>
                <w:p w14:paraId="794B7CCE" w14:textId="77777777" w:rsidR="00B0683D" w:rsidRPr="0079728A" w:rsidRDefault="00B0683D" w:rsidP="00B0683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 xml:space="preserve">Reassess if injectable </w:t>
                  </w:r>
                  <w:proofErr w:type="spellStart"/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PrEP</w:t>
                  </w:r>
                  <w:proofErr w:type="spellEnd"/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 xml:space="preserve"> still suitable for the client.</w:t>
                  </w:r>
                </w:p>
                <w:p w14:paraId="5FFFD4EF" w14:textId="77777777" w:rsidR="00B0683D" w:rsidRPr="0079728A" w:rsidRDefault="00B0683D" w:rsidP="00B0683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28A">
                    <w:rPr>
                      <w:rFonts w:ascii="Arial" w:hAnsi="Arial" w:cs="Arial"/>
                      <w:sz w:val="18"/>
                      <w:szCs w:val="18"/>
                    </w:rPr>
                    <w:t>Confirm HIV status is still negative.</w:t>
                  </w:r>
                </w:p>
                <w:p w14:paraId="7498B674" w14:textId="77777777" w:rsidR="00B0683D" w:rsidRPr="0079728A" w:rsidRDefault="00B0683D" w:rsidP="00B068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A1A3722" w14:textId="77777777" w:rsidR="00B0683D" w:rsidRPr="00B0683D" w:rsidRDefault="00B0683D" w:rsidP="00B0683D">
            <w:pPr>
              <w:rPr>
                <w:rFonts w:ascii="Arial" w:hAnsi="Arial" w:cs="Arial"/>
                <w:bCs/>
                <w:color w:val="2E74B5" w:themeColor="accent1" w:themeShade="BF"/>
                <w:sz w:val="18"/>
                <w:szCs w:val="18"/>
              </w:rPr>
            </w:pPr>
            <w:r w:rsidRPr="00B0683D">
              <w:rPr>
                <w:rStyle w:val="Strong"/>
                <w:rFonts w:ascii="Arial" w:hAnsi="Arial" w:cs="Arial"/>
                <w:sz w:val="18"/>
                <w:szCs w:val="18"/>
              </w:rPr>
              <w:t>Table 11.19: Management of injection delays during continuation phase</w:t>
            </w:r>
          </w:p>
          <w:p w14:paraId="2AC1C9C0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59FA4" w14:textId="77777777" w:rsidR="00B0683D" w:rsidRPr="00B0683D" w:rsidRDefault="00B0683D" w:rsidP="00B0683D">
            <w:pPr>
              <w:pStyle w:val="Heading5"/>
              <w:spacing w:before="0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  <w:p w14:paraId="40AA4F10" w14:textId="77777777" w:rsidR="00B0683D" w:rsidRPr="0079728A" w:rsidRDefault="00B0683D" w:rsidP="00B0683D">
            <w:pPr>
              <w:pStyle w:val="Heading5"/>
              <w:spacing w:before="0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SAFETY</w:t>
            </w:r>
          </w:p>
          <w:p w14:paraId="60A7F5A6" w14:textId="77777777" w:rsidR="00B0683D" w:rsidRPr="0079728A" w:rsidRDefault="00B0683D" w:rsidP="00B0683D">
            <w:pPr>
              <w:widowContro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9728A">
              <w:rPr>
                <w:rFonts w:ascii="Arial" w:hAnsi="Arial" w:cs="Arial"/>
                <w:sz w:val="18"/>
                <w:szCs w:val="18"/>
              </w:rPr>
              <w:t xml:space="preserve">Some common drug interactions with </w:t>
            </w:r>
            <w:proofErr w:type="spellStart"/>
            <w:r w:rsidRPr="0079728A">
              <w:rPr>
                <w:rFonts w:ascii="Arial" w:hAnsi="Arial" w:cs="Arial"/>
                <w:sz w:val="18"/>
                <w:szCs w:val="18"/>
              </w:rPr>
              <w:t>lenacapavir</w:t>
            </w:r>
            <w:proofErr w:type="spellEnd"/>
            <w:r w:rsidRPr="0079728A">
              <w:rPr>
                <w:rFonts w:ascii="Arial" w:hAnsi="Arial" w:cs="Arial"/>
                <w:sz w:val="18"/>
                <w:szCs w:val="18"/>
              </w:rPr>
              <w:t xml:space="preserve"> listed below. For more comprehensive information on drug interactions, see </w:t>
            </w:r>
            <w:r w:rsidRPr="0079728A">
              <w:rPr>
                <w:rFonts w:ascii="Arial" w:hAnsi="Arial" w:cs="Arial"/>
                <w:sz w:val="18"/>
                <w:szCs w:val="18"/>
                <w:lang w:val="en-US"/>
              </w:rPr>
              <w:t>https://www.hiv-druginteractions.org/checker.</w:t>
            </w:r>
          </w:p>
          <w:p w14:paraId="2687BD2B" w14:textId="77777777" w:rsidR="00B0683D" w:rsidRPr="0079728A" w:rsidRDefault="00B0683D" w:rsidP="00B0683D">
            <w:pPr>
              <w:pStyle w:val="Heading6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tbl>
            <w:tblPr>
              <w:tblStyle w:val="SamplePHCTable"/>
              <w:tblW w:w="0" w:type="auto"/>
              <w:tblLook w:val="04A0" w:firstRow="1" w:lastRow="0" w:firstColumn="1" w:lastColumn="0" w:noHBand="0" w:noVBand="1"/>
            </w:tblPr>
            <w:tblGrid>
              <w:gridCol w:w="2101"/>
              <w:gridCol w:w="1851"/>
              <w:gridCol w:w="5892"/>
            </w:tblGrid>
            <w:tr w:rsidR="0079728A" w:rsidRPr="0079728A" w14:paraId="5386B1DE" w14:textId="77777777" w:rsidTr="005751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14:paraId="4070E89F" w14:textId="2F710DAF" w:rsidR="00B0683D" w:rsidRPr="0079728A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Medicine</w:t>
                  </w:r>
                  <w:r w:rsidR="0079728A" w:rsidRPr="0079728A">
                    <w:rPr>
                      <w:rFonts w:cs="Arial"/>
                    </w:rPr>
                    <w:t xml:space="preserve"> groups</w:t>
                  </w:r>
                </w:p>
              </w:tc>
              <w:tc>
                <w:tcPr>
                  <w:tcW w:w="0" w:type="auto"/>
                </w:tcPr>
                <w:p w14:paraId="4698F8F9" w14:textId="77777777" w:rsidR="00B0683D" w:rsidRPr="0079728A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Interaction information</w:t>
                  </w:r>
                </w:p>
              </w:tc>
              <w:tc>
                <w:tcPr>
                  <w:tcW w:w="0" w:type="auto"/>
                </w:tcPr>
                <w:p w14:paraId="759440CB" w14:textId="77777777" w:rsidR="00B0683D" w:rsidRPr="0079728A" w:rsidRDefault="00B0683D" w:rsidP="00B0683D">
                  <w:pPr>
                    <w:pStyle w:val="NoSpacing"/>
                    <w:jc w:val="center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Recommendation</w:t>
                  </w:r>
                </w:p>
              </w:tc>
            </w:tr>
            <w:tr w:rsidR="0079728A" w:rsidRPr="0079728A" w14:paraId="54CDD150" w14:textId="77777777" w:rsidTr="00575136">
              <w:tc>
                <w:tcPr>
                  <w:tcW w:w="0" w:type="auto"/>
                </w:tcPr>
                <w:p w14:paraId="716270E1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Standard TB medicines:</w:t>
                  </w:r>
                </w:p>
                <w:p w14:paraId="689162C5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proofErr w:type="spellStart"/>
                  <w:r w:rsidRPr="0079728A">
                    <w:rPr>
                      <w:rFonts w:cs="Arial"/>
                    </w:rPr>
                    <w:t>Rifabutin</w:t>
                  </w:r>
                  <w:proofErr w:type="spellEnd"/>
                </w:p>
                <w:p w14:paraId="2C87034C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Rifampicin</w:t>
                  </w:r>
                </w:p>
                <w:p w14:paraId="52964B62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proofErr w:type="spellStart"/>
                  <w:r w:rsidRPr="0079728A">
                    <w:rPr>
                      <w:rFonts w:cs="Arial"/>
                    </w:rPr>
                    <w:t>Rifapentine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AD6C118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Potential interaction</w:t>
                  </w:r>
                </w:p>
              </w:tc>
              <w:tc>
                <w:tcPr>
                  <w:tcW w:w="0" w:type="auto"/>
                </w:tcPr>
                <w:p w14:paraId="4BBAB565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Use oral </w:t>
                  </w:r>
                  <w:proofErr w:type="spellStart"/>
                  <w:r w:rsidRPr="0079728A">
                    <w:rPr>
                      <w:rFonts w:cs="Arial"/>
                    </w:rPr>
                    <w:t>PrEP</w:t>
                  </w:r>
                  <w:proofErr w:type="spellEnd"/>
                  <w:r w:rsidRPr="0079728A">
                    <w:rPr>
                      <w:rFonts w:cs="Arial"/>
                    </w:rPr>
                    <w:t xml:space="preserve"> instead until TB treatment completed.</w:t>
                  </w:r>
                </w:p>
              </w:tc>
            </w:tr>
            <w:tr w:rsidR="0079728A" w:rsidRPr="0079728A" w14:paraId="2E6EBC04" w14:textId="77777777" w:rsidTr="00575136">
              <w:tc>
                <w:tcPr>
                  <w:tcW w:w="0" w:type="auto"/>
                </w:tcPr>
                <w:p w14:paraId="76E3B9EF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Hormonal contraception</w:t>
                  </w:r>
                </w:p>
              </w:tc>
              <w:tc>
                <w:tcPr>
                  <w:tcW w:w="0" w:type="auto"/>
                </w:tcPr>
                <w:p w14:paraId="1960F7CB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No interaction.</w:t>
                  </w:r>
                </w:p>
              </w:tc>
              <w:tc>
                <w:tcPr>
                  <w:tcW w:w="0" w:type="auto"/>
                </w:tcPr>
                <w:p w14:paraId="380EE4DD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No dose adjustments required</w:t>
                  </w:r>
                </w:p>
              </w:tc>
            </w:tr>
            <w:tr w:rsidR="0079728A" w:rsidRPr="0079728A" w14:paraId="03324617" w14:textId="77777777" w:rsidTr="00575136">
              <w:tc>
                <w:tcPr>
                  <w:tcW w:w="0" w:type="auto"/>
                </w:tcPr>
                <w:p w14:paraId="692FB51A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Anticonvulsants: </w:t>
                  </w:r>
                </w:p>
                <w:p w14:paraId="66438381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Carbamazepine</w:t>
                  </w:r>
                </w:p>
                <w:p w14:paraId="4718DCA1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Phenobarbital</w:t>
                  </w:r>
                </w:p>
                <w:p w14:paraId="1FD4F47E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Phenytoin</w:t>
                  </w:r>
                </w:p>
              </w:tc>
              <w:tc>
                <w:tcPr>
                  <w:tcW w:w="0" w:type="auto"/>
                </w:tcPr>
                <w:p w14:paraId="47B43DBF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Potential interaction</w:t>
                  </w:r>
                </w:p>
              </w:tc>
              <w:tc>
                <w:tcPr>
                  <w:tcW w:w="0" w:type="auto"/>
                </w:tcPr>
                <w:p w14:paraId="2B1B1B37" w14:textId="6F448BFF" w:rsidR="0079728A" w:rsidRPr="0079728A" w:rsidRDefault="0079728A" w:rsidP="0079728A">
                  <w:pPr>
                    <w:pStyle w:val="NoSpacing"/>
                    <w:jc w:val="left"/>
                  </w:pPr>
                  <w:r w:rsidRPr="0079728A">
                    <w:t>Refer to doctor for switching to alternative anticonvulsant treatment.</w:t>
                  </w:r>
                </w:p>
                <w:p w14:paraId="7FDA918F" w14:textId="7CAA44B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</w:p>
                <w:p w14:paraId="7F0F2603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</w:p>
              </w:tc>
            </w:tr>
            <w:tr w:rsidR="0079728A" w:rsidRPr="0079728A" w14:paraId="02D9D3C4" w14:textId="77777777" w:rsidTr="00575136">
              <w:tc>
                <w:tcPr>
                  <w:tcW w:w="0" w:type="auto"/>
                </w:tcPr>
                <w:p w14:paraId="3AB7A3B7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Illicit/recreational drug use</w:t>
                  </w:r>
                </w:p>
                <w:p w14:paraId="321088A3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Ketamine</w:t>
                  </w:r>
                </w:p>
              </w:tc>
              <w:tc>
                <w:tcPr>
                  <w:tcW w:w="0" w:type="auto"/>
                </w:tcPr>
                <w:p w14:paraId="3F56A7F0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Potential interaction</w:t>
                  </w:r>
                </w:p>
              </w:tc>
              <w:tc>
                <w:tcPr>
                  <w:tcW w:w="0" w:type="auto"/>
                </w:tcPr>
                <w:p w14:paraId="7A756A0A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LEN may increase ketamine-related effects such as respiration depression and hallucinations.</w:t>
                  </w:r>
                </w:p>
                <w:p w14:paraId="05720942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Avoid use of ketamine</w:t>
                  </w:r>
                </w:p>
              </w:tc>
            </w:tr>
            <w:tr w:rsidR="0079728A" w:rsidRPr="0079728A" w14:paraId="03EE651C" w14:textId="77777777" w:rsidTr="00575136">
              <w:tc>
                <w:tcPr>
                  <w:tcW w:w="0" w:type="auto"/>
                </w:tcPr>
                <w:p w14:paraId="799DAED0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Erectile dysfunction</w:t>
                  </w:r>
                </w:p>
                <w:p w14:paraId="31484CA3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Sildenafil</w:t>
                  </w:r>
                </w:p>
                <w:p w14:paraId="3DB0E959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proofErr w:type="spellStart"/>
                  <w:r w:rsidRPr="0079728A">
                    <w:rPr>
                      <w:rFonts w:cs="Arial"/>
                    </w:rPr>
                    <w:t>Tadalafil</w:t>
                  </w:r>
                  <w:proofErr w:type="spellEnd"/>
                </w:p>
                <w:p w14:paraId="46F4D6E5" w14:textId="77777777" w:rsidR="00B0683D" w:rsidRPr="0079728A" w:rsidRDefault="00B0683D" w:rsidP="00B0683D">
                  <w:pPr>
                    <w:pStyle w:val="NoSpacing"/>
                    <w:numPr>
                      <w:ilvl w:val="0"/>
                      <w:numId w:val="12"/>
                    </w:numPr>
                    <w:ind w:left="397" w:hanging="227"/>
                    <w:jc w:val="left"/>
                    <w:rPr>
                      <w:rFonts w:cs="Arial"/>
                    </w:rPr>
                  </w:pPr>
                  <w:proofErr w:type="spellStart"/>
                  <w:r w:rsidRPr="0079728A">
                    <w:rPr>
                      <w:rFonts w:cs="Arial"/>
                    </w:rPr>
                    <w:t>Vardenafil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9E4E7AF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Potential interaction</w:t>
                  </w:r>
                </w:p>
              </w:tc>
              <w:tc>
                <w:tcPr>
                  <w:tcW w:w="0" w:type="auto"/>
                </w:tcPr>
                <w:p w14:paraId="1D98EBE9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LEN may potentiate the effects of erectile dysfunction medicines.</w:t>
                  </w:r>
                </w:p>
                <w:p w14:paraId="0E9EFA20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Avoid concomitant use of erectile dysfunction medicines.</w:t>
                  </w:r>
                </w:p>
              </w:tc>
            </w:tr>
          </w:tbl>
          <w:p w14:paraId="6BA9A196" w14:textId="23E4516B" w:rsidR="00B0683D" w:rsidRPr="00B0683D" w:rsidRDefault="00062A4F" w:rsidP="00B0683D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Table 11.20: LEN</w:t>
            </w:r>
            <w:r w:rsidR="00B0683D" w:rsidRPr="00B0683D">
              <w:rPr>
                <w:rStyle w:val="Strong"/>
                <w:rFonts w:ascii="Arial" w:hAnsi="Arial" w:cs="Arial"/>
                <w:sz w:val="18"/>
                <w:szCs w:val="18"/>
              </w:rPr>
              <w:t xml:space="preserve"> drug interactions</w:t>
            </w:r>
          </w:p>
          <w:p w14:paraId="65A8DD18" w14:textId="77777777" w:rsidR="00B0683D" w:rsidRPr="0079728A" w:rsidRDefault="00B0683D" w:rsidP="00B068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728A">
              <w:rPr>
                <w:rFonts w:ascii="Arial" w:hAnsi="Arial" w:cs="Arial"/>
                <w:b/>
                <w:sz w:val="18"/>
                <w:szCs w:val="18"/>
              </w:rPr>
              <w:t>Note:</w:t>
            </w:r>
          </w:p>
          <w:p w14:paraId="1A36C740" w14:textId="77777777" w:rsidR="00B0683D" w:rsidRPr="0079728A" w:rsidRDefault="00B0683D" w:rsidP="00B068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28A">
              <w:rPr>
                <w:rFonts w:ascii="Arial" w:hAnsi="Arial" w:cs="Arial"/>
                <w:sz w:val="18"/>
                <w:szCs w:val="18"/>
              </w:rPr>
              <w:t xml:space="preserve">Due to the long half-life of injectable </w:t>
            </w:r>
            <w:proofErr w:type="spellStart"/>
            <w:r w:rsidRPr="0079728A">
              <w:rPr>
                <w:rFonts w:ascii="Arial" w:hAnsi="Arial" w:cs="Arial"/>
                <w:sz w:val="18"/>
                <w:szCs w:val="18"/>
              </w:rPr>
              <w:t>lenacapavir</w:t>
            </w:r>
            <w:proofErr w:type="spellEnd"/>
            <w:r w:rsidRPr="0079728A">
              <w:rPr>
                <w:rFonts w:ascii="Arial" w:hAnsi="Arial" w:cs="Arial"/>
                <w:sz w:val="18"/>
                <w:szCs w:val="18"/>
              </w:rPr>
              <w:t>, drug interactions may be significant for up to 9 months following subcutaneous injection.</w:t>
            </w:r>
          </w:p>
          <w:p w14:paraId="42869A72" w14:textId="77777777" w:rsidR="00B0683D" w:rsidRPr="00B0683D" w:rsidRDefault="00B0683D" w:rsidP="00B0683D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</w:p>
          <w:p w14:paraId="40DFEA18" w14:textId="77777777" w:rsidR="00B0683D" w:rsidRPr="00B0683D" w:rsidRDefault="00B0683D" w:rsidP="00B0683D">
            <w:pPr>
              <w:rPr>
                <w:rFonts w:ascii="Arial" w:hAnsi="Arial" w:cs="Arial"/>
                <w:bCs/>
                <w:color w:val="2E74B5" w:themeColor="accent1" w:themeShade="BF"/>
                <w:sz w:val="18"/>
                <w:szCs w:val="18"/>
              </w:rPr>
            </w:pPr>
          </w:p>
          <w:p w14:paraId="69247D06" w14:textId="77777777" w:rsidR="00B0683D" w:rsidRPr="0079728A" w:rsidRDefault="00B0683D" w:rsidP="00B0683D">
            <w:pPr>
              <w:pStyle w:val="Heading6"/>
              <w:spacing w:before="0"/>
              <w:outlineLvl w:val="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 xml:space="preserve">Side effects of </w:t>
            </w:r>
            <w:proofErr w:type="spellStart"/>
            <w:r w:rsidRPr="0079728A">
              <w:rPr>
                <w:rFonts w:ascii="Arial" w:hAnsi="Arial" w:cs="Arial"/>
                <w:color w:val="auto"/>
                <w:sz w:val="18"/>
                <w:szCs w:val="18"/>
              </w:rPr>
              <w:t>lenacapvir</w:t>
            </w:r>
            <w:proofErr w:type="spellEnd"/>
          </w:p>
          <w:tbl>
            <w:tblPr>
              <w:tblStyle w:val="SamplePHCTable"/>
              <w:tblW w:w="0" w:type="auto"/>
              <w:tblLook w:val="0480" w:firstRow="0" w:lastRow="0" w:firstColumn="1" w:lastColumn="0" w:noHBand="0" w:noVBand="1"/>
            </w:tblPr>
            <w:tblGrid>
              <w:gridCol w:w="704"/>
              <w:gridCol w:w="5975"/>
            </w:tblGrid>
            <w:tr w:rsidR="0079728A" w:rsidRPr="0079728A" w14:paraId="197FA14F" w14:textId="77777777" w:rsidTr="00575136">
              <w:tc>
                <w:tcPr>
                  <w:tcW w:w="704" w:type="dxa"/>
                </w:tcPr>
                <w:p w14:paraId="37DD3502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 xml:space="preserve">Major </w:t>
                  </w:r>
                </w:p>
              </w:tc>
              <w:tc>
                <w:tcPr>
                  <w:tcW w:w="5975" w:type="dxa"/>
                </w:tcPr>
                <w:p w14:paraId="3C4761CC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Injection site reactions, including necrosis and ulcer (often linked to improper administration) , headache, nausea</w:t>
                  </w:r>
                </w:p>
              </w:tc>
            </w:tr>
            <w:tr w:rsidR="0079728A" w:rsidRPr="0079728A" w14:paraId="658A6BA9" w14:textId="77777777" w:rsidTr="00575136">
              <w:tc>
                <w:tcPr>
                  <w:tcW w:w="704" w:type="dxa"/>
                </w:tcPr>
                <w:p w14:paraId="505C1124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Minor</w:t>
                  </w:r>
                </w:p>
              </w:tc>
              <w:tc>
                <w:tcPr>
                  <w:tcW w:w="5975" w:type="dxa"/>
                </w:tcPr>
                <w:p w14:paraId="770A69D1" w14:textId="77777777" w:rsidR="00B0683D" w:rsidRPr="0079728A" w:rsidRDefault="00B0683D" w:rsidP="00B0683D">
                  <w:pPr>
                    <w:pStyle w:val="NoSpacing"/>
                    <w:jc w:val="left"/>
                    <w:rPr>
                      <w:rFonts w:cs="Arial"/>
                    </w:rPr>
                  </w:pPr>
                  <w:r w:rsidRPr="0079728A">
                    <w:rPr>
                      <w:rFonts w:cs="Arial"/>
                    </w:rPr>
                    <w:t>Dizziness, vomiting, diarrhoea</w:t>
                  </w:r>
                </w:p>
              </w:tc>
            </w:tr>
          </w:tbl>
          <w:p w14:paraId="0A51329A" w14:textId="098CEA92" w:rsidR="00B0683D" w:rsidRPr="0079728A" w:rsidRDefault="00B0683D" w:rsidP="00B068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9728A">
              <w:rPr>
                <w:rStyle w:val="Strong"/>
                <w:rFonts w:ascii="Arial" w:hAnsi="Arial" w:cs="Arial"/>
                <w:sz w:val="18"/>
                <w:szCs w:val="18"/>
              </w:rPr>
              <w:t xml:space="preserve">Table </w:t>
            </w:r>
            <w:r w:rsidR="00062A4F">
              <w:rPr>
                <w:rStyle w:val="Strong"/>
                <w:rFonts w:ascii="Arial" w:hAnsi="Arial" w:cs="Arial"/>
                <w:sz w:val="18"/>
                <w:szCs w:val="18"/>
              </w:rPr>
              <w:t>11.21: Side effects of LEN</w:t>
            </w:r>
          </w:p>
          <w:p w14:paraId="680EE940" w14:textId="77777777" w:rsidR="00B0683D" w:rsidRPr="0079728A" w:rsidRDefault="00B0683D" w:rsidP="00B068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728A">
              <w:rPr>
                <w:rFonts w:ascii="Arial" w:hAnsi="Arial" w:cs="Arial"/>
                <w:b/>
                <w:sz w:val="18"/>
                <w:szCs w:val="18"/>
              </w:rPr>
              <w:t>Note:</w:t>
            </w:r>
          </w:p>
          <w:p w14:paraId="1F173C01" w14:textId="77777777" w:rsidR="00B0683D" w:rsidRPr="0079728A" w:rsidRDefault="00B0683D" w:rsidP="00B068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28A">
              <w:rPr>
                <w:rFonts w:ascii="Arial" w:hAnsi="Arial" w:cs="Arial"/>
                <w:sz w:val="18"/>
                <w:szCs w:val="18"/>
              </w:rPr>
              <w:t>Major side effects reported in at least 5% (approximately 5 in 100 individuals in the PURPOSE 1 and/or 2 studies).</w:t>
            </w:r>
          </w:p>
          <w:p w14:paraId="5965C096" w14:textId="77777777" w:rsidR="00B0683D" w:rsidRPr="0079728A" w:rsidRDefault="00B0683D" w:rsidP="00B068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728A">
              <w:rPr>
                <w:rFonts w:ascii="Arial" w:hAnsi="Arial" w:cs="Arial"/>
                <w:sz w:val="18"/>
                <w:szCs w:val="18"/>
              </w:rPr>
              <w:t xml:space="preserve">For individuals who may need to switch from LEN to oral </w:t>
            </w:r>
            <w:proofErr w:type="spellStart"/>
            <w:r w:rsidRPr="0079728A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79728A">
              <w:rPr>
                <w:rFonts w:ascii="Arial" w:hAnsi="Arial" w:cs="Arial"/>
                <w:sz w:val="18"/>
                <w:szCs w:val="18"/>
              </w:rPr>
              <w:t xml:space="preserve">, initiate oral </w:t>
            </w:r>
            <w:proofErr w:type="spellStart"/>
            <w:r w:rsidRPr="0079728A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79728A">
              <w:rPr>
                <w:rFonts w:ascii="Arial" w:hAnsi="Arial" w:cs="Arial"/>
                <w:sz w:val="18"/>
                <w:szCs w:val="18"/>
              </w:rPr>
              <w:t xml:space="preserve"> within 28 weeks of the last LEN injection.</w:t>
            </w:r>
          </w:p>
          <w:p w14:paraId="2F9A2C9C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AE28A6" w14:textId="77777777" w:rsidR="00B0683D" w:rsidRPr="00B0683D" w:rsidRDefault="00B0683D" w:rsidP="00B0683D">
            <w:pPr>
              <w:pStyle w:val="Heading5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683D">
              <w:rPr>
                <w:rFonts w:ascii="Arial" w:hAnsi="Arial" w:cs="Arial"/>
                <w:color w:val="auto"/>
                <w:sz w:val="18"/>
                <w:szCs w:val="18"/>
              </w:rPr>
              <w:t>STOPPING PREP</w:t>
            </w:r>
          </w:p>
          <w:p w14:paraId="5C5A4930" w14:textId="2828E3BE" w:rsidR="00B0683D" w:rsidRPr="009E1CFC" w:rsidRDefault="00B0683D" w:rsidP="00B0683D">
            <w:pPr>
              <w:pStyle w:val="NoSpacing"/>
              <w:rPr>
                <w:rFonts w:cs="Arial"/>
              </w:rPr>
            </w:pPr>
            <w:proofErr w:type="spellStart"/>
            <w:r w:rsidRPr="009E1CFC">
              <w:rPr>
                <w:rFonts w:cs="Arial"/>
              </w:rPr>
              <w:t>PrEP</w:t>
            </w:r>
            <w:proofErr w:type="spellEnd"/>
            <w:r w:rsidRPr="009E1CFC">
              <w:rPr>
                <w:rFonts w:cs="Arial"/>
              </w:rPr>
              <w:t xml:space="preserve"> should be stopped if</w:t>
            </w:r>
            <w:r w:rsidR="0079728A" w:rsidRPr="009E1CFC">
              <w:rPr>
                <w:rFonts w:cs="Arial"/>
              </w:rPr>
              <w:t xml:space="preserve"> individual</w:t>
            </w:r>
            <w:r w:rsidRPr="009E1CFC">
              <w:rPr>
                <w:rFonts w:cs="Arial"/>
              </w:rPr>
              <w:t xml:space="preserve">: </w:t>
            </w:r>
          </w:p>
          <w:p w14:paraId="0EB68AF6" w14:textId="77777777" w:rsidR="00B0683D" w:rsidRPr="009E1CFC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 xml:space="preserve">Tests HIV-positive.  </w:t>
            </w:r>
          </w:p>
          <w:p w14:paraId="0BFDAEA7" w14:textId="28F537F5" w:rsidR="00B0683D" w:rsidRPr="009E1CFC" w:rsidRDefault="0079728A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>Develops r</w:t>
            </w:r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enal disease (for oral </w:t>
            </w:r>
            <w:proofErr w:type="spellStart"/>
            <w:r w:rsidR="00B0683D" w:rsidRPr="009E1CFC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B0683D" w:rsidRPr="009E1CFC">
              <w:rPr>
                <w:rFonts w:ascii="Arial" w:hAnsi="Arial" w:cs="Arial"/>
                <w:sz w:val="18"/>
                <w:szCs w:val="18"/>
              </w:rPr>
              <w:t>eGFR</w:t>
            </w:r>
            <w:proofErr w:type="spellEnd"/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 &lt;60mL/min and injectable </w:t>
            </w:r>
            <w:proofErr w:type="spellStart"/>
            <w:r w:rsidR="00B0683D" w:rsidRPr="009E1CFC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0683D" w:rsidRPr="009E1CFC">
              <w:rPr>
                <w:rFonts w:ascii="Arial" w:hAnsi="Arial" w:cs="Arial"/>
                <w:sz w:val="18"/>
                <w:szCs w:val="18"/>
              </w:rPr>
              <w:t>eGFR</w:t>
            </w:r>
            <w:proofErr w:type="spellEnd"/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 &lt; 15mL/min)</w:t>
            </w:r>
          </w:p>
          <w:p w14:paraId="1E21E163" w14:textId="3D88C975" w:rsidR="00B0683D" w:rsidRPr="009E1CFC" w:rsidRDefault="009E1CFC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>Is n</w:t>
            </w:r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on-adherent to </w:t>
            </w:r>
            <w:proofErr w:type="spellStart"/>
            <w:proofErr w:type="gramStart"/>
            <w:r w:rsidR="00B0683D" w:rsidRPr="009E1CFC">
              <w:rPr>
                <w:rFonts w:ascii="Arial" w:hAnsi="Arial" w:cs="Arial"/>
                <w:sz w:val="18"/>
                <w:szCs w:val="18"/>
              </w:rPr>
              <w:t>PrEP</w:t>
            </w:r>
            <w:proofErr w:type="gramEnd"/>
            <w:r w:rsidR="00B0683D" w:rsidRPr="009E1CFC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D04698" w14:textId="77777777" w:rsidR="00B0683D" w:rsidRPr="009E1CFC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 xml:space="preserve">Does not need or want </w:t>
            </w:r>
            <w:proofErr w:type="spellStart"/>
            <w:r w:rsidRPr="009E1CFC">
              <w:rPr>
                <w:rFonts w:ascii="Arial" w:hAnsi="Arial" w:cs="Arial"/>
                <w:sz w:val="18"/>
                <w:szCs w:val="18"/>
              </w:rPr>
              <w:t>PrEP.</w:t>
            </w:r>
            <w:proofErr w:type="spellEnd"/>
            <w:r w:rsidRPr="009E1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30EE78" w14:textId="77777777" w:rsidR="00B0683D" w:rsidRPr="009E1CFC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 xml:space="preserve">No longer meets eligibility criteria. </w:t>
            </w:r>
          </w:p>
          <w:p w14:paraId="1696F6B1" w14:textId="0ED2F2B2" w:rsidR="00B0683D" w:rsidRPr="009E1CFC" w:rsidRDefault="009E1CFC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>Presents with</w:t>
            </w:r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 safety concerns where the risks of </w:t>
            </w:r>
            <w:proofErr w:type="spellStart"/>
            <w:r w:rsidR="00B0683D" w:rsidRPr="009E1CFC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="00B0683D" w:rsidRPr="009E1CFC">
              <w:rPr>
                <w:rFonts w:ascii="Arial" w:hAnsi="Arial" w:cs="Arial"/>
                <w:sz w:val="18"/>
                <w:szCs w:val="18"/>
              </w:rPr>
              <w:t xml:space="preserve"> use outweigh potential benefit.</w:t>
            </w:r>
          </w:p>
          <w:p w14:paraId="3882AD6E" w14:textId="77777777" w:rsidR="00B0683D" w:rsidRPr="00B0683D" w:rsidRDefault="00B0683D" w:rsidP="00B068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43998" w14:textId="6C3838BB" w:rsidR="00B0683D" w:rsidRPr="009E1CFC" w:rsidRDefault="009E1CFC" w:rsidP="00B0683D">
            <w:pPr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>Note:</w:t>
            </w:r>
          </w:p>
          <w:p w14:paraId="3C622D86" w14:textId="77777777" w:rsidR="00B0683D" w:rsidRPr="009E1CFC" w:rsidRDefault="00B0683D" w:rsidP="00B068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 xml:space="preserve">Continue oral </w:t>
            </w:r>
            <w:proofErr w:type="spellStart"/>
            <w:r w:rsidRPr="009E1CFC">
              <w:rPr>
                <w:rFonts w:ascii="Arial" w:hAnsi="Arial" w:cs="Arial"/>
                <w:sz w:val="18"/>
                <w:szCs w:val="18"/>
              </w:rPr>
              <w:t>PrEP</w:t>
            </w:r>
            <w:proofErr w:type="spellEnd"/>
            <w:r w:rsidRPr="009E1CFC">
              <w:rPr>
                <w:rFonts w:ascii="Arial" w:hAnsi="Arial" w:cs="Arial"/>
                <w:sz w:val="18"/>
                <w:szCs w:val="18"/>
              </w:rPr>
              <w:t xml:space="preserve"> for 7 days after the last potential HIV exposure. </w:t>
            </w:r>
          </w:p>
          <w:p w14:paraId="1D793517" w14:textId="77777777" w:rsidR="00B0683D" w:rsidRPr="009E1CFC" w:rsidRDefault="00B0683D" w:rsidP="00B068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 xml:space="preserve">Patients with chronic HBV may experience a hepatitis flare on discontinuation of oral </w:t>
            </w:r>
            <w:proofErr w:type="spellStart"/>
            <w:r w:rsidRPr="009E1CFC">
              <w:rPr>
                <w:rFonts w:ascii="Arial" w:hAnsi="Arial" w:cs="Arial"/>
                <w:sz w:val="18"/>
                <w:szCs w:val="18"/>
              </w:rPr>
              <w:t>PrEP.</w:t>
            </w:r>
            <w:proofErr w:type="spellEnd"/>
          </w:p>
          <w:p w14:paraId="4DF66ACD" w14:textId="77777777" w:rsidR="00B0683D" w:rsidRPr="009E1CFC" w:rsidRDefault="00B0683D" w:rsidP="00B068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9E1CFC">
              <w:rPr>
                <w:rFonts w:ascii="Arial" w:hAnsi="Arial" w:cs="Arial"/>
                <w:sz w:val="18"/>
                <w:szCs w:val="18"/>
              </w:rPr>
              <w:t xml:space="preserve">Injectable </w:t>
            </w:r>
            <w:proofErr w:type="spellStart"/>
            <w:r w:rsidRPr="009E1CFC">
              <w:rPr>
                <w:rFonts w:ascii="Arial" w:hAnsi="Arial" w:cs="Arial"/>
                <w:sz w:val="18"/>
                <w:szCs w:val="18"/>
              </w:rPr>
              <w:t>lenacapvir</w:t>
            </w:r>
            <w:proofErr w:type="spellEnd"/>
            <w:r w:rsidRPr="009E1CFC">
              <w:rPr>
                <w:rFonts w:ascii="Arial" w:hAnsi="Arial" w:cs="Arial"/>
                <w:sz w:val="18"/>
                <w:szCs w:val="18"/>
              </w:rPr>
              <w:t xml:space="preserve"> has an extended washout period and drug levels decline slowly during the tail period. During the tail period, protection against HIV diminishes although the potential for drug interactions remains.</w:t>
            </w:r>
          </w:p>
          <w:p w14:paraId="016C2433" w14:textId="77777777" w:rsidR="00B0683D" w:rsidRPr="00B0683D" w:rsidRDefault="00B0683D" w:rsidP="00B0683D">
            <w:pPr>
              <w:pStyle w:val="Heading5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  <w:p w14:paraId="2CB57752" w14:textId="77777777" w:rsidR="00B0683D" w:rsidRPr="00B0683D" w:rsidRDefault="00B0683D" w:rsidP="00B0683D">
            <w:pPr>
              <w:pStyle w:val="Heading5"/>
              <w:outlineLvl w:val="4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0683D">
              <w:rPr>
                <w:rFonts w:ascii="Arial" w:hAnsi="Arial" w:cs="Arial"/>
                <w:b/>
                <w:color w:val="auto"/>
                <w:sz w:val="18"/>
                <w:szCs w:val="18"/>
              </w:rPr>
              <w:t>REFERRAL</w:t>
            </w:r>
          </w:p>
          <w:p w14:paraId="48AF4082" w14:textId="77777777" w:rsidR="00B0683D" w:rsidRPr="00B0683D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0683D">
              <w:rPr>
                <w:rFonts w:ascii="Arial" w:hAnsi="Arial" w:cs="Arial"/>
                <w:sz w:val="18"/>
                <w:szCs w:val="18"/>
              </w:rPr>
              <w:t>HBsAg</w:t>
            </w:r>
            <w:proofErr w:type="spellEnd"/>
            <w:r w:rsidRPr="00B0683D">
              <w:rPr>
                <w:rFonts w:ascii="Arial" w:hAnsi="Arial" w:cs="Arial"/>
                <w:sz w:val="18"/>
                <w:szCs w:val="18"/>
              </w:rPr>
              <w:t>-positive</w:t>
            </w:r>
          </w:p>
          <w:p w14:paraId="064A97A8" w14:textId="77777777" w:rsidR="00B0683D" w:rsidRDefault="00B0683D" w:rsidP="00B06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683D">
              <w:rPr>
                <w:rFonts w:ascii="Arial" w:hAnsi="Arial" w:cs="Arial"/>
                <w:sz w:val="18"/>
                <w:szCs w:val="18"/>
              </w:rPr>
              <w:t>Discontinuation of TDF + FTC in patients with HBV.</w:t>
            </w:r>
          </w:p>
          <w:p w14:paraId="27E05B4C" w14:textId="43E546FC" w:rsidR="00B0683D" w:rsidRDefault="00B0683D" w:rsidP="00B0683D">
            <w:pPr>
              <w:jc w:val="center"/>
              <w:rPr>
                <w:color w:val="FF0000"/>
              </w:rPr>
            </w:pPr>
          </w:p>
          <w:p w14:paraId="4F6EC248" w14:textId="56BCBC98" w:rsidR="00B0683D" w:rsidRDefault="00B0683D" w:rsidP="00B0683D">
            <w:pPr>
              <w:pStyle w:val="NoSpacing"/>
              <w:rPr>
                <w:color w:val="FF0000"/>
              </w:rPr>
            </w:pPr>
          </w:p>
        </w:tc>
      </w:tr>
    </w:tbl>
    <w:p w14:paraId="3919FCD9" w14:textId="68590734" w:rsidR="00DE6650" w:rsidRDefault="00DE6650" w:rsidP="001026A0">
      <w:pPr>
        <w:rPr>
          <w:color w:val="FF0000"/>
        </w:rPr>
      </w:pPr>
    </w:p>
    <w:p w14:paraId="7297DC56" w14:textId="7624F5F7" w:rsidR="0092185C" w:rsidRDefault="0092185C" w:rsidP="0092185C">
      <w:pPr>
        <w:jc w:val="both"/>
        <w:rPr>
          <w:rFonts w:ascii="Arial" w:hAnsi="Arial" w:cs="Arial"/>
          <w:iCs/>
          <w:sz w:val="20"/>
          <w:szCs w:val="20"/>
          <w:u w:val="single"/>
        </w:rPr>
      </w:pPr>
    </w:p>
    <w:p w14:paraId="2D0D61B8" w14:textId="77777777" w:rsidR="00F724EC" w:rsidRDefault="00F724EC" w:rsidP="001026A0">
      <w:pPr>
        <w:rPr>
          <w:color w:val="FF0000"/>
        </w:rPr>
      </w:pPr>
    </w:p>
    <w:p w14:paraId="4DE0FE7F" w14:textId="77777777" w:rsidR="009E1CFC" w:rsidRDefault="009E1CFC" w:rsidP="001026A0">
      <w:pPr>
        <w:rPr>
          <w:color w:val="FF0000"/>
        </w:rPr>
      </w:pPr>
    </w:p>
    <w:p w14:paraId="7BCAE9A8" w14:textId="77777777" w:rsidR="009E1CFC" w:rsidRDefault="009E1CFC" w:rsidP="001026A0">
      <w:pPr>
        <w:rPr>
          <w:color w:val="FF0000"/>
        </w:rPr>
      </w:pPr>
    </w:p>
    <w:p w14:paraId="3272BC0E" w14:textId="77777777" w:rsidR="009E1CFC" w:rsidRDefault="009E1CFC" w:rsidP="001026A0">
      <w:pPr>
        <w:rPr>
          <w:color w:val="FF0000"/>
        </w:rPr>
      </w:pPr>
    </w:p>
    <w:p w14:paraId="76A53FD2" w14:textId="77777777" w:rsidR="009E1CFC" w:rsidRDefault="009E1CFC" w:rsidP="001026A0">
      <w:pPr>
        <w:rPr>
          <w:color w:val="FF0000"/>
        </w:rPr>
      </w:pPr>
    </w:p>
    <w:p w14:paraId="3C8E5A38" w14:textId="77777777" w:rsidR="009E1CFC" w:rsidRDefault="009E1CFC" w:rsidP="001026A0">
      <w:pPr>
        <w:rPr>
          <w:color w:val="FF0000"/>
        </w:rPr>
      </w:pPr>
    </w:p>
    <w:p w14:paraId="3C27E4CB" w14:textId="77777777" w:rsidR="009E1CFC" w:rsidRDefault="009E1CFC" w:rsidP="001026A0">
      <w:pPr>
        <w:rPr>
          <w:color w:val="FF0000"/>
        </w:rPr>
      </w:pPr>
    </w:p>
    <w:p w14:paraId="61812067" w14:textId="77777777" w:rsidR="009E1CFC" w:rsidRDefault="009E1CFC" w:rsidP="001026A0">
      <w:pPr>
        <w:rPr>
          <w:color w:val="FF0000"/>
        </w:rPr>
      </w:pPr>
    </w:p>
    <w:p w14:paraId="31C4F566" w14:textId="77777777" w:rsidR="009E1CFC" w:rsidRDefault="009E1CFC" w:rsidP="001026A0">
      <w:pPr>
        <w:rPr>
          <w:color w:val="FF0000"/>
        </w:rPr>
      </w:pPr>
    </w:p>
    <w:p w14:paraId="6C0705B2" w14:textId="77777777" w:rsidR="009E1CFC" w:rsidRDefault="009E1CFC" w:rsidP="001026A0">
      <w:pPr>
        <w:rPr>
          <w:color w:val="FF0000"/>
        </w:rPr>
      </w:pPr>
    </w:p>
    <w:p w14:paraId="64726DFB" w14:textId="77777777" w:rsidR="009E1CFC" w:rsidRDefault="009E1CFC" w:rsidP="001026A0">
      <w:pPr>
        <w:rPr>
          <w:color w:val="FF0000"/>
        </w:rPr>
      </w:pP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9E1CFC" w14:paraId="103C76A3" w14:textId="77777777" w:rsidTr="00530984">
        <w:trPr>
          <w:trHeight w:val="11877"/>
        </w:trPr>
        <w:tc>
          <w:tcPr>
            <w:tcW w:w="9210" w:type="dxa"/>
          </w:tcPr>
          <w:p w14:paraId="4EA4E9FC" w14:textId="77777777" w:rsidR="009E1CFC" w:rsidRDefault="009E1CFC" w:rsidP="009E1CFC">
            <w:pPr>
              <w:jc w:val="center"/>
              <w:rPr>
                <w:color w:val="FF0000"/>
              </w:rPr>
            </w:pPr>
            <w:r w:rsidRPr="009E1CFC">
              <w:rPr>
                <w:noProof/>
                <w:color w:val="FF0000"/>
                <w:lang w:eastAsia="en-ZA"/>
              </w:rPr>
              <w:lastRenderedPageBreak/>
              <w:drawing>
                <wp:inline distT="0" distB="0" distL="0" distR="0" wp14:anchorId="70C1BB65" wp14:editId="014CD802">
                  <wp:extent cx="5495806" cy="762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035" cy="762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3A48D" w14:textId="219BE558" w:rsidR="009E1CFC" w:rsidRDefault="009E1CFC" w:rsidP="001026A0">
            <w:pPr>
              <w:rPr>
                <w:color w:val="FF0000"/>
              </w:rPr>
            </w:pPr>
            <w:r w:rsidRPr="004A6630">
              <w:rPr>
                <w:b/>
                <w:sz w:val="16"/>
              </w:rPr>
              <w:t>Figure 11.10</w:t>
            </w:r>
            <w:r w:rsidRPr="00367F15">
              <w:rPr>
                <w:sz w:val="16"/>
              </w:rPr>
              <w:t xml:space="preserve">: </w:t>
            </w:r>
            <w:proofErr w:type="spellStart"/>
            <w:r w:rsidRPr="00367F15">
              <w:rPr>
                <w:sz w:val="16"/>
              </w:rPr>
              <w:t>PrEP</w:t>
            </w:r>
            <w:proofErr w:type="spellEnd"/>
            <w:r w:rsidRPr="00367F15">
              <w:rPr>
                <w:sz w:val="16"/>
              </w:rPr>
              <w:t xml:space="preserve"> initiation algorithm</w:t>
            </w:r>
          </w:p>
        </w:tc>
      </w:tr>
    </w:tbl>
    <w:p w14:paraId="34AFFEDE" w14:textId="77777777" w:rsidR="009E1CFC" w:rsidRDefault="009E1CFC" w:rsidP="001026A0">
      <w:pPr>
        <w:rPr>
          <w:color w:val="FF0000"/>
        </w:rPr>
      </w:pPr>
    </w:p>
    <w:sectPr w:rsidR="009E1CFC" w:rsidSect="00401B83">
      <w:footerReference w:type="default" r:id="rId16"/>
      <w:endnotePr>
        <w:numFmt w:val="decimal"/>
      </w:endnotePr>
      <w:pgSz w:w="12240" w:h="15840"/>
      <w:pgMar w:top="1440" w:right="1080" w:bottom="1440" w:left="1080" w:header="720" w:footer="720" w:gutter="0"/>
      <w:pgNumType w:start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7D1C5D" w16cex:dateUtc="2025-09-12T09:44:00Z"/>
  <w16cex:commentExtensible w16cex:durableId="6A171227" w16cex:dateUtc="2025-09-12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1EC974" w16cid:durableId="007D1C5D"/>
  <w16cid:commentId w16cid:paraId="4BEA1506" w16cid:durableId="6A1712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D235F" w14:textId="77777777" w:rsidR="004B26F5" w:rsidRPr="001B257D" w:rsidRDefault="004B26F5" w:rsidP="003B442F">
      <w:pPr>
        <w:spacing w:after="0" w:line="240" w:lineRule="auto"/>
      </w:pPr>
      <w:r w:rsidRPr="001B257D">
        <w:separator/>
      </w:r>
    </w:p>
  </w:endnote>
  <w:endnote w:type="continuationSeparator" w:id="0">
    <w:p w14:paraId="0F670BF5" w14:textId="77777777" w:rsidR="004B26F5" w:rsidRPr="001B257D" w:rsidRDefault="004B26F5" w:rsidP="003B442F">
      <w:pPr>
        <w:spacing w:after="0" w:line="240" w:lineRule="auto"/>
      </w:pPr>
      <w:r w:rsidRPr="001B257D">
        <w:continuationSeparator/>
      </w:r>
    </w:p>
  </w:endnote>
  <w:endnote w:type="continuationNotice" w:id="1">
    <w:p w14:paraId="3070F565" w14:textId="77777777" w:rsidR="004B26F5" w:rsidRPr="001B257D" w:rsidRDefault="004B2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0BE5F" w14:textId="77777777" w:rsidR="009E1CFC" w:rsidRDefault="009E1CFC" w:rsidP="00B3778D">
    <w:pPr>
      <w:pStyle w:val="Default"/>
      <w:jc w:val="right"/>
      <w:rPr>
        <w:color w:val="auto"/>
      </w:rPr>
    </w:pPr>
  </w:p>
  <w:p w14:paraId="1A88CC6D" w14:textId="25C8BC28" w:rsidR="009E1CFC" w:rsidRPr="00B3778D" w:rsidRDefault="009E1CFC" w:rsidP="00B3778D">
    <w:pPr>
      <w:pStyle w:val="Defaul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NEMLC </w:t>
    </w:r>
    <w:proofErr w:type="spellStart"/>
    <w:r>
      <w:rPr>
        <w:rFonts w:ascii="Arial" w:hAnsi="Arial" w:cs="Arial"/>
        <w:sz w:val="18"/>
        <w:szCs w:val="18"/>
      </w:rPr>
      <w:t>Report_PHChp</w:t>
    </w:r>
    <w:proofErr w:type="spellEnd"/>
    <w:r>
      <w:rPr>
        <w:rFonts w:ascii="Arial" w:hAnsi="Arial" w:cs="Arial"/>
        <w:sz w:val="18"/>
        <w:szCs w:val="18"/>
      </w:rPr>
      <w:t xml:space="preserve"> 11_HIV</w:t>
    </w:r>
    <w:r w:rsidRPr="00B3778D">
      <w:rPr>
        <w:rFonts w:ascii="Arial" w:hAnsi="Arial" w:cs="Arial"/>
        <w:sz w:val="18"/>
        <w:szCs w:val="18"/>
      </w:rPr>
      <w:t>_</w:t>
    </w:r>
    <w:r>
      <w:rPr>
        <w:rFonts w:ascii="Arial" w:hAnsi="Arial" w:cs="Arial"/>
        <w:sz w:val="18"/>
        <w:szCs w:val="18"/>
      </w:rPr>
      <w:t>4C_3 Nov 2025</w:t>
    </w:r>
    <w:r>
      <w:rPr>
        <w:rFonts w:ascii="Arial" w:hAnsi="Arial" w:cs="Arial"/>
        <w:sz w:val="18"/>
        <w:szCs w:val="18"/>
      </w:rPr>
      <w:tab/>
      <w:t xml:space="preserve">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sdt>
      <w:sdtPr>
        <w:id w:val="-144869856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Pr="00B3778D">
          <w:rPr>
            <w:rFonts w:ascii="Arial" w:hAnsi="Arial" w:cs="Arial"/>
            <w:sz w:val="18"/>
            <w:szCs w:val="18"/>
          </w:rPr>
          <w:fldChar w:fldCharType="begin"/>
        </w:r>
        <w:r w:rsidRPr="00B3778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3778D">
          <w:rPr>
            <w:rFonts w:ascii="Arial" w:hAnsi="Arial" w:cs="Arial"/>
            <w:sz w:val="18"/>
            <w:szCs w:val="18"/>
          </w:rPr>
          <w:fldChar w:fldCharType="separate"/>
        </w:r>
        <w:r w:rsidR="00061FD5">
          <w:rPr>
            <w:rFonts w:ascii="Arial" w:hAnsi="Arial" w:cs="Arial"/>
            <w:noProof/>
            <w:sz w:val="18"/>
            <w:szCs w:val="18"/>
          </w:rPr>
          <w:t>8</w:t>
        </w:r>
        <w:r w:rsidRPr="00B3778D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14:paraId="303E7F4F" w14:textId="77777777" w:rsidR="009E1CFC" w:rsidRDefault="009E1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33AF0" w14:textId="77777777" w:rsidR="004B26F5" w:rsidRPr="001B257D" w:rsidRDefault="004B26F5" w:rsidP="003B442F">
      <w:pPr>
        <w:spacing w:after="0" w:line="240" w:lineRule="auto"/>
      </w:pPr>
      <w:r w:rsidRPr="001B257D">
        <w:separator/>
      </w:r>
    </w:p>
  </w:footnote>
  <w:footnote w:type="continuationSeparator" w:id="0">
    <w:p w14:paraId="4854CB63" w14:textId="77777777" w:rsidR="004B26F5" w:rsidRPr="001B257D" w:rsidRDefault="004B26F5" w:rsidP="003B442F">
      <w:pPr>
        <w:spacing w:after="0" w:line="240" w:lineRule="auto"/>
      </w:pPr>
      <w:r w:rsidRPr="001B257D">
        <w:continuationSeparator/>
      </w:r>
    </w:p>
  </w:footnote>
  <w:footnote w:type="continuationNotice" w:id="1">
    <w:p w14:paraId="68A3F225" w14:textId="77777777" w:rsidR="004B26F5" w:rsidRPr="001B257D" w:rsidRDefault="004B26F5">
      <w:pPr>
        <w:spacing w:after="0" w:line="240" w:lineRule="auto"/>
      </w:pPr>
    </w:p>
  </w:footnote>
  <w:footnote w:id="2">
    <w:p w14:paraId="3F52F466" w14:textId="4BC600F0" w:rsidR="009E1CFC" w:rsidRPr="00571BB4" w:rsidRDefault="009E1CFC" w:rsidP="00571BB4">
      <w:pPr>
        <w:pStyle w:val="FootnoteText"/>
        <w:jc w:val="both"/>
        <w:rPr>
          <w:rFonts w:ascii="Arial" w:hAnsi="Arial" w:cs="Arial"/>
          <w:sz w:val="16"/>
          <w:szCs w:val="16"/>
          <w:lang w:val="en-US"/>
        </w:rPr>
      </w:pPr>
      <w:r w:rsidRPr="00571BB4">
        <w:rPr>
          <w:rStyle w:val="FootnoteReference"/>
          <w:rFonts w:ascii="Arial" w:hAnsi="Arial" w:cs="Arial"/>
          <w:sz w:val="16"/>
          <w:szCs w:val="16"/>
        </w:rPr>
        <w:footnoteRef/>
      </w:r>
      <w:r w:rsidRPr="00571BB4">
        <w:rPr>
          <w:rFonts w:ascii="Arial" w:hAnsi="Arial" w:cs="Arial"/>
          <w:sz w:val="16"/>
          <w:szCs w:val="16"/>
        </w:rPr>
        <w:t xml:space="preserve"> National Department of Health. 2021 updated guidelines for the provision of oral pre-exposure prophylaxis (</w:t>
      </w:r>
      <w:proofErr w:type="spellStart"/>
      <w:r w:rsidRPr="00571BB4">
        <w:rPr>
          <w:rFonts w:ascii="Arial" w:hAnsi="Arial" w:cs="Arial"/>
          <w:sz w:val="16"/>
          <w:szCs w:val="16"/>
        </w:rPr>
        <w:t>PrEP</w:t>
      </w:r>
      <w:proofErr w:type="spellEnd"/>
      <w:r w:rsidRPr="00571BB4">
        <w:rPr>
          <w:rFonts w:ascii="Arial" w:hAnsi="Arial" w:cs="Arial"/>
          <w:sz w:val="16"/>
          <w:szCs w:val="16"/>
        </w:rPr>
        <w:t xml:space="preserve">) to persons at substantial risk of HIV infection </w:t>
      </w:r>
      <w:hyperlink r:id="rId1" w:tooltip="https://knowledgehub.health.gov.za/elibrary/updated-guidelines-provision-oral-pre-exposure-prophylaxis-prep-persons-substantial-risk" w:history="1">
        <w:r w:rsidRPr="00571BB4">
          <w:rPr>
            <w:rStyle w:val="Hyperlink"/>
            <w:rFonts w:ascii="Arial" w:hAnsi="Arial" w:cs="Arial"/>
            <w:sz w:val="16"/>
            <w:szCs w:val="16"/>
            <w:bdr w:val="none" w:sz="0" w:space="0" w:color="auto" w:frame="1"/>
            <w:shd w:val="clear" w:color="auto" w:fill="FFFFFF"/>
          </w:rPr>
          <w:t>https://knowledgehub.health.gov.za/elibrary/updated-guidelines-provision-oral-pre-exposure-prophylaxis-prep-persons-substantial-risk</w:t>
        </w:r>
      </w:hyperlink>
    </w:p>
  </w:footnote>
  <w:footnote w:id="3">
    <w:p w14:paraId="771F986A" w14:textId="1227055C" w:rsidR="009E1CFC" w:rsidRPr="00571BB4" w:rsidRDefault="009E1CFC" w:rsidP="00571BB4">
      <w:pPr>
        <w:pStyle w:val="FootnoteText"/>
        <w:jc w:val="both"/>
        <w:rPr>
          <w:rFonts w:ascii="Arial" w:hAnsi="Arial" w:cs="Arial"/>
          <w:sz w:val="16"/>
          <w:szCs w:val="16"/>
          <w:lang w:val="en-US"/>
        </w:rPr>
      </w:pPr>
      <w:r w:rsidRPr="00571BB4">
        <w:rPr>
          <w:rStyle w:val="FootnoteReference"/>
          <w:rFonts w:ascii="Arial" w:hAnsi="Arial" w:cs="Arial"/>
          <w:sz w:val="16"/>
          <w:szCs w:val="16"/>
        </w:rPr>
        <w:footnoteRef/>
      </w:r>
      <w:r w:rsidRPr="00571BB4">
        <w:rPr>
          <w:rFonts w:ascii="Arial" w:hAnsi="Arial" w:cs="Arial"/>
          <w:sz w:val="16"/>
          <w:szCs w:val="16"/>
        </w:rPr>
        <w:t xml:space="preserve"> </w:t>
      </w:r>
      <w:r w:rsidRPr="00571BB4">
        <w:rPr>
          <w:rFonts w:ascii="Arial" w:hAnsi="Arial" w:cs="Arial"/>
          <w:sz w:val="16"/>
          <w:szCs w:val="16"/>
          <w:lang w:val="en-US"/>
        </w:rPr>
        <w:t xml:space="preserve">Professional Information Leaflet. </w:t>
      </w:r>
      <w:proofErr w:type="spellStart"/>
      <w:r w:rsidRPr="00571BB4">
        <w:rPr>
          <w:rFonts w:ascii="Arial" w:hAnsi="Arial" w:cs="Arial"/>
          <w:sz w:val="16"/>
          <w:szCs w:val="16"/>
          <w:lang w:val="en-US"/>
        </w:rPr>
        <w:t>Truvada</w:t>
      </w:r>
      <w:proofErr w:type="spellEnd"/>
      <w:r w:rsidRPr="00571BB4">
        <w:rPr>
          <w:rFonts w:ascii="Arial" w:hAnsi="Arial" w:cs="Arial"/>
          <w:sz w:val="16"/>
          <w:szCs w:val="16"/>
          <w:lang w:val="en-US"/>
        </w:rPr>
        <w:t xml:space="preserve">®. </w:t>
      </w:r>
      <w:proofErr w:type="spellStart"/>
      <w:r w:rsidRPr="00571BB4">
        <w:rPr>
          <w:rFonts w:ascii="Arial" w:hAnsi="Arial" w:cs="Arial"/>
          <w:sz w:val="16"/>
          <w:szCs w:val="16"/>
          <w:lang w:val="en-US"/>
        </w:rPr>
        <w:t>Pharmacare</w:t>
      </w:r>
      <w:proofErr w:type="spellEnd"/>
      <w:r w:rsidRPr="00571BB4">
        <w:rPr>
          <w:rFonts w:ascii="Arial" w:hAnsi="Arial" w:cs="Arial"/>
          <w:sz w:val="16"/>
          <w:szCs w:val="16"/>
          <w:lang w:val="en-US"/>
        </w:rPr>
        <w:t xml:space="preserve"> Limited. Most recent amendment: 27 Nov 2015. Accessed online chrome-extension://efaidnbmnnnibpcajpcglclefindmkaj/https://www.sahpra.org.za/wp-content/uploads/2020/02/Truvada_PI_Aspen_MCC-format-27-November-2015.pdf</w:t>
      </w:r>
    </w:p>
  </w:footnote>
  <w:footnote w:id="4">
    <w:p w14:paraId="56F1DC0E" w14:textId="77777777" w:rsidR="009E1CFC" w:rsidRPr="00571BB4" w:rsidRDefault="009E1CFC" w:rsidP="00571BB4">
      <w:pPr>
        <w:pStyle w:val="FootnoteText"/>
        <w:jc w:val="both"/>
        <w:rPr>
          <w:rFonts w:ascii="Arial" w:hAnsi="Arial" w:cs="Arial"/>
          <w:sz w:val="16"/>
          <w:szCs w:val="16"/>
          <w:lang w:val="en-US"/>
        </w:rPr>
      </w:pPr>
      <w:r w:rsidRPr="00571BB4">
        <w:rPr>
          <w:rStyle w:val="FootnoteReference"/>
          <w:rFonts w:ascii="Arial" w:hAnsi="Arial" w:cs="Arial"/>
          <w:sz w:val="16"/>
          <w:szCs w:val="16"/>
        </w:rPr>
        <w:footnoteRef/>
      </w:r>
      <w:r w:rsidRPr="00571BB4">
        <w:rPr>
          <w:rFonts w:ascii="Arial" w:hAnsi="Arial" w:cs="Arial"/>
          <w:sz w:val="16"/>
          <w:szCs w:val="16"/>
        </w:rPr>
        <w:t xml:space="preserve"> </w:t>
      </w:r>
      <w:r w:rsidRPr="00571BB4">
        <w:rPr>
          <w:rFonts w:ascii="Arial" w:hAnsi="Arial" w:cs="Arial"/>
          <w:sz w:val="16"/>
          <w:szCs w:val="16"/>
          <w:lang w:val="en-US"/>
        </w:rPr>
        <w:t xml:space="preserve">Federal Drug Administration approved prescribing information for </w:t>
      </w:r>
      <w:proofErr w:type="spellStart"/>
      <w:r w:rsidRPr="00571BB4">
        <w:rPr>
          <w:rFonts w:ascii="Arial" w:hAnsi="Arial" w:cs="Arial"/>
          <w:sz w:val="16"/>
          <w:szCs w:val="16"/>
          <w:lang w:val="en-US"/>
        </w:rPr>
        <w:t>Yeztugo</w:t>
      </w:r>
      <w:proofErr w:type="spellEnd"/>
      <w:r w:rsidRPr="00571BB4">
        <w:rPr>
          <w:rFonts w:ascii="Arial" w:hAnsi="Arial" w:cs="Arial"/>
          <w:sz w:val="16"/>
          <w:szCs w:val="16"/>
          <w:lang w:val="en-US"/>
        </w:rPr>
        <w:t xml:space="preserve">. Last reviewed 6/2025 accessed online </w:t>
      </w:r>
      <w:hyperlink r:id="rId2" w:history="1">
        <w:r w:rsidRPr="00571BB4">
          <w:rPr>
            <w:rStyle w:val="Hyperlink"/>
            <w:rFonts w:ascii="Arial" w:hAnsi="Arial" w:cs="Arial"/>
            <w:sz w:val="16"/>
            <w:szCs w:val="16"/>
            <w:lang w:val="en-US"/>
          </w:rPr>
          <w:t>https://www.accessdata.fda.gov/drugsatfda_docs/label/2025/220020s000lbl.pdf</w:t>
        </w:r>
      </w:hyperlink>
    </w:p>
  </w:footnote>
  <w:footnote w:id="5">
    <w:p w14:paraId="1793F1E2" w14:textId="77777777" w:rsidR="009E1CFC" w:rsidRPr="0092185C" w:rsidRDefault="009E1CFC" w:rsidP="00571BB4">
      <w:pPr>
        <w:pStyle w:val="FootnoteText"/>
        <w:jc w:val="both"/>
        <w:rPr>
          <w:lang w:val="en-US"/>
        </w:rPr>
      </w:pPr>
      <w:r w:rsidRPr="00571BB4">
        <w:rPr>
          <w:rStyle w:val="FootnoteReference"/>
          <w:rFonts w:ascii="Arial" w:hAnsi="Arial" w:cs="Arial"/>
          <w:sz w:val="16"/>
          <w:szCs w:val="16"/>
        </w:rPr>
        <w:footnoteRef/>
      </w:r>
      <w:r w:rsidRPr="00571BB4">
        <w:rPr>
          <w:rFonts w:ascii="Arial" w:hAnsi="Arial" w:cs="Arial"/>
          <w:sz w:val="16"/>
          <w:szCs w:val="16"/>
        </w:rPr>
        <w:t xml:space="preserve"> </w:t>
      </w:r>
      <w:r w:rsidRPr="00571BB4">
        <w:rPr>
          <w:rFonts w:ascii="Arial" w:hAnsi="Arial" w:cs="Arial"/>
          <w:sz w:val="16"/>
          <w:szCs w:val="16"/>
          <w:lang w:val="en-US"/>
        </w:rPr>
        <w:t xml:space="preserve">European Medicines Agency. Summary of product characteristics: </w:t>
      </w:r>
      <w:proofErr w:type="spellStart"/>
      <w:r w:rsidRPr="00571BB4">
        <w:rPr>
          <w:rFonts w:ascii="Arial" w:hAnsi="Arial" w:cs="Arial"/>
          <w:sz w:val="16"/>
          <w:szCs w:val="16"/>
          <w:lang w:val="en-US"/>
        </w:rPr>
        <w:t>Yeytuo</w:t>
      </w:r>
      <w:proofErr w:type="spellEnd"/>
      <w:r w:rsidRPr="00571BB4">
        <w:rPr>
          <w:rFonts w:ascii="Arial" w:hAnsi="Arial" w:cs="Arial"/>
          <w:sz w:val="16"/>
          <w:szCs w:val="16"/>
          <w:lang w:val="en-US"/>
        </w:rPr>
        <w:t xml:space="preserve">. Accessed online </w:t>
      </w:r>
      <w:hyperlink r:id="rId3" w:history="1">
        <w:r w:rsidRPr="00571BB4">
          <w:rPr>
            <w:rStyle w:val="Hyperlink"/>
            <w:rFonts w:ascii="Arial" w:hAnsi="Arial" w:cs="Arial"/>
            <w:sz w:val="16"/>
            <w:szCs w:val="16"/>
            <w:lang w:val="en-US"/>
          </w:rPr>
          <w:t>https://www.ema.europa.eu/en/documents/product-information/yeytuo-epar-product-information_en.pd</w:t>
        </w:r>
      </w:hyperlink>
      <w:r w:rsidRPr="00571BB4">
        <w:rPr>
          <w:rFonts w:ascii="Arial" w:hAnsi="Arial" w:cs="Arial"/>
          <w:sz w:val="16"/>
          <w:szCs w:val="16"/>
          <w:lang w:val="en-US"/>
        </w:rPr>
        <w:t>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B1FEBA"/>
    <w:multiLevelType w:val="hybridMultilevel"/>
    <w:tmpl w:val="3BA563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450657"/>
    <w:multiLevelType w:val="hybridMultilevel"/>
    <w:tmpl w:val="C936BB12"/>
    <w:lvl w:ilvl="0" w:tplc="B426AFFE">
      <w:start w:val="1"/>
      <w:numFmt w:val="bullet"/>
      <w:pStyle w:val="ep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D77B7"/>
    <w:multiLevelType w:val="multilevel"/>
    <w:tmpl w:val="115C58F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  <w:b/>
        <w:i w:val="0"/>
        <w:color w:val="000000"/>
        <w:sz w:val="1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295554AB"/>
    <w:multiLevelType w:val="hybridMultilevel"/>
    <w:tmpl w:val="C5FAB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53AEC"/>
    <w:multiLevelType w:val="multilevel"/>
    <w:tmpl w:val="48B49D5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  <w:b/>
        <w:i w:val="0"/>
        <w:color w:val="000000"/>
        <w:sz w:val="1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34A9047A"/>
    <w:multiLevelType w:val="hybridMultilevel"/>
    <w:tmpl w:val="EBFA812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0E47"/>
    <w:multiLevelType w:val="hybridMultilevel"/>
    <w:tmpl w:val="F1669D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546DB"/>
    <w:multiLevelType w:val="multilevel"/>
    <w:tmpl w:val="F304760A"/>
    <w:lvl w:ilvl="0">
      <w:start w:val="11"/>
      <w:numFmt w:val="decimal"/>
      <w:lvlText w:val="PHC Chapter %1:"/>
      <w:lvlJc w:val="left"/>
      <w:pPr>
        <w:ind w:left="2693" w:hanging="29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6674731"/>
    <w:multiLevelType w:val="multilevel"/>
    <w:tmpl w:val="ECCAAF22"/>
    <w:lvl w:ilvl="0">
      <w:start w:val="1"/>
      <w:numFmt w:val="bullet"/>
      <w:pStyle w:val="BulletDirectionsInstructions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A2837"/>
    <w:multiLevelType w:val="hybridMultilevel"/>
    <w:tmpl w:val="FBC079F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0DAB4"/>
    <w:multiLevelType w:val="hybridMultilevel"/>
    <w:tmpl w:val="1ADA8C96"/>
    <w:lvl w:ilvl="0" w:tplc="B8788BE2">
      <w:start w:val="1"/>
      <w:numFmt w:val="decimal"/>
      <w:lvlText w:val="%1)"/>
      <w:lvlJc w:val="left"/>
      <w:pPr>
        <w:ind w:left="720" w:hanging="360"/>
      </w:pPr>
    </w:lvl>
    <w:lvl w:ilvl="1" w:tplc="EDDCCA64">
      <w:start w:val="1"/>
      <w:numFmt w:val="lowerLetter"/>
      <w:lvlText w:val="%2."/>
      <w:lvlJc w:val="left"/>
      <w:pPr>
        <w:ind w:left="1440" w:hanging="360"/>
      </w:pPr>
    </w:lvl>
    <w:lvl w:ilvl="2" w:tplc="04488FE8">
      <w:start w:val="1"/>
      <w:numFmt w:val="lowerRoman"/>
      <w:lvlText w:val="%3."/>
      <w:lvlJc w:val="right"/>
      <w:pPr>
        <w:ind w:left="2160" w:hanging="180"/>
      </w:pPr>
    </w:lvl>
    <w:lvl w:ilvl="3" w:tplc="33A6B900">
      <w:start w:val="1"/>
      <w:numFmt w:val="decimal"/>
      <w:lvlText w:val="%4."/>
      <w:lvlJc w:val="left"/>
      <w:pPr>
        <w:ind w:left="2880" w:hanging="360"/>
      </w:pPr>
    </w:lvl>
    <w:lvl w:ilvl="4" w:tplc="C9764BC2">
      <w:start w:val="1"/>
      <w:numFmt w:val="lowerLetter"/>
      <w:lvlText w:val="%5."/>
      <w:lvlJc w:val="left"/>
      <w:pPr>
        <w:ind w:left="3600" w:hanging="360"/>
      </w:pPr>
    </w:lvl>
    <w:lvl w:ilvl="5" w:tplc="AB5ECD02">
      <w:start w:val="1"/>
      <w:numFmt w:val="lowerRoman"/>
      <w:lvlText w:val="%6."/>
      <w:lvlJc w:val="right"/>
      <w:pPr>
        <w:ind w:left="4320" w:hanging="180"/>
      </w:pPr>
    </w:lvl>
    <w:lvl w:ilvl="6" w:tplc="48DCA2C8">
      <w:start w:val="1"/>
      <w:numFmt w:val="decimal"/>
      <w:lvlText w:val="%7."/>
      <w:lvlJc w:val="left"/>
      <w:pPr>
        <w:ind w:left="5040" w:hanging="360"/>
      </w:pPr>
    </w:lvl>
    <w:lvl w:ilvl="7" w:tplc="3E408D4E">
      <w:start w:val="1"/>
      <w:numFmt w:val="lowerLetter"/>
      <w:lvlText w:val="%8."/>
      <w:lvlJc w:val="left"/>
      <w:pPr>
        <w:ind w:left="5760" w:hanging="360"/>
      </w:pPr>
    </w:lvl>
    <w:lvl w:ilvl="8" w:tplc="82B84B8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01A0C"/>
    <w:multiLevelType w:val="multilevel"/>
    <w:tmpl w:val="D47AF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  <w:b/>
        <w:i w:val="0"/>
        <w:color w:val="000000"/>
        <w:sz w:val="1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4FD9786D"/>
    <w:multiLevelType w:val="multilevel"/>
    <w:tmpl w:val="5E7897D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  <w:b/>
        <w:i w:val="0"/>
        <w:color w:val="000000"/>
        <w:sz w:val="1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>
    <w:nsid w:val="53E829AA"/>
    <w:multiLevelType w:val="hybridMultilevel"/>
    <w:tmpl w:val="4EF46DB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7"/>
    <w:multiLevelType w:val="multilevel"/>
    <w:tmpl w:val="F07EA098"/>
    <w:lvl w:ilvl="0">
      <w:start w:val="11"/>
      <w:numFmt w:val="decimal"/>
      <w:lvlText w:val="%1"/>
      <w:lvlJc w:val="left"/>
      <w:pPr>
        <w:ind w:left="588" w:hanging="588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1590" w:hanging="588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72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4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81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816" w:hanging="1800"/>
      </w:pPr>
      <w:rPr>
        <w:rFonts w:hint="default"/>
        <w:color w:val="auto"/>
      </w:rPr>
    </w:lvl>
  </w:abstractNum>
  <w:abstractNum w:abstractNumId="15">
    <w:nsid w:val="640E49CB"/>
    <w:multiLevelType w:val="hybridMultilevel"/>
    <w:tmpl w:val="AA82BD08"/>
    <w:lvl w:ilvl="0" w:tplc="6460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41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2C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84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EB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08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CD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81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85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5113F"/>
    <w:multiLevelType w:val="multilevel"/>
    <w:tmpl w:val="C422F10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  <w:b/>
        <w:i w:val="0"/>
        <w:color w:val="000000"/>
        <w:sz w:val="1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6BF731A7"/>
    <w:multiLevelType w:val="multilevel"/>
    <w:tmpl w:val="BDA4EB8A"/>
    <w:lvl w:ilvl="0">
      <w:start w:val="1"/>
      <w:numFmt w:val="bullet"/>
      <w:pStyle w:val="BulletMedicin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77879"/>
    <w:multiLevelType w:val="hybridMultilevel"/>
    <w:tmpl w:val="3F76F28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7"/>
  </w:num>
  <w:num w:numId="5">
    <w:abstractNumId w:val="8"/>
    <w:lvlOverride w:ilvl="0">
      <w:lvl w:ilvl="0">
        <w:start w:val="1"/>
        <w:numFmt w:val="bullet"/>
        <w:pStyle w:val="BulletDirectionsInstructions"/>
        <w:lvlText w:val="o"/>
        <w:lvlJc w:val="left"/>
        <w:pPr>
          <w:ind w:left="567" w:hanging="283"/>
        </w:pPr>
        <w:rPr>
          <w:rFonts w:asciiTheme="minorHAnsi" w:hAnsiTheme="minorHAnsi" w:cstheme="minorHAnsi" w:hint="default"/>
          <w:sz w:val="16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851" w:hanging="284"/>
        </w:pPr>
        <w:rPr>
          <w:rFonts w:ascii="Courier New" w:hAnsi="Courier New" w:hint="default"/>
          <w:color w:val="000000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6">
    <w:abstractNumId w:val="7"/>
  </w:num>
  <w:num w:numId="7">
    <w:abstractNumId w:val="11"/>
  </w:num>
  <w:num w:numId="8">
    <w:abstractNumId w:val="7"/>
    <w:lvlOverride w:ilvl="0">
      <w:startOverride w:val="11"/>
    </w:lvlOverride>
    <w:lvlOverride w:ilvl="1">
      <w:startOverride w:val="1"/>
    </w:lvlOverride>
  </w:num>
  <w:num w:numId="9">
    <w:abstractNumId w:val="5"/>
  </w:num>
  <w:num w:numId="10">
    <w:abstractNumId w:val="18"/>
  </w:num>
  <w:num w:numId="11">
    <w:abstractNumId w:val="9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16"/>
  </w:num>
  <w:num w:numId="17">
    <w:abstractNumId w:val="13"/>
  </w:num>
  <w:num w:numId="18">
    <w:abstractNumId w:val="0"/>
  </w:num>
  <w:num w:numId="19">
    <w:abstractNumId w:val="6"/>
  </w:num>
  <w:num w:numId="2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8D"/>
    <w:rsid w:val="00011F5E"/>
    <w:rsid w:val="000145C5"/>
    <w:rsid w:val="00014F42"/>
    <w:rsid w:val="0002543E"/>
    <w:rsid w:val="000274F0"/>
    <w:rsid w:val="000533B5"/>
    <w:rsid w:val="000537EB"/>
    <w:rsid w:val="00056FEF"/>
    <w:rsid w:val="00061FD5"/>
    <w:rsid w:val="00062A4F"/>
    <w:rsid w:val="00063D30"/>
    <w:rsid w:val="0006474B"/>
    <w:rsid w:val="00066507"/>
    <w:rsid w:val="00072D3E"/>
    <w:rsid w:val="00086F52"/>
    <w:rsid w:val="00090AF2"/>
    <w:rsid w:val="000979DB"/>
    <w:rsid w:val="000A47A0"/>
    <w:rsid w:val="000A4CF0"/>
    <w:rsid w:val="000A5015"/>
    <w:rsid w:val="000B23B9"/>
    <w:rsid w:val="000B3DBC"/>
    <w:rsid w:val="000B5814"/>
    <w:rsid w:val="000C483B"/>
    <w:rsid w:val="000C7085"/>
    <w:rsid w:val="000D1B35"/>
    <w:rsid w:val="000D78A3"/>
    <w:rsid w:val="000E1A9A"/>
    <w:rsid w:val="000E2E95"/>
    <w:rsid w:val="000F7070"/>
    <w:rsid w:val="00100949"/>
    <w:rsid w:val="00100C8B"/>
    <w:rsid w:val="001020C8"/>
    <w:rsid w:val="001026A0"/>
    <w:rsid w:val="00103B92"/>
    <w:rsid w:val="00134FA1"/>
    <w:rsid w:val="001374B5"/>
    <w:rsid w:val="00143385"/>
    <w:rsid w:val="00155E16"/>
    <w:rsid w:val="001651A6"/>
    <w:rsid w:val="001712BE"/>
    <w:rsid w:val="0017131C"/>
    <w:rsid w:val="001717CB"/>
    <w:rsid w:val="00176ED9"/>
    <w:rsid w:val="00177E0F"/>
    <w:rsid w:val="00182BC0"/>
    <w:rsid w:val="001855BE"/>
    <w:rsid w:val="00187781"/>
    <w:rsid w:val="001914B8"/>
    <w:rsid w:val="00193BF4"/>
    <w:rsid w:val="001A34C7"/>
    <w:rsid w:val="001A4F80"/>
    <w:rsid w:val="001A747B"/>
    <w:rsid w:val="001B0F07"/>
    <w:rsid w:val="001B257D"/>
    <w:rsid w:val="001C46C6"/>
    <w:rsid w:val="001D04B0"/>
    <w:rsid w:val="001E14CB"/>
    <w:rsid w:val="001E5D8F"/>
    <w:rsid w:val="001F2381"/>
    <w:rsid w:val="001F713A"/>
    <w:rsid w:val="001F75E1"/>
    <w:rsid w:val="00204A7A"/>
    <w:rsid w:val="002130D5"/>
    <w:rsid w:val="002231E5"/>
    <w:rsid w:val="00230E91"/>
    <w:rsid w:val="002334B7"/>
    <w:rsid w:val="00236B79"/>
    <w:rsid w:val="00240C1A"/>
    <w:rsid w:val="00244BDF"/>
    <w:rsid w:val="00247F0B"/>
    <w:rsid w:val="002502E9"/>
    <w:rsid w:val="00253157"/>
    <w:rsid w:val="0027238A"/>
    <w:rsid w:val="0027676D"/>
    <w:rsid w:val="002769B6"/>
    <w:rsid w:val="002805FC"/>
    <w:rsid w:val="002854B1"/>
    <w:rsid w:val="0029012D"/>
    <w:rsid w:val="00294DC5"/>
    <w:rsid w:val="00296715"/>
    <w:rsid w:val="002A361F"/>
    <w:rsid w:val="002C36BD"/>
    <w:rsid w:val="002C3907"/>
    <w:rsid w:val="002C4781"/>
    <w:rsid w:val="002C57E6"/>
    <w:rsid w:val="002C7BDC"/>
    <w:rsid w:val="002D28C5"/>
    <w:rsid w:val="002E319D"/>
    <w:rsid w:val="002E40B3"/>
    <w:rsid w:val="002F2D09"/>
    <w:rsid w:val="002F7E32"/>
    <w:rsid w:val="00305E36"/>
    <w:rsid w:val="00306532"/>
    <w:rsid w:val="003129FF"/>
    <w:rsid w:val="00314B6F"/>
    <w:rsid w:val="00324513"/>
    <w:rsid w:val="00324D35"/>
    <w:rsid w:val="0032641C"/>
    <w:rsid w:val="00327FFA"/>
    <w:rsid w:val="0035614F"/>
    <w:rsid w:val="00357253"/>
    <w:rsid w:val="003627F4"/>
    <w:rsid w:val="00376BC4"/>
    <w:rsid w:val="00377AAF"/>
    <w:rsid w:val="00381FC0"/>
    <w:rsid w:val="00387276"/>
    <w:rsid w:val="00391AC8"/>
    <w:rsid w:val="003952AD"/>
    <w:rsid w:val="00397224"/>
    <w:rsid w:val="003A37DA"/>
    <w:rsid w:val="003B216D"/>
    <w:rsid w:val="003B3526"/>
    <w:rsid w:val="003B442F"/>
    <w:rsid w:val="003B46F1"/>
    <w:rsid w:val="003B4A7B"/>
    <w:rsid w:val="003B56E9"/>
    <w:rsid w:val="003C325A"/>
    <w:rsid w:val="003D5FD7"/>
    <w:rsid w:val="003E0529"/>
    <w:rsid w:val="003E1FB6"/>
    <w:rsid w:val="003F17B8"/>
    <w:rsid w:val="00401B83"/>
    <w:rsid w:val="0041137C"/>
    <w:rsid w:val="00412382"/>
    <w:rsid w:val="00417B0E"/>
    <w:rsid w:val="004218E3"/>
    <w:rsid w:val="00433578"/>
    <w:rsid w:val="00434B2B"/>
    <w:rsid w:val="00474458"/>
    <w:rsid w:val="00482503"/>
    <w:rsid w:val="00482967"/>
    <w:rsid w:val="00485BF1"/>
    <w:rsid w:val="004A760F"/>
    <w:rsid w:val="004B03D9"/>
    <w:rsid w:val="004B0A4C"/>
    <w:rsid w:val="004B26F5"/>
    <w:rsid w:val="004B3E6D"/>
    <w:rsid w:val="004C09DB"/>
    <w:rsid w:val="004C3364"/>
    <w:rsid w:val="004C7745"/>
    <w:rsid w:val="004C7E61"/>
    <w:rsid w:val="004D52E0"/>
    <w:rsid w:val="004D6DF2"/>
    <w:rsid w:val="004E4428"/>
    <w:rsid w:val="004E6F07"/>
    <w:rsid w:val="004F76A0"/>
    <w:rsid w:val="00511032"/>
    <w:rsid w:val="00512281"/>
    <w:rsid w:val="00514A21"/>
    <w:rsid w:val="00530984"/>
    <w:rsid w:val="0053180C"/>
    <w:rsid w:val="005377D8"/>
    <w:rsid w:val="00541A88"/>
    <w:rsid w:val="0054220B"/>
    <w:rsid w:val="005442AF"/>
    <w:rsid w:val="00553DA1"/>
    <w:rsid w:val="0055777C"/>
    <w:rsid w:val="005602ED"/>
    <w:rsid w:val="00562725"/>
    <w:rsid w:val="00567877"/>
    <w:rsid w:val="00571BB4"/>
    <w:rsid w:val="00575136"/>
    <w:rsid w:val="00590A11"/>
    <w:rsid w:val="005A131F"/>
    <w:rsid w:val="005A4AC4"/>
    <w:rsid w:val="005A54C1"/>
    <w:rsid w:val="005A74CB"/>
    <w:rsid w:val="005B60C4"/>
    <w:rsid w:val="005C3EAD"/>
    <w:rsid w:val="005C612C"/>
    <w:rsid w:val="005C7767"/>
    <w:rsid w:val="005D16A6"/>
    <w:rsid w:val="005D3744"/>
    <w:rsid w:val="005D70F4"/>
    <w:rsid w:val="005E009E"/>
    <w:rsid w:val="005E1102"/>
    <w:rsid w:val="005E21AA"/>
    <w:rsid w:val="005E4DD8"/>
    <w:rsid w:val="005E54F0"/>
    <w:rsid w:val="00604005"/>
    <w:rsid w:val="006134E1"/>
    <w:rsid w:val="006219EA"/>
    <w:rsid w:val="00621E3B"/>
    <w:rsid w:val="00631631"/>
    <w:rsid w:val="006369C5"/>
    <w:rsid w:val="00639BC8"/>
    <w:rsid w:val="00641BEF"/>
    <w:rsid w:val="006425D2"/>
    <w:rsid w:val="00655433"/>
    <w:rsid w:val="00656FCB"/>
    <w:rsid w:val="006642E7"/>
    <w:rsid w:val="00665674"/>
    <w:rsid w:val="006720A2"/>
    <w:rsid w:val="006721ED"/>
    <w:rsid w:val="006728F5"/>
    <w:rsid w:val="0067509A"/>
    <w:rsid w:val="006841C6"/>
    <w:rsid w:val="00685185"/>
    <w:rsid w:val="006853FC"/>
    <w:rsid w:val="00696597"/>
    <w:rsid w:val="00697FF4"/>
    <w:rsid w:val="006A0490"/>
    <w:rsid w:val="006A4F1E"/>
    <w:rsid w:val="006A5D1A"/>
    <w:rsid w:val="006A5E43"/>
    <w:rsid w:val="006B45F1"/>
    <w:rsid w:val="006C041D"/>
    <w:rsid w:val="006C29DC"/>
    <w:rsid w:val="006D6912"/>
    <w:rsid w:val="006E229C"/>
    <w:rsid w:val="006E38D3"/>
    <w:rsid w:val="006F02D7"/>
    <w:rsid w:val="006F5B76"/>
    <w:rsid w:val="0070064C"/>
    <w:rsid w:val="007059E9"/>
    <w:rsid w:val="0071183E"/>
    <w:rsid w:val="00713CF3"/>
    <w:rsid w:val="00744930"/>
    <w:rsid w:val="00751E35"/>
    <w:rsid w:val="0076062F"/>
    <w:rsid w:val="007645B0"/>
    <w:rsid w:val="007712AE"/>
    <w:rsid w:val="00771DB6"/>
    <w:rsid w:val="00783728"/>
    <w:rsid w:val="00786EC1"/>
    <w:rsid w:val="00791D4C"/>
    <w:rsid w:val="0079471D"/>
    <w:rsid w:val="0079512F"/>
    <w:rsid w:val="0079728A"/>
    <w:rsid w:val="007A4803"/>
    <w:rsid w:val="007D133F"/>
    <w:rsid w:val="007E4078"/>
    <w:rsid w:val="007F0B14"/>
    <w:rsid w:val="007F4792"/>
    <w:rsid w:val="00801A70"/>
    <w:rsid w:val="008040E1"/>
    <w:rsid w:val="00805814"/>
    <w:rsid w:val="00815310"/>
    <w:rsid w:val="00821217"/>
    <w:rsid w:val="008372C5"/>
    <w:rsid w:val="008468A8"/>
    <w:rsid w:val="0086466F"/>
    <w:rsid w:val="00870D04"/>
    <w:rsid w:val="008732AB"/>
    <w:rsid w:val="00884337"/>
    <w:rsid w:val="00884E96"/>
    <w:rsid w:val="008850A5"/>
    <w:rsid w:val="0088655D"/>
    <w:rsid w:val="008901A3"/>
    <w:rsid w:val="00893E2D"/>
    <w:rsid w:val="00894345"/>
    <w:rsid w:val="00895363"/>
    <w:rsid w:val="008A0174"/>
    <w:rsid w:val="008A0701"/>
    <w:rsid w:val="008A3C8B"/>
    <w:rsid w:val="008A4D36"/>
    <w:rsid w:val="008B7974"/>
    <w:rsid w:val="008C78D4"/>
    <w:rsid w:val="008D04B8"/>
    <w:rsid w:val="008D5531"/>
    <w:rsid w:val="008D6413"/>
    <w:rsid w:val="008E3BAE"/>
    <w:rsid w:val="008F00B3"/>
    <w:rsid w:val="008F53DD"/>
    <w:rsid w:val="00900394"/>
    <w:rsid w:val="009127AD"/>
    <w:rsid w:val="0091303B"/>
    <w:rsid w:val="0092185C"/>
    <w:rsid w:val="00923803"/>
    <w:rsid w:val="00954208"/>
    <w:rsid w:val="00961446"/>
    <w:rsid w:val="00961794"/>
    <w:rsid w:val="00961D13"/>
    <w:rsid w:val="00964741"/>
    <w:rsid w:val="00967C66"/>
    <w:rsid w:val="0098091D"/>
    <w:rsid w:val="009A7A98"/>
    <w:rsid w:val="009B62E6"/>
    <w:rsid w:val="009B643B"/>
    <w:rsid w:val="009C3BE7"/>
    <w:rsid w:val="009C57F0"/>
    <w:rsid w:val="009E1CFC"/>
    <w:rsid w:val="009F5DD0"/>
    <w:rsid w:val="00A04C79"/>
    <w:rsid w:val="00A062A4"/>
    <w:rsid w:val="00A11A81"/>
    <w:rsid w:val="00A1465C"/>
    <w:rsid w:val="00A234D4"/>
    <w:rsid w:val="00A25255"/>
    <w:rsid w:val="00A30F81"/>
    <w:rsid w:val="00A40D46"/>
    <w:rsid w:val="00A432AA"/>
    <w:rsid w:val="00A451B7"/>
    <w:rsid w:val="00A46458"/>
    <w:rsid w:val="00A465B0"/>
    <w:rsid w:val="00A551FA"/>
    <w:rsid w:val="00A60C40"/>
    <w:rsid w:val="00A61CA7"/>
    <w:rsid w:val="00A64A86"/>
    <w:rsid w:val="00A673DF"/>
    <w:rsid w:val="00A675C7"/>
    <w:rsid w:val="00A76BEB"/>
    <w:rsid w:val="00A85850"/>
    <w:rsid w:val="00A93C7E"/>
    <w:rsid w:val="00AA061B"/>
    <w:rsid w:val="00AA1922"/>
    <w:rsid w:val="00AB1477"/>
    <w:rsid w:val="00AB6961"/>
    <w:rsid w:val="00AC136D"/>
    <w:rsid w:val="00AC1DF5"/>
    <w:rsid w:val="00AE2E55"/>
    <w:rsid w:val="00AE3904"/>
    <w:rsid w:val="00B062D6"/>
    <w:rsid w:val="00B0683D"/>
    <w:rsid w:val="00B10F6F"/>
    <w:rsid w:val="00B23480"/>
    <w:rsid w:val="00B26A88"/>
    <w:rsid w:val="00B3778D"/>
    <w:rsid w:val="00B40790"/>
    <w:rsid w:val="00B4319F"/>
    <w:rsid w:val="00B70B3F"/>
    <w:rsid w:val="00B801C8"/>
    <w:rsid w:val="00B91374"/>
    <w:rsid w:val="00BB1A74"/>
    <w:rsid w:val="00BB1E0F"/>
    <w:rsid w:val="00BB4A58"/>
    <w:rsid w:val="00BC7937"/>
    <w:rsid w:val="00BD26B3"/>
    <w:rsid w:val="00BD4CCC"/>
    <w:rsid w:val="00BE021D"/>
    <w:rsid w:val="00BE1428"/>
    <w:rsid w:val="00BE23CF"/>
    <w:rsid w:val="00BE5203"/>
    <w:rsid w:val="00BE532B"/>
    <w:rsid w:val="00BE755D"/>
    <w:rsid w:val="00BF603E"/>
    <w:rsid w:val="00C038CE"/>
    <w:rsid w:val="00C06BBD"/>
    <w:rsid w:val="00C22ED6"/>
    <w:rsid w:val="00C30EB4"/>
    <w:rsid w:val="00C326C4"/>
    <w:rsid w:val="00C32EE9"/>
    <w:rsid w:val="00C36CB0"/>
    <w:rsid w:val="00C46FEF"/>
    <w:rsid w:val="00C517D4"/>
    <w:rsid w:val="00C5500A"/>
    <w:rsid w:val="00C574AF"/>
    <w:rsid w:val="00C6678E"/>
    <w:rsid w:val="00C801D7"/>
    <w:rsid w:val="00C9505D"/>
    <w:rsid w:val="00CA1FEB"/>
    <w:rsid w:val="00CA3C83"/>
    <w:rsid w:val="00CB4153"/>
    <w:rsid w:val="00CB5DCE"/>
    <w:rsid w:val="00CC1ABB"/>
    <w:rsid w:val="00CD47DE"/>
    <w:rsid w:val="00CE188B"/>
    <w:rsid w:val="00CE47D6"/>
    <w:rsid w:val="00CF68DD"/>
    <w:rsid w:val="00D0264D"/>
    <w:rsid w:val="00D22D47"/>
    <w:rsid w:val="00D23C5A"/>
    <w:rsid w:val="00D254B9"/>
    <w:rsid w:val="00D25E08"/>
    <w:rsid w:val="00D41F38"/>
    <w:rsid w:val="00D466D8"/>
    <w:rsid w:val="00D47B52"/>
    <w:rsid w:val="00D4FADF"/>
    <w:rsid w:val="00D51A73"/>
    <w:rsid w:val="00D6171E"/>
    <w:rsid w:val="00D64B28"/>
    <w:rsid w:val="00D7000A"/>
    <w:rsid w:val="00D73CAF"/>
    <w:rsid w:val="00D7555D"/>
    <w:rsid w:val="00D80721"/>
    <w:rsid w:val="00D840E9"/>
    <w:rsid w:val="00D8BBAA"/>
    <w:rsid w:val="00D90B2B"/>
    <w:rsid w:val="00D90D3D"/>
    <w:rsid w:val="00D93271"/>
    <w:rsid w:val="00D964D0"/>
    <w:rsid w:val="00DA11FF"/>
    <w:rsid w:val="00DA1305"/>
    <w:rsid w:val="00DA192A"/>
    <w:rsid w:val="00DA3377"/>
    <w:rsid w:val="00DA5C54"/>
    <w:rsid w:val="00DB61C2"/>
    <w:rsid w:val="00DD4ADE"/>
    <w:rsid w:val="00DE03DB"/>
    <w:rsid w:val="00DE6650"/>
    <w:rsid w:val="00DE6B70"/>
    <w:rsid w:val="00DF1CE0"/>
    <w:rsid w:val="00DF7504"/>
    <w:rsid w:val="00E12236"/>
    <w:rsid w:val="00E256DF"/>
    <w:rsid w:val="00E470DF"/>
    <w:rsid w:val="00E47366"/>
    <w:rsid w:val="00E64FDF"/>
    <w:rsid w:val="00E66D8D"/>
    <w:rsid w:val="00E77355"/>
    <w:rsid w:val="00E80328"/>
    <w:rsid w:val="00E87171"/>
    <w:rsid w:val="00E9208E"/>
    <w:rsid w:val="00E974B3"/>
    <w:rsid w:val="00EA57CF"/>
    <w:rsid w:val="00EB0DC0"/>
    <w:rsid w:val="00EB58E0"/>
    <w:rsid w:val="00ED39D1"/>
    <w:rsid w:val="00ED7D05"/>
    <w:rsid w:val="00EE3627"/>
    <w:rsid w:val="00EF12AB"/>
    <w:rsid w:val="00F018B2"/>
    <w:rsid w:val="00F02B3E"/>
    <w:rsid w:val="00F06343"/>
    <w:rsid w:val="00F07F2A"/>
    <w:rsid w:val="00F16707"/>
    <w:rsid w:val="00F21264"/>
    <w:rsid w:val="00F22353"/>
    <w:rsid w:val="00F22E97"/>
    <w:rsid w:val="00F30A38"/>
    <w:rsid w:val="00F336BF"/>
    <w:rsid w:val="00F35610"/>
    <w:rsid w:val="00F4187B"/>
    <w:rsid w:val="00F453DA"/>
    <w:rsid w:val="00F6118B"/>
    <w:rsid w:val="00F6165F"/>
    <w:rsid w:val="00F67FC1"/>
    <w:rsid w:val="00F72019"/>
    <w:rsid w:val="00F724EC"/>
    <w:rsid w:val="00F83FCA"/>
    <w:rsid w:val="00F859B3"/>
    <w:rsid w:val="00F95EE6"/>
    <w:rsid w:val="00F96CFE"/>
    <w:rsid w:val="00FA0AA4"/>
    <w:rsid w:val="00FA635A"/>
    <w:rsid w:val="00FB1398"/>
    <w:rsid w:val="00FB33E0"/>
    <w:rsid w:val="00FB3447"/>
    <w:rsid w:val="00FB5753"/>
    <w:rsid w:val="00FB6615"/>
    <w:rsid w:val="00FB661E"/>
    <w:rsid w:val="00FB78A4"/>
    <w:rsid w:val="00FC70EA"/>
    <w:rsid w:val="00FD2E85"/>
    <w:rsid w:val="00FD5596"/>
    <w:rsid w:val="00FE30B5"/>
    <w:rsid w:val="00FE501F"/>
    <w:rsid w:val="00FE6CFD"/>
    <w:rsid w:val="00FF11F2"/>
    <w:rsid w:val="00FF7F71"/>
    <w:rsid w:val="011C2077"/>
    <w:rsid w:val="012F5BD9"/>
    <w:rsid w:val="0170CC0A"/>
    <w:rsid w:val="018967F1"/>
    <w:rsid w:val="01A22967"/>
    <w:rsid w:val="01A4C56D"/>
    <w:rsid w:val="01C000F2"/>
    <w:rsid w:val="01EEA1DB"/>
    <w:rsid w:val="01F8D2EA"/>
    <w:rsid w:val="02452F03"/>
    <w:rsid w:val="0248617F"/>
    <w:rsid w:val="02494941"/>
    <w:rsid w:val="024EF0D6"/>
    <w:rsid w:val="026B212D"/>
    <w:rsid w:val="02ACD571"/>
    <w:rsid w:val="02BC56EF"/>
    <w:rsid w:val="02FFE7F9"/>
    <w:rsid w:val="03137ABB"/>
    <w:rsid w:val="033A1184"/>
    <w:rsid w:val="0350064B"/>
    <w:rsid w:val="0369D930"/>
    <w:rsid w:val="0376DAA9"/>
    <w:rsid w:val="03792908"/>
    <w:rsid w:val="037C928C"/>
    <w:rsid w:val="03808F4B"/>
    <w:rsid w:val="03E52069"/>
    <w:rsid w:val="04831565"/>
    <w:rsid w:val="04947D5D"/>
    <w:rsid w:val="04A7B9A7"/>
    <w:rsid w:val="04FC77B7"/>
    <w:rsid w:val="051F7DC1"/>
    <w:rsid w:val="059D9E64"/>
    <w:rsid w:val="05DD53D0"/>
    <w:rsid w:val="0614EA5B"/>
    <w:rsid w:val="0628CC58"/>
    <w:rsid w:val="06438131"/>
    <w:rsid w:val="06576D38"/>
    <w:rsid w:val="065EA6DB"/>
    <w:rsid w:val="0682206B"/>
    <w:rsid w:val="06AB6406"/>
    <w:rsid w:val="06B2BE43"/>
    <w:rsid w:val="06FAE5F8"/>
    <w:rsid w:val="072751FB"/>
    <w:rsid w:val="0755F84A"/>
    <w:rsid w:val="0760C361"/>
    <w:rsid w:val="0763985F"/>
    <w:rsid w:val="076FF74C"/>
    <w:rsid w:val="078F9706"/>
    <w:rsid w:val="07ADF434"/>
    <w:rsid w:val="07C4A667"/>
    <w:rsid w:val="07DA666C"/>
    <w:rsid w:val="07E967CA"/>
    <w:rsid w:val="07EBD120"/>
    <w:rsid w:val="085DADF0"/>
    <w:rsid w:val="08D0FD5E"/>
    <w:rsid w:val="092F2C23"/>
    <w:rsid w:val="09444E63"/>
    <w:rsid w:val="095BDA03"/>
    <w:rsid w:val="0981080D"/>
    <w:rsid w:val="099A9978"/>
    <w:rsid w:val="09F6C117"/>
    <w:rsid w:val="0AEC4641"/>
    <w:rsid w:val="0B13D7C9"/>
    <w:rsid w:val="0B240E42"/>
    <w:rsid w:val="0B6FC33B"/>
    <w:rsid w:val="0B7E407E"/>
    <w:rsid w:val="0B89C133"/>
    <w:rsid w:val="0C378101"/>
    <w:rsid w:val="0C3BAFDB"/>
    <w:rsid w:val="0C45FE94"/>
    <w:rsid w:val="0C4CFC49"/>
    <w:rsid w:val="0C705979"/>
    <w:rsid w:val="0C9C889C"/>
    <w:rsid w:val="0CB3EB23"/>
    <w:rsid w:val="0CD4ED40"/>
    <w:rsid w:val="0CD7C781"/>
    <w:rsid w:val="0CEC2EF0"/>
    <w:rsid w:val="0D001FC9"/>
    <w:rsid w:val="0D412BFE"/>
    <w:rsid w:val="0D5971F8"/>
    <w:rsid w:val="0D6DED48"/>
    <w:rsid w:val="0D73F031"/>
    <w:rsid w:val="0D858170"/>
    <w:rsid w:val="0D92E8E8"/>
    <w:rsid w:val="0D9C2496"/>
    <w:rsid w:val="0E147E53"/>
    <w:rsid w:val="0E17F8C4"/>
    <w:rsid w:val="0E5DD45D"/>
    <w:rsid w:val="0E674CBF"/>
    <w:rsid w:val="0EE3AD17"/>
    <w:rsid w:val="0EF7E3C1"/>
    <w:rsid w:val="0F47F7C9"/>
    <w:rsid w:val="0F52C3D2"/>
    <w:rsid w:val="0F5B02C6"/>
    <w:rsid w:val="0F6D3D7C"/>
    <w:rsid w:val="0F78039B"/>
    <w:rsid w:val="0F8C242B"/>
    <w:rsid w:val="0FD951FF"/>
    <w:rsid w:val="0FD9AA64"/>
    <w:rsid w:val="0FF60583"/>
    <w:rsid w:val="10148A16"/>
    <w:rsid w:val="101773A0"/>
    <w:rsid w:val="10316543"/>
    <w:rsid w:val="1037367F"/>
    <w:rsid w:val="103C06EF"/>
    <w:rsid w:val="10AE8428"/>
    <w:rsid w:val="10B785AB"/>
    <w:rsid w:val="10CC1A4E"/>
    <w:rsid w:val="10CC344E"/>
    <w:rsid w:val="10E1B8EC"/>
    <w:rsid w:val="10E4D54A"/>
    <w:rsid w:val="110A9C20"/>
    <w:rsid w:val="1113114C"/>
    <w:rsid w:val="117A3994"/>
    <w:rsid w:val="117D26E6"/>
    <w:rsid w:val="11ADA612"/>
    <w:rsid w:val="11AF0B10"/>
    <w:rsid w:val="11DD1C02"/>
    <w:rsid w:val="11EEC5C2"/>
    <w:rsid w:val="121A9515"/>
    <w:rsid w:val="121B6A45"/>
    <w:rsid w:val="1235287E"/>
    <w:rsid w:val="127776D4"/>
    <w:rsid w:val="1278CC91"/>
    <w:rsid w:val="1291F321"/>
    <w:rsid w:val="12B11A32"/>
    <w:rsid w:val="12F26B56"/>
    <w:rsid w:val="1322F0AA"/>
    <w:rsid w:val="1352DEBB"/>
    <w:rsid w:val="139C8339"/>
    <w:rsid w:val="14641124"/>
    <w:rsid w:val="146BEBE0"/>
    <w:rsid w:val="14CFCD18"/>
    <w:rsid w:val="14D4E05D"/>
    <w:rsid w:val="14D99D28"/>
    <w:rsid w:val="15027F51"/>
    <w:rsid w:val="150A7536"/>
    <w:rsid w:val="154A891F"/>
    <w:rsid w:val="1552B0A0"/>
    <w:rsid w:val="1561355D"/>
    <w:rsid w:val="156B6FD2"/>
    <w:rsid w:val="156BAB56"/>
    <w:rsid w:val="156EC4E8"/>
    <w:rsid w:val="1582BE34"/>
    <w:rsid w:val="15A24E35"/>
    <w:rsid w:val="15B8835E"/>
    <w:rsid w:val="15D74505"/>
    <w:rsid w:val="15F52B4B"/>
    <w:rsid w:val="160C8D08"/>
    <w:rsid w:val="161DF4EA"/>
    <w:rsid w:val="162A993F"/>
    <w:rsid w:val="164A69BA"/>
    <w:rsid w:val="1654595E"/>
    <w:rsid w:val="167FA974"/>
    <w:rsid w:val="16877538"/>
    <w:rsid w:val="168B9DE3"/>
    <w:rsid w:val="168F68B5"/>
    <w:rsid w:val="16ECFF49"/>
    <w:rsid w:val="16EF0B53"/>
    <w:rsid w:val="17648581"/>
    <w:rsid w:val="17956BC2"/>
    <w:rsid w:val="179FCDB9"/>
    <w:rsid w:val="17C901EC"/>
    <w:rsid w:val="17D1F1D1"/>
    <w:rsid w:val="17F11E90"/>
    <w:rsid w:val="17FC651E"/>
    <w:rsid w:val="181DF648"/>
    <w:rsid w:val="18566645"/>
    <w:rsid w:val="18701A3C"/>
    <w:rsid w:val="18BDB2F6"/>
    <w:rsid w:val="18C77259"/>
    <w:rsid w:val="18CB30CC"/>
    <w:rsid w:val="18D56CE3"/>
    <w:rsid w:val="18D866CA"/>
    <w:rsid w:val="18D9C11E"/>
    <w:rsid w:val="18E14F75"/>
    <w:rsid w:val="19462C55"/>
    <w:rsid w:val="19637B73"/>
    <w:rsid w:val="19AC6137"/>
    <w:rsid w:val="19C0ADA1"/>
    <w:rsid w:val="19C5CC3B"/>
    <w:rsid w:val="19EC00E8"/>
    <w:rsid w:val="1A3F1A05"/>
    <w:rsid w:val="1A60BBC3"/>
    <w:rsid w:val="1A6CE441"/>
    <w:rsid w:val="1A7B66B5"/>
    <w:rsid w:val="1A869371"/>
    <w:rsid w:val="1A86C885"/>
    <w:rsid w:val="1AA8FBA2"/>
    <w:rsid w:val="1ADE437E"/>
    <w:rsid w:val="1AEAC1C3"/>
    <w:rsid w:val="1B13E7A5"/>
    <w:rsid w:val="1B18FAD8"/>
    <w:rsid w:val="1BA05BE3"/>
    <w:rsid w:val="1BAA7C53"/>
    <w:rsid w:val="1BC891ED"/>
    <w:rsid w:val="1C018609"/>
    <w:rsid w:val="1C179467"/>
    <w:rsid w:val="1C40E1B7"/>
    <w:rsid w:val="1C6F4296"/>
    <w:rsid w:val="1CA871E3"/>
    <w:rsid w:val="1CDEFD49"/>
    <w:rsid w:val="1CF812C1"/>
    <w:rsid w:val="1D00BD2E"/>
    <w:rsid w:val="1D095284"/>
    <w:rsid w:val="1D41BE55"/>
    <w:rsid w:val="1D71129F"/>
    <w:rsid w:val="1DB904AC"/>
    <w:rsid w:val="1DD6A135"/>
    <w:rsid w:val="1DE640EB"/>
    <w:rsid w:val="1E09BC11"/>
    <w:rsid w:val="1E99E032"/>
    <w:rsid w:val="1F0F6991"/>
    <w:rsid w:val="1F620673"/>
    <w:rsid w:val="1F62D82D"/>
    <w:rsid w:val="1F7DE2A8"/>
    <w:rsid w:val="1F7E9231"/>
    <w:rsid w:val="1FB82C56"/>
    <w:rsid w:val="1FDAA381"/>
    <w:rsid w:val="1FDBF040"/>
    <w:rsid w:val="200B4182"/>
    <w:rsid w:val="20195B61"/>
    <w:rsid w:val="204883C8"/>
    <w:rsid w:val="20973EF3"/>
    <w:rsid w:val="20ABB1DA"/>
    <w:rsid w:val="2112CD2A"/>
    <w:rsid w:val="21293EA2"/>
    <w:rsid w:val="21422747"/>
    <w:rsid w:val="215DCE5B"/>
    <w:rsid w:val="217DDBDD"/>
    <w:rsid w:val="219E0760"/>
    <w:rsid w:val="2220488B"/>
    <w:rsid w:val="223715CB"/>
    <w:rsid w:val="22428DBE"/>
    <w:rsid w:val="226E78D5"/>
    <w:rsid w:val="2302FC68"/>
    <w:rsid w:val="2307DCC7"/>
    <w:rsid w:val="234A8E8A"/>
    <w:rsid w:val="2378265E"/>
    <w:rsid w:val="237F985A"/>
    <w:rsid w:val="23B2DDC3"/>
    <w:rsid w:val="23F423C1"/>
    <w:rsid w:val="243E3C76"/>
    <w:rsid w:val="2451A344"/>
    <w:rsid w:val="246A2191"/>
    <w:rsid w:val="24794B48"/>
    <w:rsid w:val="247A1BE4"/>
    <w:rsid w:val="24A6E05C"/>
    <w:rsid w:val="24A86E08"/>
    <w:rsid w:val="24C24D8B"/>
    <w:rsid w:val="24C5E84E"/>
    <w:rsid w:val="24D77585"/>
    <w:rsid w:val="24E5F898"/>
    <w:rsid w:val="24F061FB"/>
    <w:rsid w:val="251F3416"/>
    <w:rsid w:val="252283DC"/>
    <w:rsid w:val="252EE68D"/>
    <w:rsid w:val="2577CCAD"/>
    <w:rsid w:val="259A18F0"/>
    <w:rsid w:val="25EA806A"/>
    <w:rsid w:val="26131D56"/>
    <w:rsid w:val="263DB8DF"/>
    <w:rsid w:val="268B76FB"/>
    <w:rsid w:val="26B8A755"/>
    <w:rsid w:val="26F767DF"/>
    <w:rsid w:val="2714F1F8"/>
    <w:rsid w:val="271CC2D9"/>
    <w:rsid w:val="2725826E"/>
    <w:rsid w:val="27EED99D"/>
    <w:rsid w:val="2803E439"/>
    <w:rsid w:val="281CCD04"/>
    <w:rsid w:val="285D4ADB"/>
    <w:rsid w:val="28676A35"/>
    <w:rsid w:val="28A1C938"/>
    <w:rsid w:val="28C5B68B"/>
    <w:rsid w:val="28D3395A"/>
    <w:rsid w:val="292996C4"/>
    <w:rsid w:val="293EE5CE"/>
    <w:rsid w:val="29798AC6"/>
    <w:rsid w:val="29999BFA"/>
    <w:rsid w:val="29E44BBC"/>
    <w:rsid w:val="2A13242B"/>
    <w:rsid w:val="2A3BE336"/>
    <w:rsid w:val="2AB000E2"/>
    <w:rsid w:val="2B481916"/>
    <w:rsid w:val="2B5FB28A"/>
    <w:rsid w:val="2B81BDCC"/>
    <w:rsid w:val="2B88469C"/>
    <w:rsid w:val="2B8F9B3F"/>
    <w:rsid w:val="2B9919AF"/>
    <w:rsid w:val="2BB4A4ED"/>
    <w:rsid w:val="2BD64605"/>
    <w:rsid w:val="2BFFBEFB"/>
    <w:rsid w:val="2C0444FF"/>
    <w:rsid w:val="2C0B7FA2"/>
    <w:rsid w:val="2C0EC354"/>
    <w:rsid w:val="2C25AB51"/>
    <w:rsid w:val="2C5BB1D5"/>
    <w:rsid w:val="2C6C4BAD"/>
    <w:rsid w:val="2C73D0CA"/>
    <w:rsid w:val="2CA40D56"/>
    <w:rsid w:val="2CE04E1A"/>
    <w:rsid w:val="2D564990"/>
    <w:rsid w:val="2D7A7092"/>
    <w:rsid w:val="2D8BDCB2"/>
    <w:rsid w:val="2D96A94C"/>
    <w:rsid w:val="2DE246E9"/>
    <w:rsid w:val="2DF2A574"/>
    <w:rsid w:val="2E16FBE7"/>
    <w:rsid w:val="2E199E1E"/>
    <w:rsid w:val="2E2F6E38"/>
    <w:rsid w:val="2E370599"/>
    <w:rsid w:val="2E934811"/>
    <w:rsid w:val="2E98D39C"/>
    <w:rsid w:val="2EF1CB1A"/>
    <w:rsid w:val="2F176F53"/>
    <w:rsid w:val="2F29938F"/>
    <w:rsid w:val="2F3B3A5E"/>
    <w:rsid w:val="2F490846"/>
    <w:rsid w:val="2F4F5045"/>
    <w:rsid w:val="2F4F5155"/>
    <w:rsid w:val="2F68630C"/>
    <w:rsid w:val="2F89D8DF"/>
    <w:rsid w:val="2FA58FFD"/>
    <w:rsid w:val="2FAC5388"/>
    <w:rsid w:val="2FB8E37F"/>
    <w:rsid w:val="30028C0B"/>
    <w:rsid w:val="300D344B"/>
    <w:rsid w:val="301925D2"/>
    <w:rsid w:val="302CD6B5"/>
    <w:rsid w:val="305C9538"/>
    <w:rsid w:val="30909EFD"/>
    <w:rsid w:val="30A99DC1"/>
    <w:rsid w:val="30CC8834"/>
    <w:rsid w:val="30D50613"/>
    <w:rsid w:val="3123B352"/>
    <w:rsid w:val="31549F44"/>
    <w:rsid w:val="318BBC0C"/>
    <w:rsid w:val="319043AA"/>
    <w:rsid w:val="31E102E3"/>
    <w:rsid w:val="31E9CCF8"/>
    <w:rsid w:val="320B19D0"/>
    <w:rsid w:val="3210ADC4"/>
    <w:rsid w:val="322EA832"/>
    <w:rsid w:val="32385FE3"/>
    <w:rsid w:val="327E9158"/>
    <w:rsid w:val="328712AD"/>
    <w:rsid w:val="32B918A1"/>
    <w:rsid w:val="32C0AA1F"/>
    <w:rsid w:val="32D8F6B7"/>
    <w:rsid w:val="32E7609E"/>
    <w:rsid w:val="3303DD24"/>
    <w:rsid w:val="3356622B"/>
    <w:rsid w:val="337AA51A"/>
    <w:rsid w:val="337BFFB6"/>
    <w:rsid w:val="33E839B8"/>
    <w:rsid w:val="340D9239"/>
    <w:rsid w:val="34136B24"/>
    <w:rsid w:val="342E481E"/>
    <w:rsid w:val="34353D59"/>
    <w:rsid w:val="3446A6BA"/>
    <w:rsid w:val="344867C6"/>
    <w:rsid w:val="345D571A"/>
    <w:rsid w:val="34672072"/>
    <w:rsid w:val="3468F5E7"/>
    <w:rsid w:val="34A4E282"/>
    <w:rsid w:val="34B85D37"/>
    <w:rsid w:val="34F30462"/>
    <w:rsid w:val="34FF053A"/>
    <w:rsid w:val="351B99C1"/>
    <w:rsid w:val="35534F5D"/>
    <w:rsid w:val="356C4F5E"/>
    <w:rsid w:val="35BB5B08"/>
    <w:rsid w:val="35E540A5"/>
    <w:rsid w:val="35FDAF60"/>
    <w:rsid w:val="3630717E"/>
    <w:rsid w:val="363492A8"/>
    <w:rsid w:val="3636411C"/>
    <w:rsid w:val="363E1B8B"/>
    <w:rsid w:val="368B92CE"/>
    <w:rsid w:val="369284FA"/>
    <w:rsid w:val="36966006"/>
    <w:rsid w:val="36B73D77"/>
    <w:rsid w:val="36C410CD"/>
    <w:rsid w:val="36C8AADA"/>
    <w:rsid w:val="36CFABEC"/>
    <w:rsid w:val="36E6F9AF"/>
    <w:rsid w:val="36F82704"/>
    <w:rsid w:val="36FB02E0"/>
    <w:rsid w:val="37025106"/>
    <w:rsid w:val="372FD0EF"/>
    <w:rsid w:val="374A70AC"/>
    <w:rsid w:val="379BF7B6"/>
    <w:rsid w:val="37AE64FF"/>
    <w:rsid w:val="37B38549"/>
    <w:rsid w:val="3874AA24"/>
    <w:rsid w:val="387EE24C"/>
    <w:rsid w:val="388BA318"/>
    <w:rsid w:val="389F6814"/>
    <w:rsid w:val="38A6BCCE"/>
    <w:rsid w:val="38B6ADB0"/>
    <w:rsid w:val="38BAB962"/>
    <w:rsid w:val="38BF4491"/>
    <w:rsid w:val="38CBA9EB"/>
    <w:rsid w:val="3907A668"/>
    <w:rsid w:val="392179A6"/>
    <w:rsid w:val="39567AB4"/>
    <w:rsid w:val="397EF65E"/>
    <w:rsid w:val="3A2DC89B"/>
    <w:rsid w:val="3A42011E"/>
    <w:rsid w:val="3A42F0FB"/>
    <w:rsid w:val="3A57D1F9"/>
    <w:rsid w:val="3A89D219"/>
    <w:rsid w:val="3A9E7897"/>
    <w:rsid w:val="3AFEAF46"/>
    <w:rsid w:val="3B6E68E0"/>
    <w:rsid w:val="3BC9634F"/>
    <w:rsid w:val="3BD4E549"/>
    <w:rsid w:val="3BDB6459"/>
    <w:rsid w:val="3BEA85DC"/>
    <w:rsid w:val="3C573497"/>
    <w:rsid w:val="3C857959"/>
    <w:rsid w:val="3D6408AC"/>
    <w:rsid w:val="3D6EFBD2"/>
    <w:rsid w:val="3DA4A1E5"/>
    <w:rsid w:val="3DA4CE4C"/>
    <w:rsid w:val="3DE66513"/>
    <w:rsid w:val="3E13EFF9"/>
    <w:rsid w:val="3E2C0A8D"/>
    <w:rsid w:val="3E6EEFD0"/>
    <w:rsid w:val="3E81A3D7"/>
    <w:rsid w:val="3EB45202"/>
    <w:rsid w:val="3F380CD4"/>
    <w:rsid w:val="3F9448EB"/>
    <w:rsid w:val="3F9C2FF7"/>
    <w:rsid w:val="3FABA8FB"/>
    <w:rsid w:val="3FE0B77F"/>
    <w:rsid w:val="3FEA54BB"/>
    <w:rsid w:val="3FEFD796"/>
    <w:rsid w:val="400B788E"/>
    <w:rsid w:val="409B0562"/>
    <w:rsid w:val="40CBBF1E"/>
    <w:rsid w:val="4104D015"/>
    <w:rsid w:val="418404D3"/>
    <w:rsid w:val="4189D124"/>
    <w:rsid w:val="41C3F02E"/>
    <w:rsid w:val="41CDA8EF"/>
    <w:rsid w:val="41CE6054"/>
    <w:rsid w:val="41F129DB"/>
    <w:rsid w:val="421A85EE"/>
    <w:rsid w:val="422252BC"/>
    <w:rsid w:val="4236763D"/>
    <w:rsid w:val="4236BB59"/>
    <w:rsid w:val="42389BB8"/>
    <w:rsid w:val="42D47359"/>
    <w:rsid w:val="42FDC5C8"/>
    <w:rsid w:val="430A33BB"/>
    <w:rsid w:val="430A7081"/>
    <w:rsid w:val="43197ED4"/>
    <w:rsid w:val="431BB1E7"/>
    <w:rsid w:val="4334593C"/>
    <w:rsid w:val="4337CD01"/>
    <w:rsid w:val="43398ED0"/>
    <w:rsid w:val="434EDFE7"/>
    <w:rsid w:val="435A3DEB"/>
    <w:rsid w:val="4367EA00"/>
    <w:rsid w:val="437B72EF"/>
    <w:rsid w:val="438DE288"/>
    <w:rsid w:val="43ABE6C9"/>
    <w:rsid w:val="43EE8640"/>
    <w:rsid w:val="43FB8BBD"/>
    <w:rsid w:val="441D2493"/>
    <w:rsid w:val="44229251"/>
    <w:rsid w:val="44599B2A"/>
    <w:rsid w:val="445F79FF"/>
    <w:rsid w:val="448146A2"/>
    <w:rsid w:val="44AF1F82"/>
    <w:rsid w:val="44DD56D9"/>
    <w:rsid w:val="44F200B4"/>
    <w:rsid w:val="4509BEA5"/>
    <w:rsid w:val="457F1730"/>
    <w:rsid w:val="458DDCF0"/>
    <w:rsid w:val="45957ECB"/>
    <w:rsid w:val="45B95255"/>
    <w:rsid w:val="45C16EF1"/>
    <w:rsid w:val="45C37B73"/>
    <w:rsid w:val="45D85B32"/>
    <w:rsid w:val="462C6C5C"/>
    <w:rsid w:val="4678A571"/>
    <w:rsid w:val="46796230"/>
    <w:rsid w:val="46C423BF"/>
    <w:rsid w:val="46D71408"/>
    <w:rsid w:val="46DF9333"/>
    <w:rsid w:val="46E69800"/>
    <w:rsid w:val="46FB3111"/>
    <w:rsid w:val="470A1DAD"/>
    <w:rsid w:val="474843C7"/>
    <w:rsid w:val="475DEB82"/>
    <w:rsid w:val="479B9F85"/>
    <w:rsid w:val="479FD103"/>
    <w:rsid w:val="47C06CA7"/>
    <w:rsid w:val="480C59B8"/>
    <w:rsid w:val="481ED18E"/>
    <w:rsid w:val="48831759"/>
    <w:rsid w:val="489DA14D"/>
    <w:rsid w:val="48BBBFDB"/>
    <w:rsid w:val="48CE97A9"/>
    <w:rsid w:val="4941EDA5"/>
    <w:rsid w:val="4950F6B9"/>
    <w:rsid w:val="495242C6"/>
    <w:rsid w:val="496CA236"/>
    <w:rsid w:val="497012D9"/>
    <w:rsid w:val="49A46900"/>
    <w:rsid w:val="49D139D4"/>
    <w:rsid w:val="49D17143"/>
    <w:rsid w:val="49ECDEAC"/>
    <w:rsid w:val="49F4575E"/>
    <w:rsid w:val="4A4AFDCD"/>
    <w:rsid w:val="4A578F0F"/>
    <w:rsid w:val="4A6EBD9A"/>
    <w:rsid w:val="4A7A2FC0"/>
    <w:rsid w:val="4A96A213"/>
    <w:rsid w:val="4A9BE5F6"/>
    <w:rsid w:val="4A9E7B72"/>
    <w:rsid w:val="4AA7D737"/>
    <w:rsid w:val="4ACE1EE9"/>
    <w:rsid w:val="4AF5CA1C"/>
    <w:rsid w:val="4B20C61A"/>
    <w:rsid w:val="4B75BA27"/>
    <w:rsid w:val="4BA9BF30"/>
    <w:rsid w:val="4BC63928"/>
    <w:rsid w:val="4BC7A975"/>
    <w:rsid w:val="4BF49711"/>
    <w:rsid w:val="4C306540"/>
    <w:rsid w:val="4C38883B"/>
    <w:rsid w:val="4C513E02"/>
    <w:rsid w:val="4C5366E8"/>
    <w:rsid w:val="4C63A276"/>
    <w:rsid w:val="4CC97611"/>
    <w:rsid w:val="4CEEFFAD"/>
    <w:rsid w:val="4CFD88DA"/>
    <w:rsid w:val="4D1A5F56"/>
    <w:rsid w:val="4D2BD151"/>
    <w:rsid w:val="4D35B3AF"/>
    <w:rsid w:val="4D62F30A"/>
    <w:rsid w:val="4D6425B7"/>
    <w:rsid w:val="4D7904AE"/>
    <w:rsid w:val="4D82D91E"/>
    <w:rsid w:val="4DC410AF"/>
    <w:rsid w:val="4DD60B03"/>
    <w:rsid w:val="4E4F1055"/>
    <w:rsid w:val="4E678E97"/>
    <w:rsid w:val="4EE1C70B"/>
    <w:rsid w:val="4EE2FDAC"/>
    <w:rsid w:val="4EEFB409"/>
    <w:rsid w:val="4EF65CB6"/>
    <w:rsid w:val="4F0E42E1"/>
    <w:rsid w:val="4F281CFC"/>
    <w:rsid w:val="4F993222"/>
    <w:rsid w:val="4FF2F9E6"/>
    <w:rsid w:val="50256691"/>
    <w:rsid w:val="504126B2"/>
    <w:rsid w:val="504D2C80"/>
    <w:rsid w:val="5059B11F"/>
    <w:rsid w:val="505BE626"/>
    <w:rsid w:val="508ECE37"/>
    <w:rsid w:val="509F8326"/>
    <w:rsid w:val="50EAE74F"/>
    <w:rsid w:val="5106EBCA"/>
    <w:rsid w:val="514411D1"/>
    <w:rsid w:val="51568710"/>
    <w:rsid w:val="515B012C"/>
    <w:rsid w:val="51C340D0"/>
    <w:rsid w:val="51CE9A8D"/>
    <w:rsid w:val="51DD8B8E"/>
    <w:rsid w:val="5222EBC1"/>
    <w:rsid w:val="5252A56E"/>
    <w:rsid w:val="528D4420"/>
    <w:rsid w:val="5298065B"/>
    <w:rsid w:val="5299EAF5"/>
    <w:rsid w:val="52DFEDC9"/>
    <w:rsid w:val="52E8DAC8"/>
    <w:rsid w:val="52F339B9"/>
    <w:rsid w:val="53055A9A"/>
    <w:rsid w:val="530F1AFF"/>
    <w:rsid w:val="532C7BCC"/>
    <w:rsid w:val="5337450B"/>
    <w:rsid w:val="53455D5B"/>
    <w:rsid w:val="539CF7EC"/>
    <w:rsid w:val="53D7C409"/>
    <w:rsid w:val="53FA8F00"/>
    <w:rsid w:val="545B8E20"/>
    <w:rsid w:val="5479276B"/>
    <w:rsid w:val="5488C419"/>
    <w:rsid w:val="549427A6"/>
    <w:rsid w:val="54CA9579"/>
    <w:rsid w:val="54DA505E"/>
    <w:rsid w:val="54E74B0D"/>
    <w:rsid w:val="55331072"/>
    <w:rsid w:val="5545693F"/>
    <w:rsid w:val="55516199"/>
    <w:rsid w:val="56331F87"/>
    <w:rsid w:val="56C6D439"/>
    <w:rsid w:val="56ECCFA8"/>
    <w:rsid w:val="56FFB871"/>
    <w:rsid w:val="5716D39C"/>
    <w:rsid w:val="5718A8A3"/>
    <w:rsid w:val="5737BC65"/>
    <w:rsid w:val="578D87AF"/>
    <w:rsid w:val="57B646EE"/>
    <w:rsid w:val="57C65FC1"/>
    <w:rsid w:val="582498AE"/>
    <w:rsid w:val="5881BF0B"/>
    <w:rsid w:val="58CEE0F7"/>
    <w:rsid w:val="58E9C607"/>
    <w:rsid w:val="5907AD33"/>
    <w:rsid w:val="5920C1A7"/>
    <w:rsid w:val="59370C45"/>
    <w:rsid w:val="593AD98F"/>
    <w:rsid w:val="595B3BB9"/>
    <w:rsid w:val="5965D87F"/>
    <w:rsid w:val="5991DE01"/>
    <w:rsid w:val="59989537"/>
    <w:rsid w:val="599AC9BD"/>
    <w:rsid w:val="59BF9334"/>
    <w:rsid w:val="59F3DF1F"/>
    <w:rsid w:val="5A869C54"/>
    <w:rsid w:val="5AF6DB8A"/>
    <w:rsid w:val="5AFE9089"/>
    <w:rsid w:val="5B0654A3"/>
    <w:rsid w:val="5B09CB68"/>
    <w:rsid w:val="5B4CE4E3"/>
    <w:rsid w:val="5B7350CD"/>
    <w:rsid w:val="5B770AEA"/>
    <w:rsid w:val="5B805B7C"/>
    <w:rsid w:val="5B9AB18E"/>
    <w:rsid w:val="5BAE6EBA"/>
    <w:rsid w:val="5BD8FEB1"/>
    <w:rsid w:val="5BDE8287"/>
    <w:rsid w:val="5C3B647B"/>
    <w:rsid w:val="5C7986F0"/>
    <w:rsid w:val="5C8A7E4D"/>
    <w:rsid w:val="5CC62583"/>
    <w:rsid w:val="5CDA35F1"/>
    <w:rsid w:val="5CE30130"/>
    <w:rsid w:val="5CFD4F19"/>
    <w:rsid w:val="5D373B79"/>
    <w:rsid w:val="5D4048AF"/>
    <w:rsid w:val="5DAD1EBF"/>
    <w:rsid w:val="5DF72112"/>
    <w:rsid w:val="5E40DA10"/>
    <w:rsid w:val="5E42DDB1"/>
    <w:rsid w:val="5E4AB02C"/>
    <w:rsid w:val="5E5327F4"/>
    <w:rsid w:val="5E8AF6E9"/>
    <w:rsid w:val="5ED44D80"/>
    <w:rsid w:val="5F1ECF76"/>
    <w:rsid w:val="5F4B5251"/>
    <w:rsid w:val="5F5BBCE6"/>
    <w:rsid w:val="5F80FCB1"/>
    <w:rsid w:val="5F9C87E5"/>
    <w:rsid w:val="5FAE5D58"/>
    <w:rsid w:val="5FF73490"/>
    <w:rsid w:val="6021E85E"/>
    <w:rsid w:val="603DCC01"/>
    <w:rsid w:val="6045252C"/>
    <w:rsid w:val="6051B8AD"/>
    <w:rsid w:val="6088DF29"/>
    <w:rsid w:val="6095686F"/>
    <w:rsid w:val="60AA7255"/>
    <w:rsid w:val="60CB7656"/>
    <w:rsid w:val="6112CC57"/>
    <w:rsid w:val="612AA660"/>
    <w:rsid w:val="618AD6BD"/>
    <w:rsid w:val="6195EAF8"/>
    <w:rsid w:val="61B1A8DA"/>
    <w:rsid w:val="61F7BDFD"/>
    <w:rsid w:val="6204A7CA"/>
    <w:rsid w:val="62607CE9"/>
    <w:rsid w:val="62AAD271"/>
    <w:rsid w:val="6306E21A"/>
    <w:rsid w:val="630F409E"/>
    <w:rsid w:val="6323C5ED"/>
    <w:rsid w:val="6336027E"/>
    <w:rsid w:val="633B2C62"/>
    <w:rsid w:val="6346B2C1"/>
    <w:rsid w:val="6390E833"/>
    <w:rsid w:val="63A7507F"/>
    <w:rsid w:val="63A96C36"/>
    <w:rsid w:val="6407C15C"/>
    <w:rsid w:val="6428BBA9"/>
    <w:rsid w:val="643BE081"/>
    <w:rsid w:val="6448C323"/>
    <w:rsid w:val="645A62D8"/>
    <w:rsid w:val="64871D0E"/>
    <w:rsid w:val="649A952D"/>
    <w:rsid w:val="64BD6D62"/>
    <w:rsid w:val="64DF7B87"/>
    <w:rsid w:val="64F67D2F"/>
    <w:rsid w:val="65148C2F"/>
    <w:rsid w:val="656AB52A"/>
    <w:rsid w:val="65C98D23"/>
    <w:rsid w:val="65EE232B"/>
    <w:rsid w:val="66339F29"/>
    <w:rsid w:val="6640457F"/>
    <w:rsid w:val="6646D170"/>
    <w:rsid w:val="665FAE2E"/>
    <w:rsid w:val="666953C4"/>
    <w:rsid w:val="669913FC"/>
    <w:rsid w:val="6699431A"/>
    <w:rsid w:val="669CA3E3"/>
    <w:rsid w:val="66BEF25C"/>
    <w:rsid w:val="66E280D2"/>
    <w:rsid w:val="67064A53"/>
    <w:rsid w:val="6716EE58"/>
    <w:rsid w:val="674192D0"/>
    <w:rsid w:val="674F1978"/>
    <w:rsid w:val="676A1C23"/>
    <w:rsid w:val="678B8DD6"/>
    <w:rsid w:val="680293FF"/>
    <w:rsid w:val="68232338"/>
    <w:rsid w:val="682CE2AE"/>
    <w:rsid w:val="683803A1"/>
    <w:rsid w:val="6875B5C8"/>
    <w:rsid w:val="68910860"/>
    <w:rsid w:val="68FA8F34"/>
    <w:rsid w:val="69001EF9"/>
    <w:rsid w:val="691ABC79"/>
    <w:rsid w:val="691F0A1C"/>
    <w:rsid w:val="692F4205"/>
    <w:rsid w:val="6960D32A"/>
    <w:rsid w:val="69640617"/>
    <w:rsid w:val="6966795F"/>
    <w:rsid w:val="697F445B"/>
    <w:rsid w:val="69B457B5"/>
    <w:rsid w:val="69D82E86"/>
    <w:rsid w:val="6A11110F"/>
    <w:rsid w:val="6A1DC658"/>
    <w:rsid w:val="6A860FC4"/>
    <w:rsid w:val="6A92D21C"/>
    <w:rsid w:val="6AEB7C1E"/>
    <w:rsid w:val="6AEEE414"/>
    <w:rsid w:val="6AEFB272"/>
    <w:rsid w:val="6B0BC02D"/>
    <w:rsid w:val="6B29E8BF"/>
    <w:rsid w:val="6B396613"/>
    <w:rsid w:val="6B551937"/>
    <w:rsid w:val="6B7AFC95"/>
    <w:rsid w:val="6B84233D"/>
    <w:rsid w:val="6B8D4B0A"/>
    <w:rsid w:val="6B8EC1A7"/>
    <w:rsid w:val="6B92B8F6"/>
    <w:rsid w:val="6B9E6D4D"/>
    <w:rsid w:val="6BBD0457"/>
    <w:rsid w:val="6BC1F6BC"/>
    <w:rsid w:val="6BD31118"/>
    <w:rsid w:val="6C062510"/>
    <w:rsid w:val="6C3DD581"/>
    <w:rsid w:val="6C7AFD43"/>
    <w:rsid w:val="6C7F04EB"/>
    <w:rsid w:val="6CD087EF"/>
    <w:rsid w:val="6CD9E3B0"/>
    <w:rsid w:val="6D5940FF"/>
    <w:rsid w:val="6D5EC981"/>
    <w:rsid w:val="6D7E7E9F"/>
    <w:rsid w:val="6D9E96DA"/>
    <w:rsid w:val="6DBA06F4"/>
    <w:rsid w:val="6DF57909"/>
    <w:rsid w:val="6DF66837"/>
    <w:rsid w:val="6E415801"/>
    <w:rsid w:val="6E99509E"/>
    <w:rsid w:val="6E9AA6DD"/>
    <w:rsid w:val="6EF40F35"/>
    <w:rsid w:val="6F0E9CD3"/>
    <w:rsid w:val="6F1705A1"/>
    <w:rsid w:val="6F78A454"/>
    <w:rsid w:val="6FA09E92"/>
    <w:rsid w:val="6FAA0C95"/>
    <w:rsid w:val="6FE44CA4"/>
    <w:rsid w:val="6FE9FD3F"/>
    <w:rsid w:val="6FEC2194"/>
    <w:rsid w:val="7002E574"/>
    <w:rsid w:val="703D3371"/>
    <w:rsid w:val="705C4952"/>
    <w:rsid w:val="70B0D4CA"/>
    <w:rsid w:val="70C0C326"/>
    <w:rsid w:val="70D36742"/>
    <w:rsid w:val="7158124B"/>
    <w:rsid w:val="715CEE0B"/>
    <w:rsid w:val="7175A724"/>
    <w:rsid w:val="71B9482D"/>
    <w:rsid w:val="71DA7487"/>
    <w:rsid w:val="72019FCB"/>
    <w:rsid w:val="7212DFFF"/>
    <w:rsid w:val="722DC389"/>
    <w:rsid w:val="72529283"/>
    <w:rsid w:val="729B3695"/>
    <w:rsid w:val="73033990"/>
    <w:rsid w:val="73209647"/>
    <w:rsid w:val="732D85AB"/>
    <w:rsid w:val="736568E9"/>
    <w:rsid w:val="73796767"/>
    <w:rsid w:val="73846952"/>
    <w:rsid w:val="74041459"/>
    <w:rsid w:val="74297212"/>
    <w:rsid w:val="7446B013"/>
    <w:rsid w:val="7446DA98"/>
    <w:rsid w:val="744DC6DD"/>
    <w:rsid w:val="746BEDB7"/>
    <w:rsid w:val="746D6433"/>
    <w:rsid w:val="74A75AA8"/>
    <w:rsid w:val="750C6A05"/>
    <w:rsid w:val="751A2E06"/>
    <w:rsid w:val="755EA796"/>
    <w:rsid w:val="75619BC5"/>
    <w:rsid w:val="75A6A6D8"/>
    <w:rsid w:val="75A87178"/>
    <w:rsid w:val="75C8F167"/>
    <w:rsid w:val="760FF849"/>
    <w:rsid w:val="76147D90"/>
    <w:rsid w:val="762189F4"/>
    <w:rsid w:val="762783AC"/>
    <w:rsid w:val="766A3887"/>
    <w:rsid w:val="768D7A29"/>
    <w:rsid w:val="76C8E68D"/>
    <w:rsid w:val="76E77CA2"/>
    <w:rsid w:val="76F88708"/>
    <w:rsid w:val="770EFD30"/>
    <w:rsid w:val="77386000"/>
    <w:rsid w:val="773C825C"/>
    <w:rsid w:val="773F11F0"/>
    <w:rsid w:val="77A38E7A"/>
    <w:rsid w:val="77F28E1D"/>
    <w:rsid w:val="78355B81"/>
    <w:rsid w:val="784600DD"/>
    <w:rsid w:val="785FB0C2"/>
    <w:rsid w:val="78A7F2F9"/>
    <w:rsid w:val="78B07B64"/>
    <w:rsid w:val="78E0D457"/>
    <w:rsid w:val="79034FB8"/>
    <w:rsid w:val="7940FE86"/>
    <w:rsid w:val="79A7AFF9"/>
    <w:rsid w:val="79FBF5B6"/>
    <w:rsid w:val="7A304672"/>
    <w:rsid w:val="7A48C67C"/>
    <w:rsid w:val="7A652CF3"/>
    <w:rsid w:val="7A6C4612"/>
    <w:rsid w:val="7A6CEF9F"/>
    <w:rsid w:val="7AA14827"/>
    <w:rsid w:val="7AD953BD"/>
    <w:rsid w:val="7AE6C91C"/>
    <w:rsid w:val="7AEB6BAE"/>
    <w:rsid w:val="7AF5464B"/>
    <w:rsid w:val="7B01F04D"/>
    <w:rsid w:val="7B5AC5B5"/>
    <w:rsid w:val="7B6C6FA3"/>
    <w:rsid w:val="7B74BC8E"/>
    <w:rsid w:val="7B85FFF6"/>
    <w:rsid w:val="7B9589A4"/>
    <w:rsid w:val="7B964228"/>
    <w:rsid w:val="7BC20B23"/>
    <w:rsid w:val="7BE05DB7"/>
    <w:rsid w:val="7BEC4425"/>
    <w:rsid w:val="7C4F1DAC"/>
    <w:rsid w:val="7C6DC287"/>
    <w:rsid w:val="7C965D0E"/>
    <w:rsid w:val="7CAFD177"/>
    <w:rsid w:val="7D1AA04B"/>
    <w:rsid w:val="7D205A6D"/>
    <w:rsid w:val="7D49A998"/>
    <w:rsid w:val="7DDFCB8F"/>
    <w:rsid w:val="7DF24863"/>
    <w:rsid w:val="7E0AAB12"/>
    <w:rsid w:val="7E3805E9"/>
    <w:rsid w:val="7E4291E2"/>
    <w:rsid w:val="7E6D8BD4"/>
    <w:rsid w:val="7E7CB5B0"/>
    <w:rsid w:val="7EC6485C"/>
    <w:rsid w:val="7EC912BB"/>
    <w:rsid w:val="7ECA1E0A"/>
    <w:rsid w:val="7EEF3CF4"/>
    <w:rsid w:val="7F008372"/>
    <w:rsid w:val="7F2F66C8"/>
    <w:rsid w:val="7F3E0BD5"/>
    <w:rsid w:val="7F9AAF3E"/>
    <w:rsid w:val="7FB9AEED"/>
    <w:rsid w:val="7FCB5DC0"/>
    <w:rsid w:val="7F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87F8A3"/>
  <w15:chartTrackingRefBased/>
  <w15:docId w15:val="{0F97B0D2-7B1F-4794-BAF3-317BE88F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iPriority="1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07"/>
    <w:rPr>
      <w:lang w:val="en-ZA"/>
    </w:rPr>
  </w:style>
  <w:style w:type="paragraph" w:styleId="Heading1">
    <w:name w:val="heading 1"/>
    <w:aliases w:val="Chapter Heading"/>
    <w:basedOn w:val="Normal"/>
    <w:next w:val="Normal"/>
    <w:link w:val="Heading1Char"/>
    <w:uiPriority w:val="9"/>
    <w:qFormat/>
    <w:rsid w:val="00F67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Section Heading 1.1"/>
    <w:basedOn w:val="Normal"/>
    <w:next w:val="Normal"/>
    <w:link w:val="Heading2Char"/>
    <w:uiPriority w:val="9"/>
    <w:unhideWhenUsed/>
    <w:qFormat/>
    <w:rsid w:val="00F67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Section Heading 1.1.1"/>
    <w:basedOn w:val="Normal"/>
    <w:next w:val="Normal"/>
    <w:link w:val="Heading3Char"/>
    <w:uiPriority w:val="9"/>
    <w:unhideWhenUsed/>
    <w:qFormat/>
    <w:rsid w:val="00090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aliases w:val="Section Heading 1.1.1.1"/>
    <w:basedOn w:val="Normal"/>
    <w:next w:val="Normal"/>
    <w:link w:val="Heading4Char"/>
    <w:uiPriority w:val="9"/>
    <w:unhideWhenUsed/>
    <w:qFormat/>
    <w:rsid w:val="00014F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0683D"/>
    <w:pPr>
      <w:keepNext/>
      <w:keepLines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-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83D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-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text"/>
    <w:basedOn w:val="Normal"/>
    <w:link w:val="ListParagraphChar"/>
    <w:uiPriority w:val="2"/>
    <w:qFormat/>
    <w:rsid w:val="00E66D8D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E66D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E3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A4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CF0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A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35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10"/>
    <w:unhideWhenUsed/>
    <w:rsid w:val="003B44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rsid w:val="003B442F"/>
    <w:rPr>
      <w:sz w:val="20"/>
      <w:szCs w:val="20"/>
    </w:rPr>
  </w:style>
  <w:style w:type="character" w:styleId="EndnoteReference">
    <w:name w:val="endnote reference"/>
    <w:basedOn w:val="DefaultParagraphFont"/>
    <w:uiPriority w:val="10"/>
    <w:unhideWhenUsed/>
    <w:rsid w:val="003B44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B0F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0F07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unhideWhenUsed/>
    <w:rsid w:val="001B0F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06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06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41C6"/>
    <w:pPr>
      <w:spacing w:after="0" w:line="240" w:lineRule="auto"/>
    </w:pPr>
    <w:rPr>
      <w:lang w:val="en-ZA"/>
    </w:rPr>
  </w:style>
  <w:style w:type="paragraph" w:customStyle="1" w:styleId="xmsonormal">
    <w:name w:val="x_msonormal"/>
    <w:basedOn w:val="Normal"/>
    <w:rsid w:val="00AC136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Chapter Heading Char"/>
    <w:basedOn w:val="DefaultParagraphFont"/>
    <w:link w:val="Heading1"/>
    <w:uiPriority w:val="9"/>
    <w:rsid w:val="00F67F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character" w:customStyle="1" w:styleId="Heading2Char">
    <w:name w:val="Heading 2 Char"/>
    <w:aliases w:val="Section Heading 1.1 Char"/>
    <w:basedOn w:val="DefaultParagraphFont"/>
    <w:link w:val="Heading2"/>
    <w:uiPriority w:val="9"/>
    <w:rsid w:val="00F67F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A"/>
    </w:rPr>
  </w:style>
  <w:style w:type="character" w:customStyle="1" w:styleId="Heading3Char">
    <w:name w:val="Heading 3 Char"/>
    <w:aliases w:val="Section Heading 1.1.1 Char"/>
    <w:basedOn w:val="DefaultParagraphFont"/>
    <w:link w:val="Heading3"/>
    <w:uiPriority w:val="9"/>
    <w:rsid w:val="00090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ZA"/>
    </w:rPr>
  </w:style>
  <w:style w:type="character" w:customStyle="1" w:styleId="docsum-authors">
    <w:name w:val="docsum-authors"/>
    <w:basedOn w:val="DefaultParagraphFont"/>
    <w:rsid w:val="003E0529"/>
  </w:style>
  <w:style w:type="character" w:customStyle="1" w:styleId="docsum-journal-citation">
    <w:name w:val="docsum-journal-citation"/>
    <w:basedOn w:val="DefaultParagraphFont"/>
    <w:rsid w:val="003E0529"/>
  </w:style>
  <w:style w:type="character" w:customStyle="1" w:styleId="citation-part">
    <w:name w:val="citation-part"/>
    <w:basedOn w:val="DefaultParagraphFont"/>
    <w:rsid w:val="003E0529"/>
  </w:style>
  <w:style w:type="character" w:customStyle="1" w:styleId="docsum-pmid">
    <w:name w:val="docsum-pmid"/>
    <w:basedOn w:val="DefaultParagraphFont"/>
    <w:rsid w:val="003E0529"/>
  </w:style>
  <w:style w:type="character" w:customStyle="1" w:styleId="position-number">
    <w:name w:val="position-number"/>
    <w:basedOn w:val="DefaultParagraphFont"/>
    <w:rsid w:val="003E0529"/>
  </w:style>
  <w:style w:type="character" w:customStyle="1" w:styleId="free-resources">
    <w:name w:val="free-resources"/>
    <w:basedOn w:val="DefaultParagraphFont"/>
    <w:rsid w:val="003E0529"/>
  </w:style>
  <w:style w:type="character" w:customStyle="1" w:styleId="publication-type">
    <w:name w:val="publication-type"/>
    <w:basedOn w:val="DefaultParagraphFont"/>
    <w:rsid w:val="003E0529"/>
  </w:style>
  <w:style w:type="character" w:customStyle="1" w:styleId="no-abstract">
    <w:name w:val="no-abstract"/>
    <w:basedOn w:val="DefaultParagraphFont"/>
    <w:rsid w:val="003E0529"/>
  </w:style>
  <w:style w:type="paragraph" w:customStyle="1" w:styleId="ep4">
    <w:name w:val="ep4"/>
    <w:basedOn w:val="Normal"/>
    <w:rsid w:val="00D73CAF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80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21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D80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21"/>
    <w:rPr>
      <w:lang w:val="en-ZA"/>
    </w:rPr>
  </w:style>
  <w:style w:type="character" w:customStyle="1" w:styleId="ListParagraphChar">
    <w:name w:val="List Paragraph Char"/>
    <w:aliases w:val="Table text Char"/>
    <w:basedOn w:val="DefaultParagraphFont"/>
    <w:link w:val="ListParagraph"/>
    <w:uiPriority w:val="2"/>
    <w:locked/>
    <w:rsid w:val="00641BEF"/>
    <w:rPr>
      <w:rFonts w:eastAsiaTheme="minorEastAsia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2805FC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9C57F0"/>
    <w:pPr>
      <w:spacing w:after="0" w:line="240" w:lineRule="auto"/>
    </w:pPr>
    <w:rPr>
      <w:rFonts w:ascii="Calibri" w:eastAsia="Calibri" w:hAnsi="Calibri" w:cs="Times New Roman"/>
      <w:sz w:val="20"/>
      <w:szCs w:val="20"/>
      <w:lang w:val="en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aliases w:val="Section Heading 1.1.1.1 Char"/>
    <w:basedOn w:val="DefaultParagraphFont"/>
    <w:link w:val="Heading4"/>
    <w:uiPriority w:val="9"/>
    <w:rsid w:val="00014F42"/>
    <w:rPr>
      <w:rFonts w:asciiTheme="majorHAnsi" w:eastAsiaTheme="majorEastAsia" w:hAnsiTheme="majorHAnsi" w:cstheme="majorBidi"/>
      <w:i/>
      <w:iCs/>
      <w:color w:val="2E74B5" w:themeColor="accent1" w:themeShade="BF"/>
      <w:lang w:val="en-ZA"/>
    </w:rPr>
  </w:style>
  <w:style w:type="paragraph" w:styleId="NoSpacing">
    <w:name w:val="No Spacing"/>
    <w:uiPriority w:val="1"/>
    <w:qFormat/>
    <w:rsid w:val="00014F42"/>
    <w:pPr>
      <w:spacing w:after="0" w:line="240" w:lineRule="auto"/>
      <w:jc w:val="both"/>
    </w:pPr>
    <w:rPr>
      <w:rFonts w:ascii="Arial" w:hAnsi="Arial"/>
      <w:spacing w:val="-4"/>
      <w:sz w:val="18"/>
      <w:szCs w:val="18"/>
      <w:lang w:val="en-ZA"/>
    </w:rPr>
  </w:style>
  <w:style w:type="character" w:styleId="Strong">
    <w:name w:val="Strong"/>
    <w:basedOn w:val="DefaultParagraphFont"/>
    <w:uiPriority w:val="22"/>
    <w:qFormat/>
    <w:rsid w:val="00014F42"/>
    <w:rPr>
      <w:b/>
      <w:bCs/>
    </w:rPr>
  </w:style>
  <w:style w:type="paragraph" w:customStyle="1" w:styleId="BulletMedicine">
    <w:name w:val="Bullet Medicine"/>
    <w:basedOn w:val="Normal"/>
    <w:next w:val="Normal"/>
    <w:uiPriority w:val="5"/>
    <w:qFormat/>
    <w:rsid w:val="00014F42"/>
    <w:pPr>
      <w:numPr>
        <w:numId w:val="4"/>
      </w:numPr>
      <w:spacing w:after="0" w:line="240" w:lineRule="auto"/>
      <w:jc w:val="both"/>
    </w:pPr>
    <w:rPr>
      <w:rFonts w:ascii="Arial" w:hAnsi="Arial"/>
      <w:spacing w:val="-4"/>
      <w:sz w:val="18"/>
      <w:szCs w:val="18"/>
    </w:rPr>
  </w:style>
  <w:style w:type="paragraph" w:customStyle="1" w:styleId="BulletDirectionsInstructions">
    <w:name w:val="Bullet Directions/Instructions"/>
    <w:basedOn w:val="Normal"/>
    <w:next w:val="Normal"/>
    <w:uiPriority w:val="6"/>
    <w:qFormat/>
    <w:rsid w:val="00014F42"/>
    <w:pPr>
      <w:numPr>
        <w:numId w:val="5"/>
      </w:numPr>
      <w:spacing w:after="0" w:line="240" w:lineRule="auto"/>
    </w:pPr>
    <w:rPr>
      <w:rFonts w:ascii="Arial" w:hAnsi="Arial"/>
      <w:spacing w:val="-4"/>
      <w:sz w:val="18"/>
      <w:szCs w:val="18"/>
    </w:rPr>
  </w:style>
  <w:style w:type="paragraph" w:styleId="TOC7">
    <w:name w:val="toc 7"/>
    <w:aliases w:val="CH TOC 2"/>
    <w:basedOn w:val="Normal"/>
    <w:next w:val="Normal"/>
    <w:autoRedefine/>
    <w:uiPriority w:val="39"/>
    <w:unhideWhenUsed/>
    <w:rsid w:val="00DE6650"/>
    <w:pPr>
      <w:tabs>
        <w:tab w:val="left" w:pos="1531"/>
        <w:tab w:val="right" w:leader="dot" w:pos="6113"/>
      </w:tabs>
      <w:spacing w:before="40" w:after="40" w:line="240" w:lineRule="auto"/>
      <w:ind w:left="1531" w:hanging="680"/>
    </w:pPr>
    <w:rPr>
      <w:rFonts w:ascii="Arial Black" w:hAnsi="Arial Black"/>
      <w:noProof/>
      <w:spacing w:val="-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3D"/>
    <w:rPr>
      <w:rFonts w:asciiTheme="majorHAnsi" w:eastAsiaTheme="majorEastAsia" w:hAnsiTheme="majorHAnsi" w:cstheme="majorBidi"/>
      <w:color w:val="2E74B5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3D"/>
    <w:rPr>
      <w:rFonts w:asciiTheme="majorHAnsi" w:eastAsiaTheme="majorEastAsia" w:hAnsiTheme="majorHAnsi" w:cstheme="majorBidi"/>
      <w:color w:val="1F4D78" w:themeColor="accent1" w:themeShade="7F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rsid w:val="00B0683D"/>
    <w:rPr>
      <w:rFonts w:asciiTheme="majorHAnsi" w:eastAsiaTheme="majorEastAsia" w:hAnsiTheme="majorHAnsi" w:cstheme="majorBidi"/>
      <w:color w:val="272727" w:themeColor="text1" w:themeTint="D8"/>
      <w:spacing w:val="-4"/>
      <w:sz w:val="21"/>
      <w:szCs w:val="21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rsid w:val="00B0683D"/>
    <w:rPr>
      <w:rFonts w:asciiTheme="majorHAnsi" w:eastAsiaTheme="majorEastAsia" w:hAnsiTheme="majorHAnsi" w:cstheme="majorBidi"/>
      <w:i/>
      <w:iCs/>
      <w:color w:val="272727" w:themeColor="text1" w:themeTint="D8"/>
      <w:spacing w:val="-4"/>
      <w:sz w:val="21"/>
      <w:szCs w:val="21"/>
      <w:lang w:val="en-ZA"/>
    </w:rPr>
  </w:style>
  <w:style w:type="table" w:customStyle="1" w:styleId="SamplePHCTable">
    <w:name w:val="Sample PHC Table"/>
    <w:basedOn w:val="TableGrid"/>
    <w:uiPriority w:val="99"/>
    <w:rsid w:val="00B0683D"/>
    <w:pPr>
      <w:jc w:val="center"/>
    </w:pPr>
    <w:rPr>
      <w:rFonts w:ascii="Arial" w:eastAsiaTheme="minorHAnsi" w:hAnsi="Arial"/>
      <w:sz w:val="16"/>
      <w:szCs w:val="18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  <w:vAlign w:val="center"/>
      </w:tcPr>
    </w:tblStylePr>
    <w:tblStylePr w:type="lastRow">
      <w:pPr>
        <w:wordWrap/>
        <w:jc w:val="left"/>
      </w:pPr>
      <w:rPr>
        <w:rFonts w:ascii="Arial" w:hAnsi="Arial"/>
        <w:b w:val="0"/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ICD10">
    <w:name w:val="ICD 10"/>
    <w:basedOn w:val="NoSpacing"/>
    <w:next w:val="Normal"/>
    <w:uiPriority w:val="9"/>
    <w:qFormat/>
    <w:rsid w:val="00B0683D"/>
    <w:pPr>
      <w:jc w:val="left"/>
    </w:pPr>
    <w:rPr>
      <w:sz w:val="16"/>
    </w:rPr>
  </w:style>
  <w:style w:type="paragraph" w:customStyle="1" w:styleId="LoEText">
    <w:name w:val="LoE Text"/>
    <w:basedOn w:val="ListParagraph"/>
    <w:uiPriority w:val="3"/>
    <w:qFormat/>
    <w:rsid w:val="00B0683D"/>
    <w:pPr>
      <w:framePr w:hSpace="284" w:wrap="around" w:vAnchor="text" w:hAnchor="margin" w:xAlign="right" w:y="1"/>
      <w:spacing w:after="0" w:line="240" w:lineRule="auto"/>
      <w:ind w:left="0"/>
      <w:contextualSpacing w:val="0"/>
      <w:suppressOverlap/>
      <w:jc w:val="right"/>
    </w:pPr>
    <w:rPr>
      <w:rFonts w:ascii="Arial" w:eastAsiaTheme="minorHAnsi" w:hAnsi="Arial"/>
      <w:i/>
      <w:spacing w:val="-4"/>
      <w:sz w:val="16"/>
      <w:szCs w:val="16"/>
    </w:rPr>
  </w:style>
  <w:style w:type="paragraph" w:customStyle="1" w:styleId="Centeredbox">
    <w:name w:val="Centered box"/>
    <w:basedOn w:val="Normal"/>
    <w:uiPriority w:val="7"/>
    <w:qFormat/>
    <w:rsid w:val="00B0683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 w:after="120" w:line="240" w:lineRule="auto"/>
      <w:jc w:val="center"/>
    </w:pPr>
    <w:rPr>
      <w:rFonts w:ascii="Arial" w:hAnsi="Arial"/>
      <w:spacing w:val="-4"/>
      <w:sz w:val="18"/>
      <w:szCs w:val="18"/>
    </w:rPr>
  </w:style>
  <w:style w:type="paragraph" w:customStyle="1" w:styleId="Default">
    <w:name w:val="Default"/>
    <w:rsid w:val="00B37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19036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1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2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210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0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90030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5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9395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0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9537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7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019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0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237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49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563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414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144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815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55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0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iv-druginteractions.org/checker" TargetMode="Externa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ma.europa.eu/en/documents/product-information/yeytuo-epar-product-information_en.pd" TargetMode="External"/><Relationship Id="rId2" Type="http://schemas.openxmlformats.org/officeDocument/2006/relationships/hyperlink" Target="https://www.accessdata.fda.gov/drugsatfda_docs/label/2025/220020s000lbl.pdf" TargetMode="External"/><Relationship Id="rId1" Type="http://schemas.openxmlformats.org/officeDocument/2006/relationships/hyperlink" Target="https://knowledgehub.health.gov.za/elibrary/updated-guidelines-provision-oral-pre-exposure-prophylaxis-prep-persons-substantial-r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95C6D89C5AB419B2B5A630BC48A27" ma:contentTypeVersion="3" ma:contentTypeDescription="Create a new document." ma:contentTypeScope="" ma:versionID="d2d700b9413d4f45d8c82217270c0975">
  <xsd:schema xmlns:xsd="http://www.w3.org/2001/XMLSchema" xmlns:xs="http://www.w3.org/2001/XMLSchema" xmlns:p="http://schemas.microsoft.com/office/2006/metadata/properties" xmlns:ns2="96e56112-f651-41e0-b4c4-8225d3f9a4ed" targetNamespace="http://schemas.microsoft.com/office/2006/metadata/properties" ma:root="true" ma:fieldsID="d5b80fa5fb3767e8036c4a35104563c5" ns2:_="">
    <xsd:import namespace="96e56112-f651-41e0-b4c4-8225d3f9a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6112-f651-41e0-b4c4-8225d3f9a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8C1E-1E0D-470A-B5A6-AEBA285D2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56112-f651-41e0-b4c4-8225d3f9a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7F1C2-212C-41C0-9F6B-C37D16BB5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81F57-C516-4C32-B23E-6B79827AD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4C1DE-C7BB-4C3F-9578-C00440C3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Zahiera Adam</cp:lastModifiedBy>
  <cp:revision>3</cp:revision>
  <dcterms:created xsi:type="dcterms:W3CDTF">2025-11-03T14:19:00Z</dcterms:created>
  <dcterms:modified xsi:type="dcterms:W3CDTF">2025-11-03T14:40:00Z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d8f4fe-a663-42eb-8244-932377b29b4d_Enabled">
    <vt:lpwstr>true</vt:lpwstr>
  </property>
  <property fmtid="{D5CDD505-2E9C-101B-9397-08002B2CF9AE}" pid="3" name="MSIP_Label_f9d8f4fe-a663-42eb-8244-932377b29b4d_SetDate">
    <vt:lpwstr>2024-06-19T13:52:09Z</vt:lpwstr>
  </property>
  <property fmtid="{D5CDD505-2E9C-101B-9397-08002B2CF9AE}" pid="4" name="MSIP_Label_f9d8f4fe-a663-42eb-8244-932377b29b4d_Method">
    <vt:lpwstr>Standard</vt:lpwstr>
  </property>
  <property fmtid="{D5CDD505-2E9C-101B-9397-08002B2CF9AE}" pid="5" name="MSIP_Label_f9d8f4fe-a663-42eb-8244-932377b29b4d_Name">
    <vt:lpwstr>Public</vt:lpwstr>
  </property>
  <property fmtid="{D5CDD505-2E9C-101B-9397-08002B2CF9AE}" pid="6" name="MSIP_Label_f9d8f4fe-a663-42eb-8244-932377b29b4d_SiteId">
    <vt:lpwstr>66b8ffa6-81c0-4ea6-93fb-06f390dc67f6</vt:lpwstr>
  </property>
  <property fmtid="{D5CDD505-2E9C-101B-9397-08002B2CF9AE}" pid="7" name="MSIP_Label_f9d8f4fe-a663-42eb-8244-932377b29b4d_ActionId">
    <vt:lpwstr>b4cb04a1-a1eb-4153-af3c-37541ef0eb6c</vt:lpwstr>
  </property>
  <property fmtid="{D5CDD505-2E9C-101B-9397-08002B2CF9AE}" pid="8" name="MSIP_Label_f9d8f4fe-a663-42eb-8244-932377b29b4d_ContentBits">
    <vt:lpwstr>0</vt:lpwstr>
  </property>
  <property fmtid="{D5CDD505-2E9C-101B-9397-08002B2CF9AE}" pid="9" name="GrammarlyDocumentId">
    <vt:lpwstr>5724d9ff80e969461312773f87604a201dd508ddf8b69c55d40c17a024de1e2e</vt:lpwstr>
  </property>
  <property fmtid="{D5CDD505-2E9C-101B-9397-08002B2CF9AE}" pid="10" name="ContentTypeId">
    <vt:lpwstr>0x01010012C95C6D89C5AB419B2B5A630BC48A27</vt:lpwstr>
  </property>
</Properties>
</file>