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F37F66" w14:textId="7AF9AFD2" w:rsidR="00580997" w:rsidRPr="00367F15" w:rsidRDefault="004C7896" w:rsidP="00490629">
      <w:pPr>
        <w:pStyle w:val="Heading1"/>
      </w:pPr>
      <w:r w:rsidRPr="00367F15">
        <w:t>H</w:t>
      </w:r>
      <w:r w:rsidR="003624DC" w:rsidRPr="00367F15">
        <w:t xml:space="preserve">uman immunodeficiency virus and acquired immune deficiency </w:t>
      </w:r>
      <w:r w:rsidR="003624DC" w:rsidRPr="00367F15">
        <w:tab/>
        <w:t>syndrome (HIV AND AIDS)</w:t>
      </w:r>
    </w:p>
    <w:p w14:paraId="239525A8" w14:textId="77777777" w:rsidR="002E7F99" w:rsidRDefault="00DF68AF">
      <w:pPr>
        <w:pStyle w:val="TOC6"/>
        <w:rPr>
          <w:rFonts w:asciiTheme="minorHAnsi" w:eastAsiaTheme="minorEastAsia" w:hAnsiTheme="minorHAnsi"/>
          <w:spacing w:val="0"/>
          <w:sz w:val="22"/>
          <w:szCs w:val="22"/>
          <w:lang w:val="en-US"/>
        </w:rPr>
      </w:pPr>
      <w:r w:rsidRPr="00367F15">
        <w:fldChar w:fldCharType="begin"/>
      </w:r>
      <w:r w:rsidRPr="00367F15">
        <w:instrText xml:space="preserve"> TOC \b Chapter11 \n \h \z \u \t "Heading 1A,6,Heading 2,7,Heading 3,8,Heading 4,9" </w:instrText>
      </w:r>
      <w:r w:rsidRPr="00367F15">
        <w:fldChar w:fldCharType="separate"/>
      </w:r>
      <w:hyperlink w:anchor="_Toc177151087" w:history="1">
        <w:r w:rsidR="002E7F99" w:rsidRPr="003B4981">
          <w:rPr>
            <w:rStyle w:val="Hyperlink"/>
          </w:rPr>
          <w:t>HIV infection in adults and adolescents (10-19 years old)</w:t>
        </w:r>
      </w:hyperlink>
    </w:p>
    <w:p w14:paraId="2BD2546E" w14:textId="77777777" w:rsidR="002E7F99" w:rsidRDefault="00F80853">
      <w:pPr>
        <w:pStyle w:val="TOC7"/>
        <w:rPr>
          <w:rFonts w:asciiTheme="minorHAnsi" w:eastAsiaTheme="minorEastAsia" w:hAnsiTheme="minorHAnsi"/>
          <w:spacing w:val="0"/>
          <w:sz w:val="22"/>
          <w:szCs w:val="22"/>
          <w:lang w:val="en-US"/>
        </w:rPr>
      </w:pPr>
      <w:hyperlink w:anchor="_Toc177151088" w:history="1">
        <w:r w:rsidR="002E7F99" w:rsidRPr="003B4981">
          <w:rPr>
            <w:rStyle w:val="Hyperlink"/>
          </w:rPr>
          <w:t>11.1</w:t>
        </w:r>
        <w:r w:rsidR="002E7F99">
          <w:rPr>
            <w:rFonts w:asciiTheme="minorHAnsi" w:eastAsiaTheme="minorEastAsia" w:hAnsiTheme="minorHAnsi"/>
            <w:spacing w:val="0"/>
            <w:sz w:val="22"/>
            <w:szCs w:val="22"/>
            <w:lang w:val="en-US"/>
          </w:rPr>
          <w:tab/>
        </w:r>
        <w:r w:rsidR="002E7F99" w:rsidRPr="003B4981">
          <w:rPr>
            <w:rStyle w:val="Hyperlink"/>
          </w:rPr>
          <w:t>Antiretroviral therapy, adults and adolescents (10-19 years old)</w:t>
        </w:r>
      </w:hyperlink>
    </w:p>
    <w:p w14:paraId="3EFDD4DB" w14:textId="77777777" w:rsidR="002E7F99" w:rsidRDefault="00F80853">
      <w:pPr>
        <w:pStyle w:val="TOC7"/>
        <w:rPr>
          <w:rFonts w:asciiTheme="minorHAnsi" w:eastAsiaTheme="minorEastAsia" w:hAnsiTheme="minorHAnsi"/>
          <w:spacing w:val="0"/>
          <w:sz w:val="22"/>
          <w:szCs w:val="22"/>
          <w:lang w:val="en-US"/>
        </w:rPr>
      </w:pPr>
      <w:hyperlink w:anchor="_Toc177151089" w:history="1">
        <w:r w:rsidR="002E7F99" w:rsidRPr="003B4981">
          <w:rPr>
            <w:rStyle w:val="Hyperlink"/>
          </w:rPr>
          <w:t>11.2</w:t>
        </w:r>
        <w:r w:rsidR="002E7F99">
          <w:rPr>
            <w:rFonts w:asciiTheme="minorHAnsi" w:eastAsiaTheme="minorEastAsia" w:hAnsiTheme="minorHAnsi"/>
            <w:spacing w:val="0"/>
            <w:sz w:val="22"/>
            <w:szCs w:val="22"/>
            <w:lang w:val="en-US"/>
          </w:rPr>
          <w:tab/>
        </w:r>
        <w:r w:rsidR="002E7F99" w:rsidRPr="003B4981">
          <w:rPr>
            <w:rStyle w:val="Hyperlink"/>
          </w:rPr>
          <w:t>Opportunistic infections, prophylaxis in adults</w:t>
        </w:r>
      </w:hyperlink>
    </w:p>
    <w:p w14:paraId="2ADBA7AE" w14:textId="77777777" w:rsidR="002E7F99" w:rsidRDefault="00F80853">
      <w:pPr>
        <w:pStyle w:val="TOC8"/>
        <w:rPr>
          <w:rFonts w:asciiTheme="minorHAnsi" w:eastAsiaTheme="minorEastAsia" w:hAnsiTheme="minorHAnsi"/>
          <w:spacing w:val="0"/>
          <w:sz w:val="22"/>
          <w:szCs w:val="22"/>
          <w:lang w:val="en-US"/>
        </w:rPr>
      </w:pPr>
      <w:hyperlink w:anchor="_Toc177151090" w:history="1">
        <w:r w:rsidR="002E7F99" w:rsidRPr="003B4981">
          <w:rPr>
            <w:rStyle w:val="Hyperlink"/>
          </w:rPr>
          <w:t>11.2.1</w:t>
        </w:r>
        <w:r w:rsidR="002E7F99">
          <w:rPr>
            <w:rFonts w:asciiTheme="minorHAnsi" w:eastAsiaTheme="minorEastAsia" w:hAnsiTheme="minorHAnsi"/>
            <w:spacing w:val="0"/>
            <w:sz w:val="22"/>
            <w:szCs w:val="22"/>
            <w:lang w:val="en-US"/>
          </w:rPr>
          <w:tab/>
        </w:r>
        <w:r w:rsidR="002E7F99" w:rsidRPr="003B4981">
          <w:rPr>
            <w:rStyle w:val="Hyperlink"/>
          </w:rPr>
          <w:t>Cotrimoxazole prophylaxis</w:t>
        </w:r>
      </w:hyperlink>
    </w:p>
    <w:p w14:paraId="47BC9B0C" w14:textId="77777777" w:rsidR="002E7F99" w:rsidRDefault="00F80853">
      <w:pPr>
        <w:pStyle w:val="TOC8"/>
        <w:rPr>
          <w:rFonts w:asciiTheme="minorHAnsi" w:eastAsiaTheme="minorEastAsia" w:hAnsiTheme="minorHAnsi"/>
          <w:spacing w:val="0"/>
          <w:sz w:val="22"/>
          <w:szCs w:val="22"/>
          <w:lang w:val="en-US"/>
        </w:rPr>
      </w:pPr>
      <w:hyperlink w:anchor="_Toc177151091" w:history="1">
        <w:r w:rsidR="002E7F99" w:rsidRPr="003B4981">
          <w:rPr>
            <w:rStyle w:val="Hyperlink"/>
          </w:rPr>
          <w:t>11.2.2</w:t>
        </w:r>
        <w:r w:rsidR="002E7F99">
          <w:rPr>
            <w:rFonts w:asciiTheme="minorHAnsi" w:eastAsiaTheme="minorEastAsia" w:hAnsiTheme="minorHAnsi"/>
            <w:spacing w:val="0"/>
            <w:sz w:val="22"/>
            <w:szCs w:val="22"/>
            <w:lang w:val="en-US"/>
          </w:rPr>
          <w:tab/>
        </w:r>
        <w:r w:rsidR="002E7F99" w:rsidRPr="003B4981">
          <w:rPr>
            <w:rStyle w:val="Hyperlink"/>
          </w:rPr>
          <w:t>Tuberculosis preventive therapy (TPT)</w:t>
        </w:r>
      </w:hyperlink>
    </w:p>
    <w:p w14:paraId="2994F739" w14:textId="77777777" w:rsidR="002E7F99" w:rsidRDefault="00F80853">
      <w:pPr>
        <w:pStyle w:val="TOC7"/>
        <w:rPr>
          <w:rFonts w:asciiTheme="minorHAnsi" w:eastAsiaTheme="minorEastAsia" w:hAnsiTheme="minorHAnsi"/>
          <w:spacing w:val="0"/>
          <w:sz w:val="22"/>
          <w:szCs w:val="22"/>
          <w:lang w:val="en-US"/>
        </w:rPr>
      </w:pPr>
      <w:hyperlink w:anchor="_Toc177151092" w:history="1">
        <w:r w:rsidR="002E7F99" w:rsidRPr="003B4981">
          <w:rPr>
            <w:rStyle w:val="Hyperlink"/>
          </w:rPr>
          <w:t>11.3</w:t>
        </w:r>
        <w:r w:rsidR="002E7F99">
          <w:rPr>
            <w:rFonts w:asciiTheme="minorHAnsi" w:eastAsiaTheme="minorEastAsia" w:hAnsiTheme="minorHAnsi"/>
            <w:spacing w:val="0"/>
            <w:sz w:val="22"/>
            <w:szCs w:val="22"/>
            <w:lang w:val="en-US"/>
          </w:rPr>
          <w:tab/>
        </w:r>
        <w:r w:rsidR="002E7F99" w:rsidRPr="003B4981">
          <w:rPr>
            <w:rStyle w:val="Hyperlink"/>
          </w:rPr>
          <w:t>Opportunistic infections, treatment in adults</w:t>
        </w:r>
      </w:hyperlink>
    </w:p>
    <w:p w14:paraId="52DD13B5" w14:textId="77777777" w:rsidR="002E7F99" w:rsidRDefault="00F80853">
      <w:pPr>
        <w:pStyle w:val="TOC8"/>
        <w:rPr>
          <w:rFonts w:asciiTheme="minorHAnsi" w:eastAsiaTheme="minorEastAsia" w:hAnsiTheme="minorHAnsi"/>
          <w:spacing w:val="0"/>
          <w:sz w:val="22"/>
          <w:szCs w:val="22"/>
          <w:lang w:val="en-US"/>
        </w:rPr>
      </w:pPr>
      <w:hyperlink w:anchor="_Toc177151093" w:history="1">
        <w:r w:rsidR="002E7F99" w:rsidRPr="003B4981">
          <w:rPr>
            <w:rStyle w:val="Hyperlink"/>
          </w:rPr>
          <w:t>11.3.1</w:t>
        </w:r>
        <w:r w:rsidR="002E7F99">
          <w:rPr>
            <w:rFonts w:asciiTheme="minorHAnsi" w:eastAsiaTheme="minorEastAsia" w:hAnsiTheme="minorHAnsi"/>
            <w:spacing w:val="0"/>
            <w:sz w:val="22"/>
            <w:szCs w:val="22"/>
            <w:lang w:val="en-US"/>
          </w:rPr>
          <w:tab/>
        </w:r>
        <w:r w:rsidR="002E7F99" w:rsidRPr="003B4981">
          <w:rPr>
            <w:rStyle w:val="Hyperlink"/>
          </w:rPr>
          <w:t>Aphthous ulcers in HIV infection</w:t>
        </w:r>
      </w:hyperlink>
    </w:p>
    <w:p w14:paraId="0649E3F8" w14:textId="77777777" w:rsidR="002E7F99" w:rsidRDefault="00F80853">
      <w:pPr>
        <w:pStyle w:val="TOC8"/>
        <w:rPr>
          <w:rFonts w:asciiTheme="minorHAnsi" w:eastAsiaTheme="minorEastAsia" w:hAnsiTheme="minorHAnsi"/>
          <w:spacing w:val="0"/>
          <w:sz w:val="22"/>
          <w:szCs w:val="22"/>
          <w:lang w:val="en-US"/>
        </w:rPr>
      </w:pPr>
      <w:hyperlink w:anchor="_Toc177151094" w:history="1">
        <w:r w:rsidR="002E7F99" w:rsidRPr="003B4981">
          <w:rPr>
            <w:rStyle w:val="Hyperlink"/>
          </w:rPr>
          <w:t>11.3.2</w:t>
        </w:r>
        <w:r w:rsidR="002E7F99">
          <w:rPr>
            <w:rFonts w:asciiTheme="minorHAnsi" w:eastAsiaTheme="minorEastAsia" w:hAnsiTheme="minorHAnsi"/>
            <w:spacing w:val="0"/>
            <w:sz w:val="22"/>
            <w:szCs w:val="22"/>
            <w:lang w:val="en-US"/>
          </w:rPr>
          <w:tab/>
        </w:r>
        <w:r w:rsidR="002E7F99" w:rsidRPr="003B4981">
          <w:rPr>
            <w:rStyle w:val="Hyperlink"/>
          </w:rPr>
          <w:t>Candidiasis, oral</w:t>
        </w:r>
      </w:hyperlink>
    </w:p>
    <w:p w14:paraId="5BBB5312" w14:textId="77777777" w:rsidR="002E7F99" w:rsidRDefault="00F80853">
      <w:pPr>
        <w:pStyle w:val="TOC8"/>
        <w:rPr>
          <w:rFonts w:asciiTheme="minorHAnsi" w:eastAsiaTheme="minorEastAsia" w:hAnsiTheme="minorHAnsi"/>
          <w:spacing w:val="0"/>
          <w:sz w:val="22"/>
          <w:szCs w:val="22"/>
          <w:lang w:val="en-US"/>
        </w:rPr>
      </w:pPr>
      <w:hyperlink w:anchor="_Toc177151095" w:history="1">
        <w:r w:rsidR="002E7F99" w:rsidRPr="003B4981">
          <w:rPr>
            <w:rStyle w:val="Hyperlink"/>
          </w:rPr>
          <w:t>11.3.3</w:t>
        </w:r>
        <w:r w:rsidR="002E7F99">
          <w:rPr>
            <w:rFonts w:asciiTheme="minorHAnsi" w:eastAsiaTheme="minorEastAsia" w:hAnsiTheme="minorHAnsi"/>
            <w:spacing w:val="0"/>
            <w:sz w:val="22"/>
            <w:szCs w:val="22"/>
            <w:lang w:val="en-US"/>
          </w:rPr>
          <w:tab/>
        </w:r>
        <w:r w:rsidR="002E7F99" w:rsidRPr="003B4981">
          <w:rPr>
            <w:rStyle w:val="Hyperlink"/>
          </w:rPr>
          <w:t>Candidiasis, oesophageal</w:t>
        </w:r>
      </w:hyperlink>
    </w:p>
    <w:p w14:paraId="3C6EB94C" w14:textId="77777777" w:rsidR="002E7F99" w:rsidRDefault="00F80853">
      <w:pPr>
        <w:pStyle w:val="TOC8"/>
        <w:rPr>
          <w:rFonts w:asciiTheme="minorHAnsi" w:eastAsiaTheme="minorEastAsia" w:hAnsiTheme="minorHAnsi"/>
          <w:spacing w:val="0"/>
          <w:sz w:val="22"/>
          <w:szCs w:val="22"/>
          <w:lang w:val="en-US"/>
        </w:rPr>
      </w:pPr>
      <w:hyperlink w:anchor="_Toc177151096" w:history="1">
        <w:r w:rsidR="002E7F99" w:rsidRPr="003B4981">
          <w:rPr>
            <w:rStyle w:val="Hyperlink"/>
          </w:rPr>
          <w:t>11.3.4</w:t>
        </w:r>
        <w:r w:rsidR="002E7F99">
          <w:rPr>
            <w:rFonts w:asciiTheme="minorHAnsi" w:eastAsiaTheme="minorEastAsia" w:hAnsiTheme="minorHAnsi"/>
            <w:spacing w:val="0"/>
            <w:sz w:val="22"/>
            <w:szCs w:val="22"/>
            <w:lang w:val="en-US"/>
          </w:rPr>
          <w:tab/>
        </w:r>
        <w:r w:rsidR="002E7F99" w:rsidRPr="003B4981">
          <w:rPr>
            <w:rStyle w:val="Hyperlink"/>
          </w:rPr>
          <w:t>Cryptococcosis</w:t>
        </w:r>
      </w:hyperlink>
    </w:p>
    <w:p w14:paraId="7EC777B1" w14:textId="77777777" w:rsidR="002E7F99" w:rsidRDefault="00F80853">
      <w:pPr>
        <w:pStyle w:val="TOC8"/>
        <w:rPr>
          <w:rFonts w:asciiTheme="minorHAnsi" w:eastAsiaTheme="minorEastAsia" w:hAnsiTheme="minorHAnsi"/>
          <w:spacing w:val="0"/>
          <w:sz w:val="22"/>
          <w:szCs w:val="22"/>
          <w:lang w:val="en-US"/>
        </w:rPr>
      </w:pPr>
      <w:hyperlink w:anchor="_Toc177151097" w:history="1">
        <w:r w:rsidR="002E7F99" w:rsidRPr="003B4981">
          <w:rPr>
            <w:rStyle w:val="Hyperlink"/>
          </w:rPr>
          <w:t>11.3.5</w:t>
        </w:r>
        <w:r w:rsidR="002E7F99">
          <w:rPr>
            <w:rFonts w:asciiTheme="minorHAnsi" w:eastAsiaTheme="minorEastAsia" w:hAnsiTheme="minorHAnsi"/>
            <w:spacing w:val="0"/>
            <w:sz w:val="22"/>
            <w:szCs w:val="22"/>
            <w:lang w:val="en-US"/>
          </w:rPr>
          <w:tab/>
        </w:r>
        <w:r w:rsidR="002E7F99" w:rsidRPr="003B4981">
          <w:rPr>
            <w:rStyle w:val="Hyperlink"/>
          </w:rPr>
          <w:t>Diarrhoea, HIV-associated</w:t>
        </w:r>
      </w:hyperlink>
    </w:p>
    <w:p w14:paraId="4547AE65" w14:textId="77777777" w:rsidR="002E7F99" w:rsidRDefault="00F80853">
      <w:pPr>
        <w:pStyle w:val="TOC8"/>
        <w:rPr>
          <w:rFonts w:asciiTheme="minorHAnsi" w:eastAsiaTheme="minorEastAsia" w:hAnsiTheme="minorHAnsi"/>
          <w:spacing w:val="0"/>
          <w:sz w:val="22"/>
          <w:szCs w:val="22"/>
          <w:lang w:val="en-US"/>
        </w:rPr>
      </w:pPr>
      <w:hyperlink w:anchor="_Toc177151098" w:history="1">
        <w:r w:rsidR="002E7F99" w:rsidRPr="003B4981">
          <w:rPr>
            <w:rStyle w:val="Hyperlink"/>
          </w:rPr>
          <w:t>11.3.6</w:t>
        </w:r>
        <w:r w:rsidR="002E7F99">
          <w:rPr>
            <w:rFonts w:asciiTheme="minorHAnsi" w:eastAsiaTheme="minorEastAsia" w:hAnsiTheme="minorHAnsi"/>
            <w:spacing w:val="0"/>
            <w:sz w:val="22"/>
            <w:szCs w:val="22"/>
            <w:lang w:val="en-US"/>
          </w:rPr>
          <w:tab/>
        </w:r>
        <w:r w:rsidR="002E7F99" w:rsidRPr="003B4981">
          <w:rPr>
            <w:rStyle w:val="Hyperlink"/>
          </w:rPr>
          <w:t>Eczema, seborrhoeic</w:t>
        </w:r>
      </w:hyperlink>
    </w:p>
    <w:p w14:paraId="69FA4483" w14:textId="77777777" w:rsidR="002E7F99" w:rsidRDefault="00F80853">
      <w:pPr>
        <w:pStyle w:val="TOC8"/>
        <w:rPr>
          <w:rFonts w:asciiTheme="minorHAnsi" w:eastAsiaTheme="minorEastAsia" w:hAnsiTheme="minorHAnsi"/>
          <w:spacing w:val="0"/>
          <w:sz w:val="22"/>
          <w:szCs w:val="22"/>
          <w:lang w:val="en-US"/>
        </w:rPr>
      </w:pPr>
      <w:hyperlink w:anchor="_Toc177151099" w:history="1">
        <w:r w:rsidR="002E7F99" w:rsidRPr="003B4981">
          <w:rPr>
            <w:rStyle w:val="Hyperlink"/>
          </w:rPr>
          <w:t>11.3.7</w:t>
        </w:r>
        <w:r w:rsidR="002E7F99">
          <w:rPr>
            <w:rFonts w:asciiTheme="minorHAnsi" w:eastAsiaTheme="minorEastAsia" w:hAnsiTheme="minorHAnsi"/>
            <w:spacing w:val="0"/>
            <w:sz w:val="22"/>
            <w:szCs w:val="22"/>
            <w:lang w:val="en-US"/>
          </w:rPr>
          <w:tab/>
        </w:r>
        <w:r w:rsidR="002E7F99" w:rsidRPr="003B4981">
          <w:rPr>
            <w:rStyle w:val="Hyperlink"/>
          </w:rPr>
          <w:t>Fungal nail infections</w:t>
        </w:r>
      </w:hyperlink>
    </w:p>
    <w:p w14:paraId="41233E0A" w14:textId="77777777" w:rsidR="002E7F99" w:rsidRDefault="00F80853">
      <w:pPr>
        <w:pStyle w:val="TOC8"/>
        <w:rPr>
          <w:rFonts w:asciiTheme="minorHAnsi" w:eastAsiaTheme="minorEastAsia" w:hAnsiTheme="minorHAnsi"/>
          <w:spacing w:val="0"/>
          <w:sz w:val="22"/>
          <w:szCs w:val="22"/>
          <w:lang w:val="en-US"/>
        </w:rPr>
      </w:pPr>
      <w:hyperlink w:anchor="_Toc177151100" w:history="1">
        <w:r w:rsidR="002E7F99" w:rsidRPr="003B4981">
          <w:rPr>
            <w:rStyle w:val="Hyperlink"/>
          </w:rPr>
          <w:t>11.3.8</w:t>
        </w:r>
        <w:r w:rsidR="002E7F99">
          <w:rPr>
            <w:rFonts w:asciiTheme="minorHAnsi" w:eastAsiaTheme="minorEastAsia" w:hAnsiTheme="minorHAnsi"/>
            <w:spacing w:val="0"/>
            <w:sz w:val="22"/>
            <w:szCs w:val="22"/>
            <w:lang w:val="en-US"/>
          </w:rPr>
          <w:tab/>
        </w:r>
        <w:r w:rsidR="002E7F99" w:rsidRPr="003B4981">
          <w:rPr>
            <w:rStyle w:val="Hyperlink"/>
          </w:rPr>
          <w:t>Fungal skin infections</w:t>
        </w:r>
      </w:hyperlink>
    </w:p>
    <w:p w14:paraId="000FE76B" w14:textId="77777777" w:rsidR="002E7F99" w:rsidRDefault="00F80853">
      <w:pPr>
        <w:pStyle w:val="TOC8"/>
        <w:rPr>
          <w:rFonts w:asciiTheme="minorHAnsi" w:eastAsiaTheme="minorEastAsia" w:hAnsiTheme="minorHAnsi"/>
          <w:spacing w:val="0"/>
          <w:sz w:val="22"/>
          <w:szCs w:val="22"/>
          <w:lang w:val="en-US"/>
        </w:rPr>
      </w:pPr>
      <w:hyperlink w:anchor="_Toc177151101" w:history="1">
        <w:r w:rsidR="002E7F99" w:rsidRPr="003B4981">
          <w:rPr>
            <w:rStyle w:val="Hyperlink"/>
          </w:rPr>
          <w:t>11.3.9</w:t>
        </w:r>
        <w:r w:rsidR="002E7F99">
          <w:rPr>
            <w:rFonts w:asciiTheme="minorHAnsi" w:eastAsiaTheme="minorEastAsia" w:hAnsiTheme="minorHAnsi"/>
            <w:spacing w:val="0"/>
            <w:sz w:val="22"/>
            <w:szCs w:val="22"/>
            <w:lang w:val="en-US"/>
          </w:rPr>
          <w:tab/>
        </w:r>
        <w:r w:rsidR="002E7F99" w:rsidRPr="003B4981">
          <w:rPr>
            <w:rStyle w:val="Hyperlink"/>
          </w:rPr>
          <w:t>Gingivitis, acute necrotising ulcerative</w:t>
        </w:r>
      </w:hyperlink>
    </w:p>
    <w:p w14:paraId="7D2DA8EB" w14:textId="77777777" w:rsidR="002E7F99" w:rsidRDefault="00F80853">
      <w:pPr>
        <w:pStyle w:val="TOC8"/>
        <w:rPr>
          <w:rFonts w:asciiTheme="minorHAnsi" w:eastAsiaTheme="minorEastAsia" w:hAnsiTheme="minorHAnsi"/>
          <w:spacing w:val="0"/>
          <w:sz w:val="22"/>
          <w:szCs w:val="22"/>
          <w:lang w:val="en-US"/>
        </w:rPr>
      </w:pPr>
      <w:hyperlink w:anchor="_Toc177151102" w:history="1">
        <w:r w:rsidR="002E7F99" w:rsidRPr="003B4981">
          <w:rPr>
            <w:rStyle w:val="Hyperlink"/>
          </w:rPr>
          <w:t>11.3.10</w:t>
        </w:r>
        <w:r w:rsidR="002E7F99">
          <w:rPr>
            <w:rFonts w:asciiTheme="minorHAnsi" w:eastAsiaTheme="minorEastAsia" w:hAnsiTheme="minorHAnsi"/>
            <w:spacing w:val="0"/>
            <w:sz w:val="22"/>
            <w:szCs w:val="22"/>
            <w:lang w:val="en-US"/>
          </w:rPr>
          <w:tab/>
        </w:r>
        <w:r w:rsidR="002E7F99" w:rsidRPr="003B4981">
          <w:rPr>
            <w:rStyle w:val="Hyperlink"/>
          </w:rPr>
          <w:t>Herpes simplex ulcers, chronic</w:t>
        </w:r>
      </w:hyperlink>
    </w:p>
    <w:p w14:paraId="5BB6304A" w14:textId="77777777" w:rsidR="002E7F99" w:rsidRDefault="00F80853">
      <w:pPr>
        <w:pStyle w:val="TOC8"/>
        <w:rPr>
          <w:rFonts w:asciiTheme="minorHAnsi" w:eastAsiaTheme="minorEastAsia" w:hAnsiTheme="minorHAnsi"/>
          <w:spacing w:val="0"/>
          <w:sz w:val="22"/>
          <w:szCs w:val="22"/>
          <w:lang w:val="en-US"/>
        </w:rPr>
      </w:pPr>
      <w:hyperlink w:anchor="_Toc177151103" w:history="1">
        <w:r w:rsidR="002E7F99" w:rsidRPr="003B4981">
          <w:rPr>
            <w:rStyle w:val="Hyperlink"/>
          </w:rPr>
          <w:t>11.3.11</w:t>
        </w:r>
        <w:r w:rsidR="002E7F99">
          <w:rPr>
            <w:rFonts w:asciiTheme="minorHAnsi" w:eastAsiaTheme="minorEastAsia" w:hAnsiTheme="minorHAnsi"/>
            <w:spacing w:val="0"/>
            <w:sz w:val="22"/>
            <w:szCs w:val="22"/>
            <w:lang w:val="en-US"/>
          </w:rPr>
          <w:tab/>
        </w:r>
        <w:r w:rsidR="002E7F99" w:rsidRPr="003B4981">
          <w:rPr>
            <w:rStyle w:val="Hyperlink"/>
          </w:rPr>
          <w:t>Herpes zoster (shingles)</w:t>
        </w:r>
      </w:hyperlink>
    </w:p>
    <w:p w14:paraId="7767642A" w14:textId="77777777" w:rsidR="002E7F99" w:rsidRDefault="00F80853">
      <w:pPr>
        <w:pStyle w:val="TOC8"/>
        <w:rPr>
          <w:rFonts w:asciiTheme="minorHAnsi" w:eastAsiaTheme="minorEastAsia" w:hAnsiTheme="minorHAnsi"/>
          <w:spacing w:val="0"/>
          <w:sz w:val="22"/>
          <w:szCs w:val="22"/>
          <w:lang w:val="en-US"/>
        </w:rPr>
      </w:pPr>
      <w:hyperlink w:anchor="_Toc177151104" w:history="1">
        <w:r w:rsidR="002E7F99" w:rsidRPr="003B4981">
          <w:rPr>
            <w:rStyle w:val="Hyperlink"/>
          </w:rPr>
          <w:t>11.3.12</w:t>
        </w:r>
        <w:r w:rsidR="002E7F99">
          <w:rPr>
            <w:rFonts w:asciiTheme="minorHAnsi" w:eastAsiaTheme="minorEastAsia" w:hAnsiTheme="minorHAnsi"/>
            <w:spacing w:val="0"/>
            <w:sz w:val="22"/>
            <w:szCs w:val="22"/>
            <w:lang w:val="en-US"/>
          </w:rPr>
          <w:tab/>
        </w:r>
        <w:r w:rsidR="002E7F99" w:rsidRPr="003B4981">
          <w:rPr>
            <w:rStyle w:val="Hyperlink"/>
          </w:rPr>
          <w:t>Papular pruritic eruption</w:t>
        </w:r>
      </w:hyperlink>
    </w:p>
    <w:p w14:paraId="547AA4EE" w14:textId="77777777" w:rsidR="002E7F99" w:rsidRDefault="00F80853">
      <w:pPr>
        <w:pStyle w:val="TOC8"/>
        <w:rPr>
          <w:rFonts w:asciiTheme="minorHAnsi" w:eastAsiaTheme="minorEastAsia" w:hAnsiTheme="minorHAnsi"/>
          <w:spacing w:val="0"/>
          <w:sz w:val="22"/>
          <w:szCs w:val="22"/>
          <w:lang w:val="en-US"/>
        </w:rPr>
      </w:pPr>
      <w:hyperlink w:anchor="_Toc177151105" w:history="1">
        <w:r w:rsidR="002E7F99" w:rsidRPr="003B4981">
          <w:rPr>
            <w:rStyle w:val="Hyperlink"/>
          </w:rPr>
          <w:t>11.3.13</w:t>
        </w:r>
        <w:r w:rsidR="002E7F99">
          <w:rPr>
            <w:rFonts w:asciiTheme="minorHAnsi" w:eastAsiaTheme="minorEastAsia" w:hAnsiTheme="minorHAnsi"/>
            <w:spacing w:val="0"/>
            <w:sz w:val="22"/>
            <w:szCs w:val="22"/>
            <w:lang w:val="en-US"/>
          </w:rPr>
          <w:tab/>
        </w:r>
        <w:r w:rsidR="002E7F99" w:rsidRPr="003B4981">
          <w:rPr>
            <w:rStyle w:val="Hyperlink"/>
          </w:rPr>
          <w:t>Pneumonia, bacterial</w:t>
        </w:r>
      </w:hyperlink>
    </w:p>
    <w:p w14:paraId="00161A1A" w14:textId="77777777" w:rsidR="002E7F99" w:rsidRDefault="00F80853">
      <w:pPr>
        <w:pStyle w:val="TOC8"/>
        <w:rPr>
          <w:rFonts w:asciiTheme="minorHAnsi" w:eastAsiaTheme="minorEastAsia" w:hAnsiTheme="minorHAnsi"/>
          <w:spacing w:val="0"/>
          <w:sz w:val="22"/>
          <w:szCs w:val="22"/>
          <w:lang w:val="en-US"/>
        </w:rPr>
      </w:pPr>
      <w:hyperlink w:anchor="_Toc177151106" w:history="1">
        <w:r w:rsidR="002E7F99" w:rsidRPr="003B4981">
          <w:rPr>
            <w:rStyle w:val="Hyperlink"/>
          </w:rPr>
          <w:t>11.3.14</w:t>
        </w:r>
        <w:r w:rsidR="002E7F99">
          <w:rPr>
            <w:rFonts w:asciiTheme="minorHAnsi" w:eastAsiaTheme="minorEastAsia" w:hAnsiTheme="minorHAnsi"/>
            <w:spacing w:val="0"/>
            <w:sz w:val="22"/>
            <w:szCs w:val="22"/>
            <w:lang w:val="en-US"/>
          </w:rPr>
          <w:tab/>
        </w:r>
        <w:r w:rsidR="002E7F99" w:rsidRPr="003B4981">
          <w:rPr>
            <w:rStyle w:val="Hyperlink"/>
          </w:rPr>
          <w:t>Pneumonia, pneumocystis</w:t>
        </w:r>
      </w:hyperlink>
    </w:p>
    <w:p w14:paraId="6AF4108A" w14:textId="77777777" w:rsidR="002E7F99" w:rsidRDefault="00F80853">
      <w:pPr>
        <w:pStyle w:val="TOC8"/>
        <w:rPr>
          <w:rFonts w:asciiTheme="minorHAnsi" w:eastAsiaTheme="minorEastAsia" w:hAnsiTheme="minorHAnsi"/>
          <w:spacing w:val="0"/>
          <w:sz w:val="22"/>
          <w:szCs w:val="22"/>
          <w:lang w:val="en-US"/>
        </w:rPr>
      </w:pPr>
      <w:hyperlink w:anchor="_Toc177151107" w:history="1">
        <w:r w:rsidR="002E7F99" w:rsidRPr="003B4981">
          <w:rPr>
            <w:rStyle w:val="Hyperlink"/>
          </w:rPr>
          <w:t>11.3.15</w:t>
        </w:r>
        <w:r w:rsidR="002E7F99">
          <w:rPr>
            <w:rFonts w:asciiTheme="minorHAnsi" w:eastAsiaTheme="minorEastAsia" w:hAnsiTheme="minorHAnsi"/>
            <w:spacing w:val="0"/>
            <w:sz w:val="22"/>
            <w:szCs w:val="22"/>
            <w:lang w:val="en-US"/>
          </w:rPr>
          <w:tab/>
        </w:r>
        <w:r w:rsidR="002E7F99" w:rsidRPr="003B4981">
          <w:rPr>
            <w:rStyle w:val="Hyperlink"/>
          </w:rPr>
          <w:t>Toxoplasmosis</w:t>
        </w:r>
      </w:hyperlink>
    </w:p>
    <w:p w14:paraId="302B67B6" w14:textId="77777777" w:rsidR="002E7F99" w:rsidRDefault="00F80853">
      <w:pPr>
        <w:pStyle w:val="TOC8"/>
        <w:rPr>
          <w:rFonts w:asciiTheme="minorHAnsi" w:eastAsiaTheme="minorEastAsia" w:hAnsiTheme="minorHAnsi"/>
          <w:spacing w:val="0"/>
          <w:sz w:val="22"/>
          <w:szCs w:val="22"/>
          <w:lang w:val="en-US"/>
        </w:rPr>
      </w:pPr>
      <w:hyperlink w:anchor="_Toc177151108" w:history="1">
        <w:r w:rsidR="002E7F99" w:rsidRPr="003B4981">
          <w:rPr>
            <w:rStyle w:val="Hyperlink"/>
          </w:rPr>
          <w:t>11.3.16</w:t>
        </w:r>
        <w:r w:rsidR="002E7F99">
          <w:rPr>
            <w:rFonts w:asciiTheme="minorHAnsi" w:eastAsiaTheme="minorEastAsia" w:hAnsiTheme="minorHAnsi"/>
            <w:spacing w:val="0"/>
            <w:sz w:val="22"/>
            <w:szCs w:val="22"/>
            <w:lang w:val="en-US"/>
          </w:rPr>
          <w:tab/>
        </w:r>
        <w:r w:rsidR="002E7F99" w:rsidRPr="003B4981">
          <w:rPr>
            <w:rStyle w:val="Hyperlink"/>
          </w:rPr>
          <w:t>Tuberculosis (TB)</w:t>
        </w:r>
      </w:hyperlink>
    </w:p>
    <w:p w14:paraId="0C366FB0" w14:textId="77777777" w:rsidR="002E7F99" w:rsidRDefault="00F80853">
      <w:pPr>
        <w:pStyle w:val="TOC7"/>
        <w:rPr>
          <w:rFonts w:asciiTheme="minorHAnsi" w:eastAsiaTheme="minorEastAsia" w:hAnsiTheme="minorHAnsi"/>
          <w:spacing w:val="0"/>
          <w:sz w:val="22"/>
          <w:szCs w:val="22"/>
          <w:lang w:val="en-US"/>
        </w:rPr>
      </w:pPr>
      <w:hyperlink w:anchor="_Toc177151109" w:history="1">
        <w:r w:rsidR="002E7F99" w:rsidRPr="003B4981">
          <w:rPr>
            <w:rStyle w:val="Hyperlink"/>
          </w:rPr>
          <w:t>11.4</w:t>
        </w:r>
        <w:r w:rsidR="002E7F99">
          <w:rPr>
            <w:rFonts w:asciiTheme="minorHAnsi" w:eastAsiaTheme="minorEastAsia" w:hAnsiTheme="minorHAnsi"/>
            <w:spacing w:val="0"/>
            <w:sz w:val="22"/>
            <w:szCs w:val="22"/>
            <w:lang w:val="en-US"/>
          </w:rPr>
          <w:tab/>
        </w:r>
        <w:r w:rsidR="002E7F99" w:rsidRPr="003B4981">
          <w:rPr>
            <w:rStyle w:val="Hyperlink"/>
          </w:rPr>
          <w:t>HIV and kidney disease</w:t>
        </w:r>
      </w:hyperlink>
    </w:p>
    <w:p w14:paraId="1F6759C1" w14:textId="77777777" w:rsidR="002E7F99" w:rsidRDefault="00F80853">
      <w:pPr>
        <w:pStyle w:val="TOC6"/>
        <w:rPr>
          <w:rFonts w:asciiTheme="minorHAnsi" w:eastAsiaTheme="minorEastAsia" w:hAnsiTheme="minorHAnsi"/>
          <w:spacing w:val="0"/>
          <w:sz w:val="22"/>
          <w:szCs w:val="22"/>
          <w:lang w:val="en-US"/>
        </w:rPr>
      </w:pPr>
      <w:hyperlink w:anchor="_Toc177151110" w:history="1">
        <w:r w:rsidR="002E7F99" w:rsidRPr="003B4981">
          <w:rPr>
            <w:rStyle w:val="Hyperlink"/>
          </w:rPr>
          <w:t>HIV infection in children (&lt;10 years old)</w:t>
        </w:r>
      </w:hyperlink>
    </w:p>
    <w:p w14:paraId="5AEAF809" w14:textId="77777777" w:rsidR="002E7F99" w:rsidRDefault="00F80853">
      <w:pPr>
        <w:pStyle w:val="TOC7"/>
        <w:rPr>
          <w:rFonts w:asciiTheme="minorHAnsi" w:eastAsiaTheme="minorEastAsia" w:hAnsiTheme="minorHAnsi"/>
          <w:spacing w:val="0"/>
          <w:sz w:val="22"/>
          <w:szCs w:val="22"/>
          <w:lang w:val="en-US"/>
        </w:rPr>
      </w:pPr>
      <w:hyperlink w:anchor="_Toc177151111" w:history="1">
        <w:r w:rsidR="002E7F99" w:rsidRPr="003B4981">
          <w:rPr>
            <w:rStyle w:val="Hyperlink"/>
          </w:rPr>
          <w:t>11.5</w:t>
        </w:r>
        <w:r w:rsidR="002E7F99">
          <w:rPr>
            <w:rFonts w:asciiTheme="minorHAnsi" w:eastAsiaTheme="minorEastAsia" w:hAnsiTheme="minorHAnsi"/>
            <w:spacing w:val="0"/>
            <w:sz w:val="22"/>
            <w:szCs w:val="22"/>
            <w:lang w:val="en-US"/>
          </w:rPr>
          <w:tab/>
        </w:r>
        <w:r w:rsidR="002E7F99" w:rsidRPr="003B4981">
          <w:rPr>
            <w:rStyle w:val="Hyperlink"/>
          </w:rPr>
          <w:t>The HIV-exposed infant</w:t>
        </w:r>
      </w:hyperlink>
    </w:p>
    <w:p w14:paraId="033A5095" w14:textId="77777777" w:rsidR="002E7F99" w:rsidRDefault="00F80853">
      <w:pPr>
        <w:pStyle w:val="TOC7"/>
        <w:rPr>
          <w:rFonts w:asciiTheme="minorHAnsi" w:eastAsiaTheme="minorEastAsia" w:hAnsiTheme="minorHAnsi"/>
          <w:spacing w:val="0"/>
          <w:sz w:val="22"/>
          <w:szCs w:val="22"/>
          <w:lang w:val="en-US"/>
        </w:rPr>
      </w:pPr>
      <w:hyperlink w:anchor="_Toc177151112" w:history="1">
        <w:r w:rsidR="002E7F99" w:rsidRPr="003B4981">
          <w:rPr>
            <w:rStyle w:val="Hyperlink"/>
          </w:rPr>
          <w:t>11.6</w:t>
        </w:r>
        <w:r w:rsidR="002E7F99">
          <w:rPr>
            <w:rFonts w:asciiTheme="minorHAnsi" w:eastAsiaTheme="minorEastAsia" w:hAnsiTheme="minorHAnsi"/>
            <w:spacing w:val="0"/>
            <w:sz w:val="22"/>
            <w:szCs w:val="22"/>
            <w:lang w:val="en-US"/>
          </w:rPr>
          <w:tab/>
        </w:r>
        <w:r w:rsidR="002E7F99" w:rsidRPr="003B4981">
          <w:rPr>
            <w:rStyle w:val="Hyperlink"/>
          </w:rPr>
          <w:t>Management of HIV-infected children (&lt;10 years)</w:t>
        </w:r>
      </w:hyperlink>
    </w:p>
    <w:p w14:paraId="6F321966" w14:textId="77777777" w:rsidR="002E7F99" w:rsidRDefault="00F80853">
      <w:pPr>
        <w:pStyle w:val="TOC7"/>
        <w:rPr>
          <w:rFonts w:asciiTheme="minorHAnsi" w:eastAsiaTheme="minorEastAsia" w:hAnsiTheme="minorHAnsi"/>
          <w:spacing w:val="0"/>
          <w:sz w:val="22"/>
          <w:szCs w:val="22"/>
          <w:lang w:val="en-US"/>
        </w:rPr>
      </w:pPr>
      <w:hyperlink w:anchor="_Toc177151113" w:history="1">
        <w:r w:rsidR="002E7F99" w:rsidRPr="003B4981">
          <w:rPr>
            <w:rStyle w:val="Hyperlink"/>
          </w:rPr>
          <w:t>11.7</w:t>
        </w:r>
        <w:r w:rsidR="002E7F99">
          <w:rPr>
            <w:rFonts w:asciiTheme="minorHAnsi" w:eastAsiaTheme="minorEastAsia" w:hAnsiTheme="minorHAnsi"/>
            <w:spacing w:val="0"/>
            <w:sz w:val="22"/>
            <w:szCs w:val="22"/>
            <w:lang w:val="en-US"/>
          </w:rPr>
          <w:tab/>
        </w:r>
        <w:r w:rsidR="002E7F99" w:rsidRPr="003B4981">
          <w:rPr>
            <w:rStyle w:val="Hyperlink"/>
          </w:rPr>
          <w:t>Opportunistic infections, prophylaxis in children</w:t>
        </w:r>
      </w:hyperlink>
    </w:p>
    <w:p w14:paraId="700563E0" w14:textId="77777777" w:rsidR="002E7F99" w:rsidRDefault="00F80853">
      <w:pPr>
        <w:pStyle w:val="TOC7"/>
        <w:rPr>
          <w:rFonts w:asciiTheme="minorHAnsi" w:eastAsiaTheme="minorEastAsia" w:hAnsiTheme="minorHAnsi"/>
          <w:spacing w:val="0"/>
          <w:sz w:val="22"/>
          <w:szCs w:val="22"/>
          <w:lang w:val="en-US"/>
        </w:rPr>
      </w:pPr>
      <w:hyperlink w:anchor="_Toc177151114" w:history="1">
        <w:r w:rsidR="002E7F99" w:rsidRPr="003B4981">
          <w:rPr>
            <w:rStyle w:val="Hyperlink"/>
          </w:rPr>
          <w:t>11.8</w:t>
        </w:r>
        <w:r w:rsidR="002E7F99">
          <w:rPr>
            <w:rFonts w:asciiTheme="minorHAnsi" w:eastAsiaTheme="minorEastAsia" w:hAnsiTheme="minorHAnsi"/>
            <w:spacing w:val="0"/>
            <w:sz w:val="22"/>
            <w:szCs w:val="22"/>
            <w:lang w:val="en-US"/>
          </w:rPr>
          <w:tab/>
        </w:r>
        <w:r w:rsidR="002E7F99" w:rsidRPr="003B4981">
          <w:rPr>
            <w:rStyle w:val="Hyperlink"/>
          </w:rPr>
          <w:t>opportunistic infections, treatment in children</w:t>
        </w:r>
      </w:hyperlink>
    </w:p>
    <w:p w14:paraId="19D58908" w14:textId="77777777" w:rsidR="002E7F99" w:rsidRDefault="00F80853">
      <w:pPr>
        <w:pStyle w:val="TOC8"/>
        <w:rPr>
          <w:rFonts w:asciiTheme="minorHAnsi" w:eastAsiaTheme="minorEastAsia" w:hAnsiTheme="minorHAnsi"/>
          <w:spacing w:val="0"/>
          <w:sz w:val="22"/>
          <w:szCs w:val="22"/>
          <w:lang w:val="en-US"/>
        </w:rPr>
      </w:pPr>
      <w:hyperlink w:anchor="_Toc177151115" w:history="1">
        <w:r w:rsidR="002E7F99" w:rsidRPr="003B4981">
          <w:rPr>
            <w:rStyle w:val="Hyperlink"/>
          </w:rPr>
          <w:t>11.8.1</w:t>
        </w:r>
        <w:r w:rsidR="002E7F99">
          <w:rPr>
            <w:rFonts w:asciiTheme="minorHAnsi" w:eastAsiaTheme="minorEastAsia" w:hAnsiTheme="minorHAnsi"/>
            <w:spacing w:val="0"/>
            <w:sz w:val="22"/>
            <w:szCs w:val="22"/>
            <w:lang w:val="en-US"/>
          </w:rPr>
          <w:tab/>
        </w:r>
        <w:r w:rsidR="002E7F99" w:rsidRPr="003B4981">
          <w:rPr>
            <w:rStyle w:val="Hyperlink"/>
          </w:rPr>
          <w:t>Candidiasis, oral (thrush), recurrent</w:t>
        </w:r>
      </w:hyperlink>
    </w:p>
    <w:p w14:paraId="2FF6A6BD" w14:textId="77777777" w:rsidR="002E7F99" w:rsidRDefault="00F80853">
      <w:pPr>
        <w:pStyle w:val="TOC8"/>
        <w:rPr>
          <w:rFonts w:asciiTheme="minorHAnsi" w:eastAsiaTheme="minorEastAsia" w:hAnsiTheme="minorHAnsi"/>
          <w:spacing w:val="0"/>
          <w:sz w:val="22"/>
          <w:szCs w:val="22"/>
          <w:lang w:val="en-US"/>
        </w:rPr>
      </w:pPr>
      <w:hyperlink w:anchor="_Toc177151116" w:history="1">
        <w:r w:rsidR="002E7F99" w:rsidRPr="003B4981">
          <w:rPr>
            <w:rStyle w:val="Hyperlink"/>
          </w:rPr>
          <w:t>11.8.2</w:t>
        </w:r>
        <w:r w:rsidR="002E7F99">
          <w:rPr>
            <w:rFonts w:asciiTheme="minorHAnsi" w:eastAsiaTheme="minorEastAsia" w:hAnsiTheme="minorHAnsi"/>
            <w:spacing w:val="0"/>
            <w:sz w:val="22"/>
            <w:szCs w:val="22"/>
            <w:lang w:val="en-US"/>
          </w:rPr>
          <w:tab/>
        </w:r>
        <w:r w:rsidR="002E7F99" w:rsidRPr="003B4981">
          <w:rPr>
            <w:rStyle w:val="Hyperlink"/>
          </w:rPr>
          <w:t>Candidiasis, oesophageal</w:t>
        </w:r>
      </w:hyperlink>
    </w:p>
    <w:p w14:paraId="2467684B" w14:textId="77777777" w:rsidR="002E7F99" w:rsidRDefault="00F80853">
      <w:pPr>
        <w:pStyle w:val="TOC8"/>
        <w:rPr>
          <w:rFonts w:asciiTheme="minorHAnsi" w:eastAsiaTheme="minorEastAsia" w:hAnsiTheme="minorHAnsi"/>
          <w:spacing w:val="0"/>
          <w:sz w:val="22"/>
          <w:szCs w:val="22"/>
          <w:lang w:val="en-US"/>
        </w:rPr>
      </w:pPr>
      <w:hyperlink w:anchor="_Toc177151117" w:history="1">
        <w:r w:rsidR="002E7F99" w:rsidRPr="003B4981">
          <w:rPr>
            <w:rStyle w:val="Hyperlink"/>
          </w:rPr>
          <w:t>11.8.3</w:t>
        </w:r>
        <w:r w:rsidR="002E7F99">
          <w:rPr>
            <w:rFonts w:asciiTheme="minorHAnsi" w:eastAsiaTheme="minorEastAsia" w:hAnsiTheme="minorHAnsi"/>
            <w:spacing w:val="0"/>
            <w:sz w:val="22"/>
            <w:szCs w:val="22"/>
            <w:lang w:val="en-US"/>
          </w:rPr>
          <w:tab/>
        </w:r>
        <w:r w:rsidR="002E7F99" w:rsidRPr="003B4981">
          <w:rPr>
            <w:rStyle w:val="Hyperlink"/>
          </w:rPr>
          <w:t>Diarrhoea, hiv-associated</w:t>
        </w:r>
      </w:hyperlink>
    </w:p>
    <w:p w14:paraId="2E18D199" w14:textId="77777777" w:rsidR="002E7F99" w:rsidRDefault="00F80853">
      <w:pPr>
        <w:pStyle w:val="TOC8"/>
        <w:rPr>
          <w:rFonts w:asciiTheme="minorHAnsi" w:eastAsiaTheme="minorEastAsia" w:hAnsiTheme="minorHAnsi"/>
          <w:spacing w:val="0"/>
          <w:sz w:val="22"/>
          <w:szCs w:val="22"/>
          <w:lang w:val="en-US"/>
        </w:rPr>
      </w:pPr>
      <w:hyperlink w:anchor="_Toc177151118" w:history="1">
        <w:r w:rsidR="002E7F99" w:rsidRPr="003B4981">
          <w:rPr>
            <w:rStyle w:val="Hyperlink"/>
          </w:rPr>
          <w:t>11.8.4</w:t>
        </w:r>
        <w:r w:rsidR="002E7F99">
          <w:rPr>
            <w:rFonts w:asciiTheme="minorHAnsi" w:eastAsiaTheme="minorEastAsia" w:hAnsiTheme="minorHAnsi"/>
            <w:spacing w:val="0"/>
            <w:sz w:val="22"/>
            <w:szCs w:val="22"/>
            <w:lang w:val="en-US"/>
          </w:rPr>
          <w:tab/>
        </w:r>
        <w:r w:rsidR="002E7F99" w:rsidRPr="003B4981">
          <w:rPr>
            <w:rStyle w:val="Hyperlink"/>
          </w:rPr>
          <w:t>Pneumonia</w:t>
        </w:r>
      </w:hyperlink>
    </w:p>
    <w:p w14:paraId="092DB7F2" w14:textId="77777777" w:rsidR="002E7F99" w:rsidRDefault="00F80853">
      <w:pPr>
        <w:pStyle w:val="TOC8"/>
        <w:rPr>
          <w:rFonts w:asciiTheme="minorHAnsi" w:eastAsiaTheme="minorEastAsia" w:hAnsiTheme="minorHAnsi"/>
          <w:spacing w:val="0"/>
          <w:sz w:val="22"/>
          <w:szCs w:val="22"/>
          <w:lang w:val="en-US"/>
        </w:rPr>
      </w:pPr>
      <w:hyperlink w:anchor="_Toc177151119" w:history="1">
        <w:r w:rsidR="002E7F99" w:rsidRPr="003B4981">
          <w:rPr>
            <w:rStyle w:val="Hyperlink"/>
          </w:rPr>
          <w:t>11.8.5</w:t>
        </w:r>
        <w:r w:rsidR="002E7F99">
          <w:rPr>
            <w:rFonts w:asciiTheme="minorHAnsi" w:eastAsiaTheme="minorEastAsia" w:hAnsiTheme="minorHAnsi"/>
            <w:spacing w:val="0"/>
            <w:sz w:val="22"/>
            <w:szCs w:val="22"/>
            <w:lang w:val="en-US"/>
          </w:rPr>
          <w:tab/>
        </w:r>
        <w:r w:rsidR="002E7F99" w:rsidRPr="003B4981">
          <w:rPr>
            <w:rStyle w:val="Hyperlink"/>
          </w:rPr>
          <w:t>Measles and chickenpox</w:t>
        </w:r>
      </w:hyperlink>
    </w:p>
    <w:p w14:paraId="39F67ED4" w14:textId="77777777" w:rsidR="002E7F99" w:rsidRDefault="00F80853">
      <w:pPr>
        <w:pStyle w:val="TOC8"/>
        <w:rPr>
          <w:rFonts w:asciiTheme="minorHAnsi" w:eastAsiaTheme="minorEastAsia" w:hAnsiTheme="minorHAnsi"/>
          <w:spacing w:val="0"/>
          <w:sz w:val="22"/>
          <w:szCs w:val="22"/>
          <w:lang w:val="en-US"/>
        </w:rPr>
      </w:pPr>
      <w:hyperlink w:anchor="_Toc177151120" w:history="1">
        <w:r w:rsidR="002E7F99" w:rsidRPr="003B4981">
          <w:rPr>
            <w:rStyle w:val="Hyperlink"/>
          </w:rPr>
          <w:t>11.8.6</w:t>
        </w:r>
        <w:r w:rsidR="002E7F99">
          <w:rPr>
            <w:rFonts w:asciiTheme="minorHAnsi" w:eastAsiaTheme="minorEastAsia" w:hAnsiTheme="minorHAnsi"/>
            <w:spacing w:val="0"/>
            <w:sz w:val="22"/>
            <w:szCs w:val="22"/>
            <w:lang w:val="en-US"/>
          </w:rPr>
          <w:tab/>
        </w:r>
        <w:r w:rsidR="002E7F99" w:rsidRPr="003B4981">
          <w:rPr>
            <w:rStyle w:val="Hyperlink"/>
          </w:rPr>
          <w:t>Skin conditions</w:t>
        </w:r>
      </w:hyperlink>
    </w:p>
    <w:p w14:paraId="406C6288" w14:textId="77777777" w:rsidR="002E7F99" w:rsidRDefault="00F80853">
      <w:pPr>
        <w:pStyle w:val="TOC8"/>
        <w:rPr>
          <w:rFonts w:asciiTheme="minorHAnsi" w:eastAsiaTheme="minorEastAsia" w:hAnsiTheme="minorHAnsi"/>
          <w:spacing w:val="0"/>
          <w:sz w:val="22"/>
          <w:szCs w:val="22"/>
          <w:lang w:val="en-US"/>
        </w:rPr>
      </w:pPr>
      <w:hyperlink w:anchor="_Toc177151121" w:history="1">
        <w:r w:rsidR="002E7F99" w:rsidRPr="003B4981">
          <w:rPr>
            <w:rStyle w:val="Hyperlink"/>
          </w:rPr>
          <w:t>11.8.7</w:t>
        </w:r>
        <w:r w:rsidR="002E7F99">
          <w:rPr>
            <w:rFonts w:asciiTheme="minorHAnsi" w:eastAsiaTheme="minorEastAsia" w:hAnsiTheme="minorHAnsi"/>
            <w:spacing w:val="0"/>
            <w:sz w:val="22"/>
            <w:szCs w:val="22"/>
            <w:lang w:val="en-US"/>
          </w:rPr>
          <w:tab/>
        </w:r>
        <w:r w:rsidR="002E7F99" w:rsidRPr="003B4981">
          <w:rPr>
            <w:rStyle w:val="Hyperlink"/>
          </w:rPr>
          <w:t>Tuberculosis (TB)</w:t>
        </w:r>
      </w:hyperlink>
    </w:p>
    <w:p w14:paraId="190CDB3E" w14:textId="77777777" w:rsidR="002E7F99" w:rsidRDefault="00F80853">
      <w:pPr>
        <w:pStyle w:val="TOC7"/>
        <w:rPr>
          <w:rFonts w:asciiTheme="minorHAnsi" w:eastAsiaTheme="minorEastAsia" w:hAnsiTheme="minorHAnsi"/>
          <w:spacing w:val="0"/>
          <w:sz w:val="22"/>
          <w:szCs w:val="22"/>
          <w:lang w:val="en-US"/>
        </w:rPr>
      </w:pPr>
      <w:hyperlink w:anchor="_Toc177151122" w:history="1">
        <w:r w:rsidR="002E7F99" w:rsidRPr="003B4981">
          <w:rPr>
            <w:rStyle w:val="Hyperlink"/>
          </w:rPr>
          <w:t>11.9</w:t>
        </w:r>
        <w:r w:rsidR="002E7F99">
          <w:rPr>
            <w:rFonts w:asciiTheme="minorHAnsi" w:eastAsiaTheme="minorEastAsia" w:hAnsiTheme="minorHAnsi"/>
            <w:spacing w:val="0"/>
            <w:sz w:val="22"/>
            <w:szCs w:val="22"/>
            <w:lang w:val="en-US"/>
          </w:rPr>
          <w:tab/>
        </w:r>
        <w:r w:rsidR="002E7F99" w:rsidRPr="003B4981">
          <w:rPr>
            <w:rStyle w:val="Hyperlink"/>
          </w:rPr>
          <w:t>Developmental delay or deterioration</w:t>
        </w:r>
      </w:hyperlink>
    </w:p>
    <w:p w14:paraId="1D439937" w14:textId="77777777" w:rsidR="002E7F99" w:rsidRDefault="00F80853">
      <w:pPr>
        <w:pStyle w:val="TOC7"/>
        <w:rPr>
          <w:rFonts w:asciiTheme="minorHAnsi" w:eastAsiaTheme="minorEastAsia" w:hAnsiTheme="minorHAnsi"/>
          <w:spacing w:val="0"/>
          <w:sz w:val="22"/>
          <w:szCs w:val="22"/>
          <w:lang w:val="en-US"/>
        </w:rPr>
      </w:pPr>
      <w:hyperlink w:anchor="_Toc177151123" w:history="1">
        <w:r w:rsidR="002E7F99" w:rsidRPr="003B4981">
          <w:rPr>
            <w:rStyle w:val="Hyperlink"/>
          </w:rPr>
          <w:t>11.10</w:t>
        </w:r>
        <w:r w:rsidR="002E7F99">
          <w:rPr>
            <w:rFonts w:asciiTheme="minorHAnsi" w:eastAsiaTheme="minorEastAsia" w:hAnsiTheme="minorHAnsi"/>
            <w:spacing w:val="0"/>
            <w:sz w:val="22"/>
            <w:szCs w:val="22"/>
            <w:lang w:val="en-US"/>
          </w:rPr>
          <w:tab/>
        </w:r>
        <w:r w:rsidR="002E7F99" w:rsidRPr="003B4981">
          <w:rPr>
            <w:rStyle w:val="Hyperlink"/>
          </w:rPr>
          <w:t>Anaemia</w:t>
        </w:r>
      </w:hyperlink>
    </w:p>
    <w:p w14:paraId="45599597" w14:textId="77777777" w:rsidR="002E7F99" w:rsidRDefault="00F80853">
      <w:pPr>
        <w:pStyle w:val="TOC6"/>
        <w:rPr>
          <w:rFonts w:asciiTheme="minorHAnsi" w:eastAsiaTheme="minorEastAsia" w:hAnsiTheme="minorHAnsi"/>
          <w:spacing w:val="0"/>
          <w:sz w:val="22"/>
          <w:szCs w:val="22"/>
          <w:lang w:val="en-US"/>
        </w:rPr>
      </w:pPr>
      <w:hyperlink w:anchor="_Toc177151124" w:history="1">
        <w:r w:rsidR="002E7F99" w:rsidRPr="003B4981">
          <w:rPr>
            <w:rStyle w:val="Hyperlink"/>
          </w:rPr>
          <w:t>HIV prevention</w:t>
        </w:r>
      </w:hyperlink>
    </w:p>
    <w:p w14:paraId="18CCAE0E" w14:textId="77777777" w:rsidR="002E7F99" w:rsidRDefault="00F80853">
      <w:pPr>
        <w:pStyle w:val="TOC7"/>
        <w:rPr>
          <w:rFonts w:asciiTheme="minorHAnsi" w:eastAsiaTheme="minorEastAsia" w:hAnsiTheme="minorHAnsi"/>
          <w:spacing w:val="0"/>
          <w:sz w:val="22"/>
          <w:szCs w:val="22"/>
          <w:lang w:val="en-US"/>
        </w:rPr>
      </w:pPr>
      <w:hyperlink w:anchor="_Toc177151125" w:history="1">
        <w:r w:rsidR="002E7F99" w:rsidRPr="003B4981">
          <w:rPr>
            <w:rStyle w:val="Hyperlink"/>
          </w:rPr>
          <w:t>11.11</w:t>
        </w:r>
        <w:r w:rsidR="002E7F99">
          <w:rPr>
            <w:rFonts w:asciiTheme="minorHAnsi" w:eastAsiaTheme="minorEastAsia" w:hAnsiTheme="minorHAnsi"/>
            <w:spacing w:val="0"/>
            <w:sz w:val="22"/>
            <w:szCs w:val="22"/>
            <w:lang w:val="en-US"/>
          </w:rPr>
          <w:tab/>
        </w:r>
        <w:r w:rsidR="002E7F99" w:rsidRPr="003B4981">
          <w:rPr>
            <w:rStyle w:val="Hyperlink"/>
          </w:rPr>
          <w:t>Pre-exposure prophylaxis (PrEP)</w:t>
        </w:r>
      </w:hyperlink>
    </w:p>
    <w:p w14:paraId="7F3E0DA6" w14:textId="77777777" w:rsidR="002E7F99" w:rsidRDefault="00F80853">
      <w:pPr>
        <w:pStyle w:val="TOC7"/>
        <w:rPr>
          <w:rFonts w:asciiTheme="minorHAnsi" w:eastAsiaTheme="minorEastAsia" w:hAnsiTheme="minorHAnsi"/>
          <w:spacing w:val="0"/>
          <w:sz w:val="22"/>
          <w:szCs w:val="22"/>
          <w:lang w:val="en-US"/>
        </w:rPr>
      </w:pPr>
      <w:hyperlink w:anchor="_Toc177151126" w:history="1">
        <w:r w:rsidR="002E7F99" w:rsidRPr="003B4981">
          <w:rPr>
            <w:rStyle w:val="Hyperlink"/>
          </w:rPr>
          <w:t>11.12</w:t>
        </w:r>
        <w:r w:rsidR="002E7F99">
          <w:rPr>
            <w:rFonts w:asciiTheme="minorHAnsi" w:eastAsiaTheme="minorEastAsia" w:hAnsiTheme="minorHAnsi"/>
            <w:spacing w:val="0"/>
            <w:sz w:val="22"/>
            <w:szCs w:val="22"/>
            <w:lang w:val="en-US"/>
          </w:rPr>
          <w:tab/>
        </w:r>
        <w:r w:rsidR="002E7F99" w:rsidRPr="003B4981">
          <w:rPr>
            <w:rStyle w:val="Hyperlink"/>
          </w:rPr>
          <w:t>Post exposure prophylaxis</w:t>
        </w:r>
      </w:hyperlink>
    </w:p>
    <w:p w14:paraId="0A9E8CD9" w14:textId="77777777" w:rsidR="002E7F99" w:rsidRDefault="00F80853">
      <w:pPr>
        <w:pStyle w:val="TOC7"/>
        <w:rPr>
          <w:rFonts w:asciiTheme="minorHAnsi" w:eastAsiaTheme="minorEastAsia" w:hAnsiTheme="minorHAnsi"/>
          <w:spacing w:val="0"/>
          <w:sz w:val="22"/>
          <w:szCs w:val="22"/>
          <w:lang w:val="en-US"/>
        </w:rPr>
      </w:pPr>
      <w:hyperlink w:anchor="_Toc177151127" w:history="1">
        <w:r w:rsidR="002E7F99" w:rsidRPr="003B4981">
          <w:rPr>
            <w:rStyle w:val="Hyperlink"/>
          </w:rPr>
          <w:t>11.13</w:t>
        </w:r>
        <w:r w:rsidR="002E7F99">
          <w:rPr>
            <w:rFonts w:asciiTheme="minorHAnsi" w:eastAsiaTheme="minorEastAsia" w:hAnsiTheme="minorHAnsi"/>
            <w:spacing w:val="0"/>
            <w:sz w:val="22"/>
            <w:szCs w:val="22"/>
            <w:lang w:val="en-US"/>
          </w:rPr>
          <w:tab/>
        </w:r>
        <w:r w:rsidR="002E7F99" w:rsidRPr="003B4981">
          <w:rPr>
            <w:rStyle w:val="Hyperlink"/>
          </w:rPr>
          <w:t>Side effects and complications of ART</w:t>
        </w:r>
      </w:hyperlink>
    </w:p>
    <w:p w14:paraId="7F8E17E7" w14:textId="77777777" w:rsidR="002E7F99" w:rsidRDefault="00F80853">
      <w:pPr>
        <w:pStyle w:val="TOC8"/>
        <w:rPr>
          <w:rFonts w:asciiTheme="minorHAnsi" w:eastAsiaTheme="minorEastAsia" w:hAnsiTheme="minorHAnsi"/>
          <w:spacing w:val="0"/>
          <w:sz w:val="22"/>
          <w:szCs w:val="22"/>
          <w:lang w:val="en-US"/>
        </w:rPr>
      </w:pPr>
      <w:hyperlink w:anchor="_Toc177151128" w:history="1">
        <w:r w:rsidR="002E7F99" w:rsidRPr="003B4981">
          <w:rPr>
            <w:rStyle w:val="Hyperlink"/>
          </w:rPr>
          <w:t>11.13.1</w:t>
        </w:r>
        <w:r w:rsidR="002E7F99">
          <w:rPr>
            <w:rFonts w:asciiTheme="minorHAnsi" w:eastAsiaTheme="minorEastAsia" w:hAnsiTheme="minorHAnsi"/>
            <w:spacing w:val="0"/>
            <w:sz w:val="22"/>
            <w:szCs w:val="22"/>
            <w:lang w:val="en-US"/>
          </w:rPr>
          <w:tab/>
        </w:r>
        <w:r w:rsidR="002E7F99" w:rsidRPr="003B4981">
          <w:rPr>
            <w:rStyle w:val="Hyperlink"/>
          </w:rPr>
          <w:t>Immune reconstitution inflammatory syndrome (IRIS)</w:t>
        </w:r>
      </w:hyperlink>
    </w:p>
    <w:p w14:paraId="7FB27895" w14:textId="77777777" w:rsidR="00D8100B" w:rsidRPr="00367F15" w:rsidRDefault="00DF68AF" w:rsidP="00263AB4">
      <w:r w:rsidRPr="00367F15">
        <w:rPr>
          <w:rFonts w:ascii="Arial Black" w:hAnsi="Arial Black"/>
          <w:noProof/>
          <w:sz w:val="24"/>
          <w:szCs w:val="24"/>
        </w:rPr>
        <w:fldChar w:fldCharType="end"/>
      </w:r>
    </w:p>
    <w:p w14:paraId="27BACAAA" w14:textId="77777777" w:rsidR="00C91F7A" w:rsidRPr="00367F15" w:rsidRDefault="00C91F7A" w:rsidP="00263AB4"/>
    <w:p w14:paraId="43FD9215" w14:textId="77777777" w:rsidR="00C91F7A" w:rsidRPr="00367F15" w:rsidRDefault="00C91F7A" w:rsidP="00263AB4"/>
    <w:tbl>
      <w:tblPr>
        <w:tblStyle w:val="TableGrid"/>
        <w:tblpPr w:leftFromText="180" w:rightFromText="180" w:vertAnchor="text" w:horzAnchor="margin" w:tblpY="16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61"/>
      </w:tblGrid>
      <w:tr w:rsidR="00C91F7A" w:rsidRPr="00367F15" w14:paraId="7DF80AE4" w14:textId="77777777" w:rsidTr="00C91F7A">
        <w:tc>
          <w:tcPr>
            <w:tcW w:w="6680" w:type="dxa"/>
          </w:tcPr>
          <w:p w14:paraId="348218A4" w14:textId="74EBA6E8" w:rsidR="00C91F7A" w:rsidRPr="00367F15" w:rsidRDefault="00C91F7A" w:rsidP="00C91F7A">
            <w:r w:rsidRPr="00367F15">
              <w:t>Comprehensive guidelines are available for ART and the care of adults and children with HIV infection in the 2023 ART Clinical Guidelines for the Management of HIV in Adults, Pregnancy and Breastfeeding, Adolescents, Children, Infants and Neonates.</w:t>
            </w:r>
            <w:r w:rsidRPr="00367F15">
              <w:rPr>
                <w:rStyle w:val="EndnoteReference"/>
                <w:sz w:val="16"/>
                <w:szCs w:val="16"/>
              </w:rPr>
              <w:t xml:space="preserve"> </w:t>
            </w:r>
            <w:r w:rsidRPr="00367F15">
              <w:rPr>
                <w:rStyle w:val="EndnoteReference"/>
                <w:sz w:val="16"/>
                <w:szCs w:val="16"/>
              </w:rPr>
              <w:endnoteReference w:id="2"/>
            </w:r>
          </w:p>
        </w:tc>
      </w:tr>
    </w:tbl>
    <w:p w14:paraId="71D9FD8D" w14:textId="77777777" w:rsidR="00C91F7A" w:rsidRPr="00367F15" w:rsidRDefault="00C91F7A" w:rsidP="00263AB4"/>
    <w:p w14:paraId="52E106D4" w14:textId="77777777" w:rsidR="00C91F7A" w:rsidRPr="00367F15" w:rsidRDefault="00C91F7A" w:rsidP="00263AB4"/>
    <w:p w14:paraId="6A4E34C2" w14:textId="44892FB3" w:rsidR="00E5138C" w:rsidRPr="00367F15" w:rsidRDefault="00C91F7A" w:rsidP="00EE459B">
      <w:pPr>
        <w:pStyle w:val="Heading1A"/>
      </w:pPr>
      <w:bookmarkStart w:id="0" w:name="_Toc57132038"/>
      <w:bookmarkStart w:id="1" w:name="_Toc177151087"/>
      <w:bookmarkStart w:id="2" w:name="_Toc50580094"/>
      <w:bookmarkStart w:id="3" w:name="Chapter11"/>
      <w:r w:rsidRPr="00367F15">
        <w:lastRenderedPageBreak/>
        <w:t>HI</w:t>
      </w:r>
      <w:r w:rsidR="00EE459B" w:rsidRPr="00367F15">
        <w:t>V</w:t>
      </w:r>
      <w:r w:rsidR="00225259" w:rsidRPr="00367F15">
        <w:t xml:space="preserve"> infection in adults</w:t>
      </w:r>
      <w:bookmarkEnd w:id="0"/>
      <w:r w:rsidR="000D0005" w:rsidRPr="00367F15">
        <w:t xml:space="preserve"> and adolescents</w:t>
      </w:r>
      <w:r w:rsidR="00CF4A9A" w:rsidRPr="00367F15">
        <w:t xml:space="preserve"> (10-19 years</w:t>
      </w:r>
      <w:r w:rsidR="00C429A7" w:rsidRPr="00367F15">
        <w:t xml:space="preserve"> old)</w:t>
      </w:r>
      <w:bookmarkEnd w:id="1"/>
      <w:r w:rsidR="006D4857" w:rsidRPr="00367F15">
        <w:fldChar w:fldCharType="begin"/>
      </w:r>
      <w:r w:rsidR="006D4857" w:rsidRPr="00367F15">
        <w:instrText xml:space="preserve"> XE "HIV infection in adults" \f “c”</w:instrText>
      </w:r>
      <w:r w:rsidR="006D4857" w:rsidRPr="00367F15">
        <w:fldChar w:fldCharType="end"/>
      </w:r>
    </w:p>
    <w:p w14:paraId="7A72F64E" w14:textId="77777777" w:rsidR="00E5138C" w:rsidRPr="00B9629C" w:rsidRDefault="00E5138C" w:rsidP="004A5342">
      <w:pPr>
        <w:pStyle w:val="Heading5"/>
        <w:rPr>
          <w:highlight w:val="darkGray"/>
        </w:rPr>
      </w:pPr>
      <w:r w:rsidRPr="00B9629C">
        <w:rPr>
          <w:highlight w:val="darkGray"/>
        </w:rPr>
        <w:t xml:space="preserve">DESCRIPTION </w:t>
      </w:r>
    </w:p>
    <w:p w14:paraId="27601A15" w14:textId="77777777" w:rsidR="00E5138C" w:rsidRPr="00B9629C" w:rsidRDefault="00E5138C" w:rsidP="00E5138C">
      <w:pPr>
        <w:pStyle w:val="NoSpacing"/>
        <w:rPr>
          <w:highlight w:val="darkGray"/>
        </w:rPr>
      </w:pPr>
      <w:r w:rsidRPr="00B9629C">
        <w:rPr>
          <w:highlight w:val="darkGray"/>
        </w:rPr>
        <w:t xml:space="preserve">HIV replicates in CD4 lymphocytes and monocytes, leading to progressive destruction of CD4 lymphocytes and impaired immunity. </w:t>
      </w:r>
    </w:p>
    <w:p w14:paraId="2CD54D81" w14:textId="77777777" w:rsidR="00E5138C" w:rsidRPr="00B9629C" w:rsidRDefault="00E5138C" w:rsidP="00E5138C">
      <w:pPr>
        <w:pStyle w:val="NoSpacing"/>
        <w:rPr>
          <w:highlight w:val="darkGray"/>
        </w:rPr>
      </w:pPr>
      <w:r w:rsidRPr="00B9629C">
        <w:rPr>
          <w:highlight w:val="darkGray"/>
        </w:rPr>
        <w:t>Primary infection is characterised by:</w:t>
      </w:r>
    </w:p>
    <w:p w14:paraId="0E0B1858" w14:textId="4D48C621" w:rsidR="00E5138C" w:rsidRPr="00B9629C" w:rsidRDefault="00E5138C" w:rsidP="00FD719A">
      <w:pPr>
        <w:pStyle w:val="ListParagraph"/>
        <w:rPr>
          <w:highlight w:val="darkGray"/>
        </w:rPr>
      </w:pPr>
      <w:r w:rsidRPr="00B9629C">
        <w:rPr>
          <w:highlight w:val="darkGray"/>
        </w:rPr>
        <w:t>glandular fever-type illness</w:t>
      </w:r>
      <w:r w:rsidR="00724290" w:rsidRPr="00B9629C">
        <w:rPr>
          <w:highlight w:val="darkGray"/>
        </w:rPr>
        <w:t>,</w:t>
      </w:r>
    </w:p>
    <w:p w14:paraId="5AB1B093" w14:textId="62414D7E" w:rsidR="00E5138C" w:rsidRPr="00B9629C" w:rsidRDefault="00E5138C" w:rsidP="00FD719A">
      <w:pPr>
        <w:pStyle w:val="ListParagraph"/>
        <w:rPr>
          <w:highlight w:val="darkGray"/>
        </w:rPr>
      </w:pPr>
      <w:r w:rsidRPr="00B9629C">
        <w:rPr>
          <w:highlight w:val="darkGray"/>
        </w:rPr>
        <w:t>maculopapular rash</w:t>
      </w:r>
      <w:r w:rsidR="00724290" w:rsidRPr="00B9629C">
        <w:rPr>
          <w:highlight w:val="darkGray"/>
        </w:rPr>
        <w:t>,</w:t>
      </w:r>
    </w:p>
    <w:p w14:paraId="6DCFD19D" w14:textId="014A4834" w:rsidR="00E5138C" w:rsidRPr="00B9629C" w:rsidRDefault="00E5138C" w:rsidP="00FD719A">
      <w:pPr>
        <w:pStyle w:val="ListParagraph"/>
        <w:rPr>
          <w:highlight w:val="darkGray"/>
        </w:rPr>
      </w:pPr>
      <w:r w:rsidRPr="00B9629C">
        <w:rPr>
          <w:highlight w:val="darkGray"/>
        </w:rPr>
        <w:t>small orogenital ulcers</w:t>
      </w:r>
      <w:r w:rsidR="00724290" w:rsidRPr="00B9629C">
        <w:rPr>
          <w:highlight w:val="darkGray"/>
        </w:rPr>
        <w:t>.</w:t>
      </w:r>
    </w:p>
    <w:p w14:paraId="58A9688C" w14:textId="234AA7B8" w:rsidR="00E5138C" w:rsidRPr="00B9629C" w:rsidRDefault="00E5138C" w:rsidP="00223C33">
      <w:pPr>
        <w:pStyle w:val="NoSpacing"/>
        <w:jc w:val="both"/>
        <w:rPr>
          <w:highlight w:val="darkGray"/>
        </w:rPr>
      </w:pPr>
      <w:r w:rsidRPr="00B9629C">
        <w:rPr>
          <w:highlight w:val="darkGray"/>
        </w:rPr>
        <w:t>After primary infection, patients may have generalised lymphadenopathy and are usually asymptomatic for several years. Subsequently</w:t>
      </w:r>
      <w:r w:rsidR="00160BAE" w:rsidRPr="00B9629C">
        <w:rPr>
          <w:highlight w:val="darkGray"/>
        </w:rPr>
        <w:t>, if untreated,</w:t>
      </w:r>
      <w:r w:rsidRPr="00B9629C">
        <w:rPr>
          <w:highlight w:val="darkGray"/>
        </w:rPr>
        <w:t xml:space="preserve"> inflammatory skin conditions and an increased frequency of minor infections occur, followed by more severe infections (especially tuberculosis), weight loss </w:t>
      </w:r>
      <w:r w:rsidR="006E7D9E" w:rsidRPr="00B9629C">
        <w:rPr>
          <w:highlight w:val="darkGray"/>
        </w:rPr>
        <w:t>and/</w:t>
      </w:r>
      <w:r w:rsidRPr="00B9629C">
        <w:rPr>
          <w:highlight w:val="darkGray"/>
        </w:rPr>
        <w:t>or chronic diarrhoea. Eventually</w:t>
      </w:r>
      <w:r w:rsidR="007124AA" w:rsidRPr="00B9629C">
        <w:rPr>
          <w:highlight w:val="darkGray"/>
        </w:rPr>
        <w:t>,</w:t>
      </w:r>
      <w:r w:rsidRPr="00B9629C">
        <w:rPr>
          <w:highlight w:val="darkGray"/>
        </w:rPr>
        <w:t xml:space="preserve"> severe opportunistic infections, HIV-associated cancers</w:t>
      </w:r>
      <w:r w:rsidR="00312C17" w:rsidRPr="00B9629C">
        <w:rPr>
          <w:highlight w:val="darkGray"/>
        </w:rPr>
        <w:t>,</w:t>
      </w:r>
      <w:r w:rsidRPr="00B9629C">
        <w:rPr>
          <w:highlight w:val="darkGray"/>
        </w:rPr>
        <w:t xml:space="preserve"> or other severe HIV manifestations develop, known as the Acquired Immune Deficiency Syndrome (AIDS).</w:t>
      </w:r>
    </w:p>
    <w:p w14:paraId="454F32B2" w14:textId="77777777" w:rsidR="00E5138C" w:rsidRPr="00B9629C" w:rsidRDefault="00E5138C" w:rsidP="004A5342">
      <w:pPr>
        <w:pStyle w:val="Heading5"/>
        <w:rPr>
          <w:highlight w:val="darkGray"/>
        </w:rPr>
      </w:pPr>
      <w:r w:rsidRPr="00B9629C">
        <w:rPr>
          <w:highlight w:val="darkGray"/>
        </w:rPr>
        <w:t>DIAGNOSIS</w:t>
      </w:r>
    </w:p>
    <w:p w14:paraId="0A58B334" w14:textId="1F61812E" w:rsidR="00E5138C" w:rsidRPr="00B9629C" w:rsidRDefault="00122000" w:rsidP="006A2CB8">
      <w:pPr>
        <w:pStyle w:val="ListParagraph"/>
        <w:jc w:val="both"/>
        <w:rPr>
          <w:highlight w:val="darkGray"/>
        </w:rPr>
      </w:pPr>
      <w:r w:rsidRPr="00B9629C">
        <w:rPr>
          <w:highlight w:val="darkGray"/>
        </w:rPr>
        <w:t>Provide a</w:t>
      </w:r>
      <w:r w:rsidR="00E5138C" w:rsidRPr="00B9629C">
        <w:rPr>
          <w:highlight w:val="darkGray"/>
        </w:rPr>
        <w:t>dequate pre- and post-test counselling.</w:t>
      </w:r>
    </w:p>
    <w:p w14:paraId="07DF91E2" w14:textId="77777777" w:rsidR="00E5138C" w:rsidRPr="00B9629C" w:rsidRDefault="00E5138C" w:rsidP="006A2CB8">
      <w:pPr>
        <w:pStyle w:val="ListParagraph"/>
        <w:jc w:val="both"/>
        <w:rPr>
          <w:highlight w:val="darkGray"/>
        </w:rPr>
      </w:pPr>
      <w:r w:rsidRPr="00B9629C">
        <w:rPr>
          <w:highlight w:val="darkGray"/>
        </w:rPr>
        <w:t>Ensure patient confidentiality.</w:t>
      </w:r>
    </w:p>
    <w:p w14:paraId="26EC433A" w14:textId="3A81AD9B" w:rsidR="00E5138C" w:rsidRPr="00B9629C" w:rsidRDefault="00E31C5F" w:rsidP="006A2CB8">
      <w:pPr>
        <w:pStyle w:val="ListParagraph"/>
        <w:jc w:val="both"/>
        <w:rPr>
          <w:highlight w:val="darkGray"/>
        </w:rPr>
      </w:pPr>
      <w:r w:rsidRPr="00B9629C">
        <w:rPr>
          <w:highlight w:val="darkGray"/>
        </w:rPr>
        <w:t>A positive rapid HIV test</w:t>
      </w:r>
      <w:r w:rsidR="0090299F" w:rsidRPr="00B9629C">
        <w:rPr>
          <w:highlight w:val="darkGray"/>
        </w:rPr>
        <w:t xml:space="preserve"> </w:t>
      </w:r>
      <w:r w:rsidR="00E5138C" w:rsidRPr="00B9629C">
        <w:rPr>
          <w:highlight w:val="darkGray"/>
        </w:rPr>
        <w:t xml:space="preserve">in adults must be confirmed with a 2nd rapid test from a different manufacturer. If the screening and confirmation rapid test result differ, repeat the tests. If the repeated test series differ, </w:t>
      </w:r>
      <w:r w:rsidR="00655A6B" w:rsidRPr="00B9629C">
        <w:rPr>
          <w:highlight w:val="darkGray"/>
        </w:rPr>
        <w:t xml:space="preserve">do </w:t>
      </w:r>
      <w:r w:rsidR="00E5138C" w:rsidRPr="00B9629C">
        <w:rPr>
          <w:highlight w:val="darkGray"/>
        </w:rPr>
        <w:t>a laboratory test (usually ELISA).</w:t>
      </w:r>
    </w:p>
    <w:p w14:paraId="50DBBD6B" w14:textId="1BEDF88A" w:rsidR="00E5138C" w:rsidRPr="00B9629C" w:rsidRDefault="00E5138C" w:rsidP="006A2CB8">
      <w:pPr>
        <w:pStyle w:val="ListParagraph"/>
        <w:jc w:val="both"/>
        <w:rPr>
          <w:highlight w:val="darkGray"/>
        </w:rPr>
      </w:pPr>
      <w:r w:rsidRPr="00B9629C">
        <w:rPr>
          <w:highlight w:val="darkGray"/>
        </w:rPr>
        <w:t xml:space="preserve">HIV antibodies are not detected during the 1st few weeks </w:t>
      </w:r>
      <w:r w:rsidR="0090299F" w:rsidRPr="00B9629C">
        <w:rPr>
          <w:highlight w:val="darkGray"/>
        </w:rPr>
        <w:t>after</w:t>
      </w:r>
      <w:r w:rsidRPr="00B9629C">
        <w:rPr>
          <w:highlight w:val="darkGray"/>
        </w:rPr>
        <w:t xml:space="preserve"> infection. This is known as the window period.</w:t>
      </w:r>
    </w:p>
    <w:p w14:paraId="7A25810F" w14:textId="77777777" w:rsidR="00E5138C" w:rsidRPr="00B9629C" w:rsidRDefault="00E5138C" w:rsidP="004A5342">
      <w:pPr>
        <w:pStyle w:val="Heading5"/>
        <w:rPr>
          <w:highlight w:val="darkGray"/>
        </w:rPr>
      </w:pPr>
      <w:r w:rsidRPr="00B9629C">
        <w:rPr>
          <w:highlight w:val="darkGray"/>
        </w:rPr>
        <w:t>PROGNOSIS</w:t>
      </w:r>
    </w:p>
    <w:p w14:paraId="0BD51A68" w14:textId="34820216" w:rsidR="00E5138C" w:rsidRPr="00B9629C" w:rsidRDefault="00E5138C" w:rsidP="00705A79">
      <w:pPr>
        <w:pStyle w:val="ListParagraph"/>
        <w:jc w:val="both"/>
        <w:rPr>
          <w:highlight w:val="darkGray"/>
        </w:rPr>
      </w:pPr>
      <w:r w:rsidRPr="00B9629C">
        <w:rPr>
          <w:highlight w:val="darkGray"/>
        </w:rPr>
        <w:t xml:space="preserve">HIV disease </w:t>
      </w:r>
      <w:r w:rsidR="00655DC2" w:rsidRPr="00B9629C">
        <w:rPr>
          <w:highlight w:val="darkGray"/>
        </w:rPr>
        <w:t xml:space="preserve">progression </w:t>
      </w:r>
      <w:r w:rsidRPr="00B9629C">
        <w:rPr>
          <w:highlight w:val="darkGray"/>
        </w:rPr>
        <w:t xml:space="preserve">is variable. The CD4 lymphocyte count and clinical features of immune suppression (see WHO staging below) both provide independent information on prognosis. Patients may be asymptomatic with very low CD4 counts or have severe clinical features with well-preserved CD4 counts. CD4 counts </w:t>
      </w:r>
      <w:r w:rsidR="00724290" w:rsidRPr="00B9629C">
        <w:rPr>
          <w:highlight w:val="darkGray"/>
        </w:rPr>
        <w:t>&lt;</w:t>
      </w:r>
      <w:r w:rsidRPr="00B9629C">
        <w:rPr>
          <w:highlight w:val="darkGray"/>
        </w:rPr>
        <w:t>200 cells/mm</w:t>
      </w:r>
      <w:r w:rsidRPr="00B9629C">
        <w:rPr>
          <w:highlight w:val="darkGray"/>
          <w:vertAlign w:val="superscript"/>
        </w:rPr>
        <w:t>3</w:t>
      </w:r>
      <w:r w:rsidRPr="00B9629C">
        <w:rPr>
          <w:highlight w:val="darkGray"/>
        </w:rPr>
        <w:t xml:space="preserve"> indicate severe immune suppression. All HIV-infected patients must have a CD4 count and WHO clinical staging done</w:t>
      </w:r>
      <w:r w:rsidR="00A278E3" w:rsidRPr="00B9629C">
        <w:rPr>
          <w:highlight w:val="darkGray"/>
        </w:rPr>
        <w:t xml:space="preserve"> at diagnosis</w:t>
      </w:r>
      <w:r w:rsidRPr="00B9629C">
        <w:rPr>
          <w:highlight w:val="darkGray"/>
        </w:rPr>
        <w:t xml:space="preserve">. </w:t>
      </w:r>
    </w:p>
    <w:p w14:paraId="0962C84C" w14:textId="12E1AD18" w:rsidR="00E5138C" w:rsidRPr="00B9629C" w:rsidRDefault="00E5138C" w:rsidP="00705A79">
      <w:pPr>
        <w:pStyle w:val="ListParagraph"/>
        <w:jc w:val="both"/>
        <w:rPr>
          <w:highlight w:val="darkGray"/>
        </w:rPr>
      </w:pPr>
      <w:r w:rsidRPr="00B9629C">
        <w:rPr>
          <w:highlight w:val="darkGray"/>
        </w:rPr>
        <w:t xml:space="preserve">All </w:t>
      </w:r>
      <w:r w:rsidR="006B6509" w:rsidRPr="00B9629C">
        <w:rPr>
          <w:highlight w:val="darkGray"/>
        </w:rPr>
        <w:t>PLHIV</w:t>
      </w:r>
      <w:r w:rsidRPr="00B9629C">
        <w:rPr>
          <w:highlight w:val="darkGray"/>
        </w:rPr>
        <w:t xml:space="preserve"> are eligible for ART, irrespective of CD4 count or WHO stage. Patients should be counselled about the benefits and risks of early ART initiation, and encouraged to initiate ART as soon as feasible. However, should a patient elect to defer ART, the CD4 count should be repeated every 6 months until ART can be initiated. </w:t>
      </w:r>
    </w:p>
    <w:p w14:paraId="544A5A4A" w14:textId="77777777" w:rsidR="006B166C" w:rsidRPr="00B9629C" w:rsidRDefault="006B166C" w:rsidP="00E5138C">
      <w:pPr>
        <w:rPr>
          <w:rStyle w:val="Strong"/>
          <w:highlight w:val="darkGray"/>
        </w:rPr>
      </w:pPr>
    </w:p>
    <w:p w14:paraId="34EB361D" w14:textId="77777777" w:rsidR="00326933" w:rsidRPr="00B9629C" w:rsidRDefault="00326933">
      <w:pPr>
        <w:spacing w:before="0" w:after="0"/>
        <w:rPr>
          <w:rStyle w:val="Strong"/>
          <w:highlight w:val="darkGray"/>
        </w:rPr>
      </w:pPr>
      <w:r w:rsidRPr="00B9629C">
        <w:rPr>
          <w:rStyle w:val="Strong"/>
          <w:highlight w:val="darkGray"/>
        </w:rPr>
        <w:br w:type="page"/>
      </w:r>
    </w:p>
    <w:p w14:paraId="0CC16433" w14:textId="54ABE250" w:rsidR="00326933" w:rsidRPr="00B9629C" w:rsidRDefault="00E5138C" w:rsidP="00E5138C">
      <w:pPr>
        <w:rPr>
          <w:rStyle w:val="Strong"/>
          <w:highlight w:val="darkGray"/>
        </w:rPr>
      </w:pPr>
      <w:r w:rsidRPr="00B9629C">
        <w:rPr>
          <w:rStyle w:val="Strong"/>
          <w:highlight w:val="darkGray"/>
        </w:rPr>
        <w:lastRenderedPageBreak/>
        <w:t>South African modified WHO staging of HIV/AIDS for adults and adolescents</w:t>
      </w:r>
    </w:p>
    <w:tbl>
      <w:tblPr>
        <w:tblStyle w:val="TableGrid"/>
        <w:tblW w:w="0" w:type="auto"/>
        <w:tblLook w:val="04A0" w:firstRow="1" w:lastRow="0" w:firstColumn="1" w:lastColumn="0" w:noHBand="0" w:noVBand="1"/>
      </w:tblPr>
      <w:tblGrid>
        <w:gridCol w:w="985"/>
        <w:gridCol w:w="5696"/>
      </w:tblGrid>
      <w:tr w:rsidR="00326933" w:rsidRPr="00B9629C" w14:paraId="54289080" w14:textId="77777777" w:rsidTr="000B7E25">
        <w:trPr>
          <w:tblHeader/>
        </w:trPr>
        <w:tc>
          <w:tcPr>
            <w:tcW w:w="985" w:type="dxa"/>
            <w:shd w:val="clear" w:color="auto" w:fill="D9D9D9" w:themeFill="background1" w:themeFillShade="D9"/>
          </w:tcPr>
          <w:p w14:paraId="3785BBE5" w14:textId="6087300D" w:rsidR="00326933" w:rsidRPr="00B9629C" w:rsidRDefault="00326933" w:rsidP="00E5138C">
            <w:pPr>
              <w:rPr>
                <w:rStyle w:val="Strong"/>
                <w:highlight w:val="darkGray"/>
              </w:rPr>
            </w:pPr>
            <w:r w:rsidRPr="00B9629C">
              <w:rPr>
                <w:rStyle w:val="Strong"/>
                <w:highlight w:val="darkGray"/>
              </w:rPr>
              <w:t>Clinical Staging</w:t>
            </w:r>
          </w:p>
        </w:tc>
        <w:tc>
          <w:tcPr>
            <w:tcW w:w="5696" w:type="dxa"/>
            <w:shd w:val="clear" w:color="auto" w:fill="D9D9D9" w:themeFill="background1" w:themeFillShade="D9"/>
          </w:tcPr>
          <w:p w14:paraId="20861D8E" w14:textId="431D8529" w:rsidR="00326933" w:rsidRPr="00B9629C" w:rsidRDefault="00326933" w:rsidP="00E5138C">
            <w:pPr>
              <w:rPr>
                <w:rStyle w:val="Strong"/>
                <w:highlight w:val="darkGray"/>
              </w:rPr>
            </w:pPr>
            <w:r w:rsidRPr="00B9629C">
              <w:rPr>
                <w:rStyle w:val="Strong"/>
                <w:highlight w:val="darkGray"/>
              </w:rPr>
              <w:t>Clinical Features</w:t>
            </w:r>
          </w:p>
        </w:tc>
      </w:tr>
      <w:tr w:rsidR="00326933" w:rsidRPr="00B9629C" w14:paraId="5ED05192" w14:textId="77777777" w:rsidTr="000B7E25">
        <w:tc>
          <w:tcPr>
            <w:tcW w:w="985" w:type="dxa"/>
          </w:tcPr>
          <w:p w14:paraId="333C5604" w14:textId="2562E2E0" w:rsidR="00326933" w:rsidRPr="00B9629C" w:rsidRDefault="00326933" w:rsidP="00E5138C">
            <w:pPr>
              <w:rPr>
                <w:rStyle w:val="Strong"/>
                <w:highlight w:val="darkGray"/>
              </w:rPr>
            </w:pPr>
            <w:r w:rsidRPr="00B9629C">
              <w:rPr>
                <w:rStyle w:val="Strong"/>
                <w:highlight w:val="darkGray"/>
              </w:rPr>
              <w:t>Stage 1</w:t>
            </w:r>
          </w:p>
        </w:tc>
        <w:tc>
          <w:tcPr>
            <w:tcW w:w="5696" w:type="dxa"/>
          </w:tcPr>
          <w:p w14:paraId="4909F54B" w14:textId="77777777" w:rsidR="00326933" w:rsidRPr="00B9629C" w:rsidRDefault="00326933" w:rsidP="00326933">
            <w:pPr>
              <w:pStyle w:val="ListParagraph"/>
              <w:rPr>
                <w:highlight w:val="darkGray"/>
              </w:rPr>
            </w:pPr>
            <w:r w:rsidRPr="00B9629C">
              <w:rPr>
                <w:highlight w:val="darkGray"/>
              </w:rPr>
              <w:t>Asymptomatic.</w:t>
            </w:r>
          </w:p>
          <w:p w14:paraId="2CBCB74A" w14:textId="41748167" w:rsidR="00326933" w:rsidRPr="00B9629C" w:rsidRDefault="00326933" w:rsidP="004116C6">
            <w:pPr>
              <w:pStyle w:val="ListParagraph"/>
              <w:rPr>
                <w:rStyle w:val="Strong"/>
                <w:highlight w:val="darkGray"/>
              </w:rPr>
            </w:pPr>
            <w:r w:rsidRPr="00B9629C">
              <w:rPr>
                <w:highlight w:val="darkGray"/>
              </w:rPr>
              <w:t>Persistent generalised lymphadenopathy.</w:t>
            </w:r>
          </w:p>
        </w:tc>
      </w:tr>
      <w:tr w:rsidR="00326933" w:rsidRPr="00B9629C" w14:paraId="7AD98772" w14:textId="77777777" w:rsidTr="000B7E25">
        <w:tc>
          <w:tcPr>
            <w:tcW w:w="985" w:type="dxa"/>
          </w:tcPr>
          <w:p w14:paraId="78D63703" w14:textId="0B0F60E6" w:rsidR="00326933" w:rsidRPr="00B9629C" w:rsidRDefault="00326933" w:rsidP="00E5138C">
            <w:pPr>
              <w:rPr>
                <w:rStyle w:val="Strong"/>
                <w:highlight w:val="darkGray"/>
              </w:rPr>
            </w:pPr>
            <w:r w:rsidRPr="00B9629C">
              <w:rPr>
                <w:rStyle w:val="Strong"/>
                <w:highlight w:val="darkGray"/>
              </w:rPr>
              <w:t>Stage 2</w:t>
            </w:r>
          </w:p>
        </w:tc>
        <w:tc>
          <w:tcPr>
            <w:tcW w:w="5696" w:type="dxa"/>
          </w:tcPr>
          <w:p w14:paraId="44460709" w14:textId="7A96CBD2" w:rsidR="00326933" w:rsidRPr="00B9629C" w:rsidRDefault="00326933" w:rsidP="00326933">
            <w:pPr>
              <w:pStyle w:val="ListParagraph"/>
              <w:rPr>
                <w:highlight w:val="darkGray"/>
              </w:rPr>
            </w:pPr>
            <w:r w:rsidRPr="00B9629C">
              <w:rPr>
                <w:highlight w:val="darkGray"/>
              </w:rPr>
              <w:t>Unexplained moderate weight loss (&lt;10% of presumed or measured body weight).</w:t>
            </w:r>
          </w:p>
          <w:p w14:paraId="4D88BE08" w14:textId="77777777" w:rsidR="00326933" w:rsidRPr="00B9629C" w:rsidRDefault="00326933" w:rsidP="00326933">
            <w:pPr>
              <w:pStyle w:val="ListParagraph"/>
              <w:rPr>
                <w:highlight w:val="darkGray"/>
              </w:rPr>
            </w:pPr>
            <w:r w:rsidRPr="00B9629C">
              <w:rPr>
                <w:highlight w:val="darkGray"/>
              </w:rPr>
              <w:t>Recurrent respiratory tract infections (sinusitis, otitis media and pharyngitis).</w:t>
            </w:r>
          </w:p>
          <w:p w14:paraId="11EF29FA" w14:textId="77777777" w:rsidR="00326933" w:rsidRPr="00B9629C" w:rsidRDefault="00326933" w:rsidP="00326933">
            <w:pPr>
              <w:pStyle w:val="ListParagraph"/>
              <w:rPr>
                <w:highlight w:val="darkGray"/>
              </w:rPr>
            </w:pPr>
            <w:r w:rsidRPr="00B9629C">
              <w:rPr>
                <w:highlight w:val="darkGray"/>
              </w:rPr>
              <w:t>Herpes zoster (shingles).</w:t>
            </w:r>
          </w:p>
          <w:p w14:paraId="1F2A12F8" w14:textId="77777777" w:rsidR="00326933" w:rsidRPr="00B9629C" w:rsidRDefault="00326933" w:rsidP="00326933">
            <w:pPr>
              <w:pStyle w:val="ListParagraph"/>
              <w:rPr>
                <w:highlight w:val="darkGray"/>
              </w:rPr>
            </w:pPr>
            <w:r w:rsidRPr="00B9629C">
              <w:rPr>
                <w:highlight w:val="darkGray"/>
              </w:rPr>
              <w:t>Angular stomatitis.</w:t>
            </w:r>
          </w:p>
          <w:p w14:paraId="2C2681F2" w14:textId="77777777" w:rsidR="00326933" w:rsidRPr="00B9629C" w:rsidRDefault="00326933" w:rsidP="00326933">
            <w:pPr>
              <w:pStyle w:val="ListParagraph"/>
              <w:rPr>
                <w:highlight w:val="darkGray"/>
              </w:rPr>
            </w:pPr>
            <w:r w:rsidRPr="00B9629C">
              <w:rPr>
                <w:highlight w:val="darkGray"/>
              </w:rPr>
              <w:t>Recurrent oral ulceration.</w:t>
            </w:r>
          </w:p>
          <w:p w14:paraId="5C53F030" w14:textId="77777777" w:rsidR="00326933" w:rsidRPr="00B9629C" w:rsidRDefault="00326933" w:rsidP="00326933">
            <w:pPr>
              <w:pStyle w:val="ListParagraph"/>
              <w:rPr>
                <w:highlight w:val="darkGray"/>
              </w:rPr>
            </w:pPr>
            <w:r w:rsidRPr="00B9629C">
              <w:rPr>
                <w:highlight w:val="darkGray"/>
              </w:rPr>
              <w:t>Papular pruritic eruption.</w:t>
            </w:r>
          </w:p>
          <w:p w14:paraId="1B324206" w14:textId="77777777" w:rsidR="00326933" w:rsidRPr="00B9629C" w:rsidRDefault="00326933" w:rsidP="00326933">
            <w:pPr>
              <w:pStyle w:val="ListParagraph"/>
              <w:rPr>
                <w:highlight w:val="darkGray"/>
              </w:rPr>
            </w:pPr>
            <w:r w:rsidRPr="00B9629C">
              <w:rPr>
                <w:highlight w:val="darkGray"/>
              </w:rPr>
              <w:t>Seborrhoeic dermatitis.</w:t>
            </w:r>
          </w:p>
          <w:p w14:paraId="4D095A49" w14:textId="47101082" w:rsidR="00326933" w:rsidRPr="00B9629C" w:rsidRDefault="00326933" w:rsidP="000B7E25">
            <w:pPr>
              <w:pStyle w:val="ListParagraph"/>
              <w:rPr>
                <w:rStyle w:val="Strong"/>
                <w:highlight w:val="darkGray"/>
              </w:rPr>
            </w:pPr>
            <w:r w:rsidRPr="00B9629C">
              <w:rPr>
                <w:highlight w:val="darkGray"/>
              </w:rPr>
              <w:t>Fungal nail infections.</w:t>
            </w:r>
          </w:p>
        </w:tc>
      </w:tr>
      <w:tr w:rsidR="00326933" w:rsidRPr="00B9629C" w14:paraId="5D8CA725" w14:textId="77777777" w:rsidTr="000B7E25">
        <w:tc>
          <w:tcPr>
            <w:tcW w:w="985" w:type="dxa"/>
          </w:tcPr>
          <w:p w14:paraId="062E13F5" w14:textId="366AFCAC" w:rsidR="00326933" w:rsidRPr="00B9629C" w:rsidRDefault="00326933" w:rsidP="00E5138C">
            <w:pPr>
              <w:rPr>
                <w:rStyle w:val="Strong"/>
                <w:highlight w:val="darkGray"/>
              </w:rPr>
            </w:pPr>
            <w:r w:rsidRPr="00B9629C">
              <w:rPr>
                <w:rStyle w:val="Strong"/>
                <w:highlight w:val="darkGray"/>
              </w:rPr>
              <w:t>Stage 3</w:t>
            </w:r>
          </w:p>
        </w:tc>
        <w:tc>
          <w:tcPr>
            <w:tcW w:w="5696" w:type="dxa"/>
          </w:tcPr>
          <w:p w14:paraId="76CAFB33" w14:textId="06164296" w:rsidR="00326933" w:rsidRPr="00B9629C" w:rsidRDefault="00326933" w:rsidP="00326933">
            <w:pPr>
              <w:pStyle w:val="ListParagraph"/>
              <w:rPr>
                <w:highlight w:val="darkGray"/>
              </w:rPr>
            </w:pPr>
            <w:r w:rsidRPr="00B9629C">
              <w:rPr>
                <w:highlight w:val="darkGray"/>
              </w:rPr>
              <w:t>Unexplained severe weight loss (</w:t>
            </w:r>
            <w:r w:rsidR="00724290" w:rsidRPr="00B9629C">
              <w:rPr>
                <w:highlight w:val="darkGray"/>
              </w:rPr>
              <w:t>&gt;</w:t>
            </w:r>
            <w:r w:rsidRPr="00B9629C">
              <w:rPr>
                <w:highlight w:val="darkGray"/>
              </w:rPr>
              <w:t>10% of presumed or measured body weight).</w:t>
            </w:r>
          </w:p>
          <w:p w14:paraId="6413D05B" w14:textId="1F051B62" w:rsidR="00326933" w:rsidRPr="00B9629C" w:rsidRDefault="00326933" w:rsidP="00326933">
            <w:pPr>
              <w:pStyle w:val="ListParagraph"/>
              <w:rPr>
                <w:highlight w:val="darkGray"/>
              </w:rPr>
            </w:pPr>
            <w:r w:rsidRPr="00B9629C">
              <w:rPr>
                <w:highlight w:val="darkGray"/>
              </w:rPr>
              <w:t xml:space="preserve">Unexplained chronic diarrhoea for </w:t>
            </w:r>
            <w:r w:rsidR="00724290" w:rsidRPr="00B9629C">
              <w:rPr>
                <w:highlight w:val="darkGray"/>
              </w:rPr>
              <w:t>&gt;</w:t>
            </w:r>
            <w:r w:rsidRPr="00B9629C">
              <w:rPr>
                <w:highlight w:val="darkGray"/>
              </w:rPr>
              <w:t>1 month.</w:t>
            </w:r>
          </w:p>
          <w:p w14:paraId="672D2493" w14:textId="4B3588F6" w:rsidR="00326933" w:rsidRPr="00B9629C" w:rsidRDefault="00326933" w:rsidP="00326933">
            <w:pPr>
              <w:pStyle w:val="ListParagraph"/>
              <w:rPr>
                <w:highlight w:val="darkGray"/>
              </w:rPr>
            </w:pPr>
            <w:r w:rsidRPr="00B9629C">
              <w:rPr>
                <w:highlight w:val="darkGray"/>
              </w:rPr>
              <w:t>Unexplained persistent fever (</w:t>
            </w:r>
            <w:r w:rsidR="00724290" w:rsidRPr="00B9629C">
              <w:rPr>
                <w:highlight w:val="darkGray"/>
              </w:rPr>
              <w:t>&gt;</w:t>
            </w:r>
            <w:r w:rsidRPr="00B9629C">
              <w:rPr>
                <w:highlight w:val="darkGray"/>
              </w:rPr>
              <w:t>37.5</w:t>
            </w:r>
            <w:r w:rsidR="008B792E" w:rsidRPr="00B9629C">
              <w:rPr>
                <w:highlight w:val="darkGray"/>
              </w:rPr>
              <w:t>°</w:t>
            </w:r>
            <w:r w:rsidRPr="00B9629C">
              <w:rPr>
                <w:highlight w:val="darkGray"/>
              </w:rPr>
              <w:t xml:space="preserve">C intermittent or constant for </w:t>
            </w:r>
            <w:r w:rsidR="00724290" w:rsidRPr="00B9629C">
              <w:rPr>
                <w:highlight w:val="darkGray"/>
              </w:rPr>
              <w:t>&gt;</w:t>
            </w:r>
            <w:r w:rsidRPr="00B9629C">
              <w:rPr>
                <w:highlight w:val="darkGray"/>
              </w:rPr>
              <w:t>1 month).</w:t>
            </w:r>
          </w:p>
          <w:p w14:paraId="49E0FC5C" w14:textId="77777777" w:rsidR="00326933" w:rsidRPr="00B9629C" w:rsidRDefault="00326933" w:rsidP="00326933">
            <w:pPr>
              <w:pStyle w:val="ListParagraph"/>
              <w:rPr>
                <w:highlight w:val="darkGray"/>
              </w:rPr>
            </w:pPr>
            <w:r w:rsidRPr="00B9629C">
              <w:rPr>
                <w:highlight w:val="darkGray"/>
              </w:rPr>
              <w:t>Persistent oral candidiasis (thrush).</w:t>
            </w:r>
          </w:p>
          <w:p w14:paraId="573E30E9" w14:textId="77777777" w:rsidR="00326933" w:rsidRPr="00B9629C" w:rsidRDefault="00326933" w:rsidP="00326933">
            <w:pPr>
              <w:pStyle w:val="ListParagraph"/>
              <w:rPr>
                <w:highlight w:val="darkGray"/>
              </w:rPr>
            </w:pPr>
            <w:r w:rsidRPr="00B9629C">
              <w:rPr>
                <w:highlight w:val="darkGray"/>
              </w:rPr>
              <w:t>Oral hairy leukoplakia.</w:t>
            </w:r>
          </w:p>
          <w:p w14:paraId="07E72C2C" w14:textId="77777777" w:rsidR="00326933" w:rsidRPr="00B9629C" w:rsidRDefault="00326933" w:rsidP="00326933">
            <w:pPr>
              <w:pStyle w:val="ListParagraph"/>
              <w:rPr>
                <w:highlight w:val="darkGray"/>
              </w:rPr>
            </w:pPr>
            <w:r w:rsidRPr="00B9629C">
              <w:rPr>
                <w:highlight w:val="darkGray"/>
              </w:rPr>
              <w:t>Pulmonary TB.</w:t>
            </w:r>
          </w:p>
          <w:p w14:paraId="4A963913" w14:textId="77777777" w:rsidR="00326933" w:rsidRPr="00B9629C" w:rsidRDefault="00326933" w:rsidP="00326933">
            <w:pPr>
              <w:pStyle w:val="ListParagraph"/>
              <w:rPr>
                <w:highlight w:val="darkGray"/>
              </w:rPr>
            </w:pPr>
            <w:r w:rsidRPr="00B9629C">
              <w:rPr>
                <w:highlight w:val="darkGray"/>
              </w:rPr>
              <w:t>Severe bacterial infections (such as pneumonia, empyema, pyomyositis, bone or joint infection, meningitis, or bacteraemia).</w:t>
            </w:r>
          </w:p>
          <w:p w14:paraId="00186460" w14:textId="77777777" w:rsidR="00326933" w:rsidRPr="00B9629C" w:rsidRDefault="00326933" w:rsidP="00326933">
            <w:pPr>
              <w:pStyle w:val="ListParagraph"/>
              <w:rPr>
                <w:highlight w:val="darkGray"/>
              </w:rPr>
            </w:pPr>
            <w:r w:rsidRPr="00B9629C">
              <w:rPr>
                <w:highlight w:val="darkGray"/>
              </w:rPr>
              <w:t>Acute necrotizing ulcerative stomatitis, gingivitis, or periodontitis.</w:t>
            </w:r>
          </w:p>
          <w:p w14:paraId="30C05514" w14:textId="7DF02D50" w:rsidR="00326933" w:rsidRPr="00B9629C" w:rsidRDefault="00326933" w:rsidP="004116C6">
            <w:pPr>
              <w:pStyle w:val="ListParagraph"/>
              <w:rPr>
                <w:rStyle w:val="Strong"/>
                <w:highlight w:val="darkGray"/>
              </w:rPr>
            </w:pPr>
            <w:r w:rsidRPr="00B9629C">
              <w:rPr>
                <w:highlight w:val="darkGray"/>
              </w:rPr>
              <w:t>Unexplained anaemia (</w:t>
            </w:r>
            <w:r w:rsidR="00724290" w:rsidRPr="00B9629C">
              <w:rPr>
                <w:highlight w:val="darkGray"/>
              </w:rPr>
              <w:t>&lt;</w:t>
            </w:r>
            <w:r w:rsidRPr="00B9629C">
              <w:rPr>
                <w:highlight w:val="darkGray"/>
              </w:rPr>
              <w:t>8 g/dL), neutropaenia (</w:t>
            </w:r>
            <w:r w:rsidR="00724290" w:rsidRPr="00B9629C">
              <w:rPr>
                <w:highlight w:val="darkGray"/>
              </w:rPr>
              <w:t>&lt;</w:t>
            </w:r>
            <w:r w:rsidRPr="00B9629C">
              <w:rPr>
                <w:highlight w:val="darkGray"/>
              </w:rPr>
              <w:t>0.5 × 10</w:t>
            </w:r>
            <w:r w:rsidRPr="00B9629C">
              <w:rPr>
                <w:highlight w:val="darkGray"/>
                <w:vertAlign w:val="superscript"/>
              </w:rPr>
              <w:t>9</w:t>
            </w:r>
            <w:r w:rsidRPr="00B9629C">
              <w:rPr>
                <w:highlight w:val="darkGray"/>
              </w:rPr>
              <w:t>/L) and/or chronic thrombocytopaenia (</w:t>
            </w:r>
            <w:r w:rsidR="00724290" w:rsidRPr="00B9629C">
              <w:rPr>
                <w:highlight w:val="darkGray"/>
              </w:rPr>
              <w:t>&lt;</w:t>
            </w:r>
            <w:r w:rsidRPr="00B9629C">
              <w:rPr>
                <w:highlight w:val="darkGray"/>
              </w:rPr>
              <w:t>50 × 10</w:t>
            </w:r>
            <w:r w:rsidRPr="00B9629C">
              <w:rPr>
                <w:highlight w:val="darkGray"/>
                <w:vertAlign w:val="superscript"/>
              </w:rPr>
              <w:t>9</w:t>
            </w:r>
            <w:r w:rsidRPr="00B9629C">
              <w:rPr>
                <w:highlight w:val="darkGray"/>
              </w:rPr>
              <w:t>/L).</w:t>
            </w:r>
          </w:p>
        </w:tc>
      </w:tr>
      <w:tr w:rsidR="00326933" w:rsidRPr="00B9629C" w14:paraId="0127B2D5" w14:textId="77777777" w:rsidTr="000B7E25">
        <w:tc>
          <w:tcPr>
            <w:tcW w:w="985" w:type="dxa"/>
          </w:tcPr>
          <w:p w14:paraId="77F53032" w14:textId="5E9AC246" w:rsidR="00326933" w:rsidRPr="00B9629C" w:rsidRDefault="00326933" w:rsidP="00E5138C">
            <w:pPr>
              <w:rPr>
                <w:rStyle w:val="Strong"/>
                <w:highlight w:val="darkGray"/>
              </w:rPr>
            </w:pPr>
            <w:r w:rsidRPr="00B9629C">
              <w:rPr>
                <w:rStyle w:val="Strong"/>
                <w:highlight w:val="darkGray"/>
              </w:rPr>
              <w:t>Stage 4</w:t>
            </w:r>
          </w:p>
        </w:tc>
        <w:tc>
          <w:tcPr>
            <w:tcW w:w="5696" w:type="dxa"/>
          </w:tcPr>
          <w:p w14:paraId="49D3BB88" w14:textId="77777777" w:rsidR="00326933" w:rsidRPr="00B9629C" w:rsidRDefault="00326933" w:rsidP="00326933">
            <w:pPr>
              <w:pStyle w:val="ListParagraph"/>
              <w:rPr>
                <w:highlight w:val="darkGray"/>
              </w:rPr>
            </w:pPr>
            <w:r w:rsidRPr="00B9629C">
              <w:rPr>
                <w:highlight w:val="darkGray"/>
              </w:rPr>
              <w:t>HIV wasting syndrome.</w:t>
            </w:r>
          </w:p>
          <w:p w14:paraId="5ACE36C2" w14:textId="77777777" w:rsidR="00326933" w:rsidRPr="00B9629C" w:rsidRDefault="00326933" w:rsidP="00326933">
            <w:pPr>
              <w:pStyle w:val="ListParagraph"/>
              <w:rPr>
                <w:highlight w:val="darkGray"/>
              </w:rPr>
            </w:pPr>
            <w:r w:rsidRPr="00B9629C">
              <w:rPr>
                <w:highlight w:val="darkGray"/>
              </w:rPr>
              <w:t>Extrapulmonary tuberculosis.</w:t>
            </w:r>
          </w:p>
          <w:p w14:paraId="34178EF6" w14:textId="77777777" w:rsidR="00326933" w:rsidRPr="00B9629C" w:rsidRDefault="00326933" w:rsidP="00326933">
            <w:pPr>
              <w:pStyle w:val="ListParagraph"/>
              <w:rPr>
                <w:highlight w:val="darkGray"/>
              </w:rPr>
            </w:pPr>
            <w:r w:rsidRPr="00B9629C">
              <w:rPr>
                <w:highlight w:val="darkGray"/>
              </w:rPr>
              <w:t>Pneumocystis pneumonia.</w:t>
            </w:r>
          </w:p>
          <w:p w14:paraId="06D44F15" w14:textId="77777777" w:rsidR="00326933" w:rsidRPr="00B9629C" w:rsidRDefault="00326933" w:rsidP="00326933">
            <w:pPr>
              <w:pStyle w:val="ListParagraph"/>
              <w:rPr>
                <w:highlight w:val="darkGray"/>
              </w:rPr>
            </w:pPr>
            <w:r w:rsidRPr="00B9629C">
              <w:rPr>
                <w:highlight w:val="darkGray"/>
              </w:rPr>
              <w:t>Recurrent severe bacterial pneumonia.</w:t>
            </w:r>
          </w:p>
          <w:p w14:paraId="19EA98B2" w14:textId="02075585" w:rsidR="00326933" w:rsidRPr="00B9629C" w:rsidRDefault="00326933" w:rsidP="00326933">
            <w:pPr>
              <w:pStyle w:val="ListParagraph"/>
              <w:rPr>
                <w:highlight w:val="darkGray"/>
              </w:rPr>
            </w:pPr>
            <w:r w:rsidRPr="00B9629C">
              <w:rPr>
                <w:highlight w:val="darkGray"/>
              </w:rPr>
              <w:t xml:space="preserve">Chronic herpes simplex infection (orolabial, genital or anorectal of </w:t>
            </w:r>
            <w:r w:rsidR="00724290" w:rsidRPr="00B9629C">
              <w:rPr>
                <w:highlight w:val="darkGray"/>
              </w:rPr>
              <w:t>&gt;</w:t>
            </w:r>
            <w:r w:rsidRPr="00B9629C">
              <w:rPr>
                <w:highlight w:val="darkGray"/>
              </w:rPr>
              <w:t>1 month duration or visceral at any site).</w:t>
            </w:r>
          </w:p>
          <w:p w14:paraId="57F0A3C1" w14:textId="77777777" w:rsidR="00326933" w:rsidRPr="00B9629C" w:rsidRDefault="00326933" w:rsidP="00326933">
            <w:pPr>
              <w:pStyle w:val="ListParagraph"/>
              <w:rPr>
                <w:highlight w:val="darkGray"/>
              </w:rPr>
            </w:pPr>
            <w:r w:rsidRPr="00B9629C">
              <w:rPr>
                <w:highlight w:val="darkGray"/>
              </w:rPr>
              <w:t>Oesophageal candidiasis (or candidiasis of trachea, bronchi or lungs).</w:t>
            </w:r>
          </w:p>
          <w:p w14:paraId="45C6FAB4" w14:textId="77777777" w:rsidR="00326933" w:rsidRPr="00B9629C" w:rsidRDefault="00326933" w:rsidP="00326933">
            <w:pPr>
              <w:pStyle w:val="ListParagraph"/>
              <w:rPr>
                <w:highlight w:val="darkGray"/>
              </w:rPr>
            </w:pPr>
            <w:r w:rsidRPr="00B9629C">
              <w:rPr>
                <w:highlight w:val="darkGray"/>
              </w:rPr>
              <w:t>Kaposi’s sarcoma.</w:t>
            </w:r>
          </w:p>
          <w:p w14:paraId="7D8CB230" w14:textId="77777777" w:rsidR="00326933" w:rsidRPr="00B9629C" w:rsidRDefault="00326933" w:rsidP="00326933">
            <w:pPr>
              <w:pStyle w:val="ListParagraph"/>
              <w:rPr>
                <w:highlight w:val="darkGray"/>
              </w:rPr>
            </w:pPr>
            <w:r w:rsidRPr="00B9629C">
              <w:rPr>
                <w:highlight w:val="darkGray"/>
              </w:rPr>
              <w:t>Cytomegalovirus infection (retinitis or infection of other organs).</w:t>
            </w:r>
          </w:p>
          <w:p w14:paraId="199CE3BC" w14:textId="77777777" w:rsidR="00326933" w:rsidRPr="00B9629C" w:rsidRDefault="00326933" w:rsidP="00326933">
            <w:pPr>
              <w:pStyle w:val="ListParagraph"/>
              <w:rPr>
                <w:highlight w:val="darkGray"/>
              </w:rPr>
            </w:pPr>
            <w:r w:rsidRPr="00B9629C">
              <w:rPr>
                <w:highlight w:val="darkGray"/>
              </w:rPr>
              <w:t>Central nervous system toxoplasmosis.</w:t>
            </w:r>
          </w:p>
          <w:p w14:paraId="32D9665C" w14:textId="77777777" w:rsidR="00326933" w:rsidRPr="00B9629C" w:rsidRDefault="00326933" w:rsidP="00326933">
            <w:pPr>
              <w:pStyle w:val="ListParagraph"/>
              <w:rPr>
                <w:highlight w:val="darkGray"/>
              </w:rPr>
            </w:pPr>
            <w:r w:rsidRPr="00B9629C">
              <w:rPr>
                <w:highlight w:val="darkGray"/>
              </w:rPr>
              <w:t>HIV encephalopathy.</w:t>
            </w:r>
          </w:p>
          <w:p w14:paraId="5938A0B3" w14:textId="77777777" w:rsidR="00326933" w:rsidRPr="00B9629C" w:rsidRDefault="00326933" w:rsidP="00326933">
            <w:pPr>
              <w:pStyle w:val="ListParagraph"/>
              <w:rPr>
                <w:highlight w:val="darkGray"/>
              </w:rPr>
            </w:pPr>
            <w:r w:rsidRPr="00B9629C">
              <w:rPr>
                <w:highlight w:val="darkGray"/>
              </w:rPr>
              <w:t>Extrapulmonary cryptococcosis including meningitis.</w:t>
            </w:r>
          </w:p>
          <w:p w14:paraId="6C79E597" w14:textId="77777777" w:rsidR="00326933" w:rsidRPr="00B9629C" w:rsidRDefault="00326933" w:rsidP="00326933">
            <w:pPr>
              <w:pStyle w:val="ListParagraph"/>
              <w:rPr>
                <w:highlight w:val="darkGray"/>
              </w:rPr>
            </w:pPr>
            <w:r w:rsidRPr="00B9629C">
              <w:rPr>
                <w:highlight w:val="darkGray"/>
              </w:rPr>
              <w:t>Disseminated non-tuberculous mycobacterial infection.</w:t>
            </w:r>
          </w:p>
          <w:p w14:paraId="1B69C7A5" w14:textId="77777777" w:rsidR="00326933" w:rsidRPr="00B9629C" w:rsidRDefault="00326933" w:rsidP="00326933">
            <w:pPr>
              <w:pStyle w:val="ListParagraph"/>
              <w:rPr>
                <w:highlight w:val="darkGray"/>
              </w:rPr>
            </w:pPr>
            <w:r w:rsidRPr="00B9629C">
              <w:rPr>
                <w:highlight w:val="darkGray"/>
              </w:rPr>
              <w:t>Progressive multifocal leukoencephalopathy.</w:t>
            </w:r>
          </w:p>
          <w:p w14:paraId="441CCD19" w14:textId="77777777" w:rsidR="00326933" w:rsidRPr="00B9629C" w:rsidRDefault="00326933" w:rsidP="00326933">
            <w:pPr>
              <w:pStyle w:val="ListParagraph"/>
              <w:rPr>
                <w:highlight w:val="darkGray"/>
              </w:rPr>
            </w:pPr>
            <w:r w:rsidRPr="00B9629C">
              <w:rPr>
                <w:highlight w:val="darkGray"/>
              </w:rPr>
              <w:t>Chronic cryptosporidiosis.</w:t>
            </w:r>
          </w:p>
          <w:p w14:paraId="1FF50EDA" w14:textId="77777777" w:rsidR="00326933" w:rsidRPr="00B9629C" w:rsidRDefault="00326933" w:rsidP="00326933">
            <w:pPr>
              <w:pStyle w:val="ListParagraph"/>
              <w:rPr>
                <w:highlight w:val="darkGray"/>
              </w:rPr>
            </w:pPr>
            <w:r w:rsidRPr="00B9629C">
              <w:rPr>
                <w:highlight w:val="darkGray"/>
              </w:rPr>
              <w:lastRenderedPageBreak/>
              <w:t>Chronic isosporiasis.</w:t>
            </w:r>
          </w:p>
          <w:p w14:paraId="174781B6" w14:textId="77777777" w:rsidR="00326933" w:rsidRPr="00B9629C" w:rsidRDefault="00326933" w:rsidP="00326933">
            <w:pPr>
              <w:pStyle w:val="ListParagraph"/>
              <w:rPr>
                <w:highlight w:val="darkGray"/>
              </w:rPr>
            </w:pPr>
            <w:r w:rsidRPr="00B9629C">
              <w:rPr>
                <w:highlight w:val="darkGray"/>
              </w:rPr>
              <w:t>Disseminated mycosis (extrapulmonary histoplasmosis or coccidiomycosis).</w:t>
            </w:r>
          </w:p>
          <w:p w14:paraId="2D47E5A8" w14:textId="77777777" w:rsidR="00326933" w:rsidRPr="00B9629C" w:rsidRDefault="00326933" w:rsidP="00326933">
            <w:pPr>
              <w:pStyle w:val="ListParagraph"/>
              <w:rPr>
                <w:highlight w:val="darkGray"/>
              </w:rPr>
            </w:pPr>
            <w:r w:rsidRPr="00B9629C">
              <w:rPr>
                <w:highlight w:val="darkGray"/>
              </w:rPr>
              <w:t>Recurrent septicaemia (including non-typhoidal Salmonella).</w:t>
            </w:r>
          </w:p>
          <w:p w14:paraId="3A421CE6" w14:textId="77777777" w:rsidR="00326933" w:rsidRPr="00B9629C" w:rsidRDefault="00326933" w:rsidP="00326933">
            <w:pPr>
              <w:pStyle w:val="ListParagraph"/>
              <w:rPr>
                <w:highlight w:val="darkGray"/>
              </w:rPr>
            </w:pPr>
            <w:r w:rsidRPr="00B9629C">
              <w:rPr>
                <w:highlight w:val="darkGray"/>
              </w:rPr>
              <w:t>Lymphoma (cerebral or B cell non-Hodgkin).</w:t>
            </w:r>
          </w:p>
          <w:p w14:paraId="155B663E" w14:textId="77777777" w:rsidR="00326933" w:rsidRPr="00B9629C" w:rsidRDefault="00326933" w:rsidP="00326933">
            <w:pPr>
              <w:pStyle w:val="ListParagraph"/>
              <w:rPr>
                <w:highlight w:val="darkGray"/>
              </w:rPr>
            </w:pPr>
            <w:r w:rsidRPr="00B9629C">
              <w:rPr>
                <w:highlight w:val="darkGray"/>
              </w:rPr>
              <w:t>Invasive cervical carcinoma.</w:t>
            </w:r>
          </w:p>
          <w:p w14:paraId="6E6E2553" w14:textId="77777777" w:rsidR="00326933" w:rsidRPr="00B9629C" w:rsidRDefault="00326933" w:rsidP="00326933">
            <w:pPr>
              <w:pStyle w:val="ListParagraph"/>
              <w:rPr>
                <w:highlight w:val="darkGray"/>
              </w:rPr>
            </w:pPr>
            <w:r w:rsidRPr="00B9629C">
              <w:rPr>
                <w:highlight w:val="darkGray"/>
              </w:rPr>
              <w:t>Atypical disseminated leishmaniasis.</w:t>
            </w:r>
          </w:p>
          <w:p w14:paraId="1446F4BD" w14:textId="4140D04D" w:rsidR="00326933" w:rsidRPr="00B9629C" w:rsidRDefault="00326933" w:rsidP="004116C6">
            <w:pPr>
              <w:pStyle w:val="ListParagraph"/>
              <w:rPr>
                <w:rStyle w:val="Strong"/>
                <w:highlight w:val="darkGray"/>
              </w:rPr>
            </w:pPr>
            <w:r w:rsidRPr="00B9629C">
              <w:rPr>
                <w:highlight w:val="darkGray"/>
              </w:rPr>
              <w:t>Symptomatic HIV-associated nephropathy or symptomatic HIV-associated cardiomyopathy.</w:t>
            </w:r>
          </w:p>
        </w:tc>
      </w:tr>
    </w:tbl>
    <w:p w14:paraId="182004D5" w14:textId="77777777" w:rsidR="00326933" w:rsidRPr="00B9629C" w:rsidRDefault="00326933" w:rsidP="00E5138C">
      <w:pPr>
        <w:rPr>
          <w:rStyle w:val="Strong"/>
          <w:highlight w:val="darkGray"/>
        </w:rPr>
      </w:pPr>
    </w:p>
    <w:p w14:paraId="556A3D29" w14:textId="77777777" w:rsidR="00E5138C" w:rsidRPr="00B9629C" w:rsidRDefault="00E5138C" w:rsidP="004116C6">
      <w:pPr>
        <w:pStyle w:val="Heading6"/>
        <w:rPr>
          <w:highlight w:val="darkGray"/>
        </w:rPr>
      </w:pPr>
      <w:r w:rsidRPr="00B9629C">
        <w:rPr>
          <w:highlight w:val="darkGray"/>
        </w:rPr>
        <w:t>GENERAL MEASURES</w:t>
      </w:r>
    </w:p>
    <w:p w14:paraId="67B92C4D" w14:textId="5C3D134D" w:rsidR="00E5138C" w:rsidRPr="00B9629C" w:rsidRDefault="002712A7" w:rsidP="00537FD7">
      <w:pPr>
        <w:pStyle w:val="ListParagraph"/>
        <w:rPr>
          <w:highlight w:val="darkGray"/>
        </w:rPr>
      </w:pPr>
      <w:r w:rsidRPr="00B9629C">
        <w:rPr>
          <w:highlight w:val="darkGray"/>
        </w:rPr>
        <w:t>Encourage p</w:t>
      </w:r>
      <w:r w:rsidR="00E5138C" w:rsidRPr="00B9629C">
        <w:rPr>
          <w:highlight w:val="darkGray"/>
        </w:rPr>
        <w:t>atients and their families to join support or peer groups.</w:t>
      </w:r>
    </w:p>
    <w:p w14:paraId="45E58114" w14:textId="32B49667" w:rsidR="00E5138C" w:rsidRPr="00B9629C" w:rsidRDefault="00E5138C" w:rsidP="00537FD7">
      <w:pPr>
        <w:pStyle w:val="ListParagraph"/>
        <w:rPr>
          <w:highlight w:val="darkGray"/>
        </w:rPr>
      </w:pPr>
      <w:r w:rsidRPr="00B9629C">
        <w:rPr>
          <w:highlight w:val="darkGray"/>
        </w:rPr>
        <w:t xml:space="preserve">Counsel patients on methods </w:t>
      </w:r>
      <w:r w:rsidR="002E1B6A" w:rsidRPr="00B9629C">
        <w:rPr>
          <w:highlight w:val="darkGray"/>
        </w:rPr>
        <w:t>to</w:t>
      </w:r>
      <w:r w:rsidRPr="00B9629C">
        <w:rPr>
          <w:highlight w:val="darkGray"/>
        </w:rPr>
        <w:t xml:space="preserve"> reduc</w:t>
      </w:r>
      <w:r w:rsidR="002E1B6A" w:rsidRPr="00B9629C">
        <w:rPr>
          <w:highlight w:val="darkGray"/>
        </w:rPr>
        <w:t>e</w:t>
      </w:r>
      <w:r w:rsidRPr="00B9629C">
        <w:rPr>
          <w:highlight w:val="darkGray"/>
        </w:rPr>
        <w:t xml:space="preserve"> the spread of HIV:</w:t>
      </w:r>
    </w:p>
    <w:p w14:paraId="1095C6D1" w14:textId="2FDABA7F" w:rsidR="00E5138C" w:rsidRPr="00B9629C" w:rsidRDefault="002712A7" w:rsidP="009750A0">
      <w:pPr>
        <w:pStyle w:val="ListParagraph"/>
        <w:numPr>
          <w:ilvl w:val="1"/>
          <w:numId w:val="5"/>
        </w:numPr>
        <w:rPr>
          <w:highlight w:val="darkGray"/>
        </w:rPr>
      </w:pPr>
      <w:r w:rsidRPr="00B9629C">
        <w:rPr>
          <w:highlight w:val="darkGray"/>
        </w:rPr>
        <w:t>U</w:t>
      </w:r>
      <w:r w:rsidR="00E5138C" w:rsidRPr="00B9629C">
        <w:rPr>
          <w:highlight w:val="darkGray"/>
        </w:rPr>
        <w:t>se condoms during sexual intercourse</w:t>
      </w:r>
    </w:p>
    <w:p w14:paraId="5CF8FEA4" w14:textId="5BE0E20B" w:rsidR="00E5138C" w:rsidRPr="00B9629C" w:rsidRDefault="00E5138C" w:rsidP="009750A0">
      <w:pPr>
        <w:pStyle w:val="ListParagraph"/>
        <w:numPr>
          <w:ilvl w:val="1"/>
          <w:numId w:val="5"/>
        </w:numPr>
        <w:rPr>
          <w:highlight w:val="darkGray"/>
        </w:rPr>
      </w:pPr>
      <w:r w:rsidRPr="00B9629C">
        <w:rPr>
          <w:highlight w:val="darkGray"/>
        </w:rPr>
        <w:t>ART in HIV-infected</w:t>
      </w:r>
      <w:r w:rsidR="00AE0346" w:rsidRPr="00B9629C">
        <w:rPr>
          <w:highlight w:val="darkGray"/>
        </w:rPr>
        <w:t xml:space="preserve">. See </w:t>
      </w:r>
      <w:r w:rsidR="001A2267" w:rsidRPr="00B9629C">
        <w:rPr>
          <w:highlight w:val="darkGray"/>
        </w:rPr>
        <w:t xml:space="preserve">Section </w:t>
      </w:r>
      <w:r w:rsidR="00AE0346" w:rsidRPr="00B9629C">
        <w:rPr>
          <w:highlight w:val="darkGray"/>
        </w:rPr>
        <w:t>11.1: Antiretroviral therapy</w:t>
      </w:r>
      <w:r w:rsidR="00CF69B5" w:rsidRPr="00B9629C">
        <w:rPr>
          <w:highlight w:val="darkGray"/>
        </w:rPr>
        <w:t>, adults and adolescents</w:t>
      </w:r>
    </w:p>
    <w:p w14:paraId="574DB4B1" w14:textId="405EDB5D" w:rsidR="00E5138C" w:rsidRPr="00B9629C" w:rsidRDefault="00E5138C" w:rsidP="009750A0">
      <w:pPr>
        <w:pStyle w:val="ListParagraph"/>
        <w:numPr>
          <w:ilvl w:val="1"/>
          <w:numId w:val="5"/>
        </w:numPr>
        <w:rPr>
          <w:highlight w:val="darkGray"/>
        </w:rPr>
      </w:pPr>
      <w:r w:rsidRPr="00B9629C">
        <w:rPr>
          <w:highlight w:val="darkGray"/>
        </w:rPr>
        <w:t>PrEP where indicated</w:t>
      </w:r>
      <w:r w:rsidR="00AE0346" w:rsidRPr="00B9629C">
        <w:rPr>
          <w:highlight w:val="darkGray"/>
        </w:rPr>
        <w:t xml:space="preserve">. See </w:t>
      </w:r>
      <w:r w:rsidR="001A2267" w:rsidRPr="00B9629C">
        <w:rPr>
          <w:highlight w:val="darkGray"/>
        </w:rPr>
        <w:t xml:space="preserve">Section </w:t>
      </w:r>
      <w:r w:rsidR="00AE0346" w:rsidRPr="00B9629C">
        <w:rPr>
          <w:highlight w:val="darkGray"/>
        </w:rPr>
        <w:t>11.11: Pre-exposure prophylaxis (PrEP)</w:t>
      </w:r>
    </w:p>
    <w:p w14:paraId="5B19BF58" w14:textId="0518F680" w:rsidR="00E5138C" w:rsidRPr="00B9629C" w:rsidRDefault="002712A7" w:rsidP="009750A0">
      <w:pPr>
        <w:pStyle w:val="ListParagraph"/>
        <w:numPr>
          <w:ilvl w:val="1"/>
          <w:numId w:val="5"/>
        </w:numPr>
        <w:rPr>
          <w:highlight w:val="darkGray"/>
        </w:rPr>
      </w:pPr>
      <w:r w:rsidRPr="00B9629C">
        <w:rPr>
          <w:highlight w:val="darkGray"/>
        </w:rPr>
        <w:t>S</w:t>
      </w:r>
      <w:r w:rsidR="00E5138C" w:rsidRPr="00B9629C">
        <w:rPr>
          <w:highlight w:val="darkGray"/>
        </w:rPr>
        <w:t>eek early treatment for sexually transmitted infections</w:t>
      </w:r>
      <w:r w:rsidR="00AE0346" w:rsidRPr="00B9629C">
        <w:rPr>
          <w:highlight w:val="darkGray"/>
        </w:rPr>
        <w:t xml:space="preserve">. See </w:t>
      </w:r>
      <w:r w:rsidR="00D46644" w:rsidRPr="00B9629C">
        <w:rPr>
          <w:highlight w:val="darkGray"/>
        </w:rPr>
        <w:t>C</w:t>
      </w:r>
      <w:r w:rsidR="00AE0346" w:rsidRPr="00B9629C">
        <w:rPr>
          <w:highlight w:val="darkGray"/>
        </w:rPr>
        <w:t xml:space="preserve">hapter </w:t>
      </w:r>
      <w:r w:rsidR="00081D42" w:rsidRPr="00B9629C">
        <w:rPr>
          <w:highlight w:val="darkGray"/>
        </w:rPr>
        <w:t>12</w:t>
      </w:r>
      <w:r w:rsidR="00AE0346" w:rsidRPr="00B9629C">
        <w:rPr>
          <w:highlight w:val="darkGray"/>
        </w:rPr>
        <w:t>: Sexually transmitted infections.</w:t>
      </w:r>
    </w:p>
    <w:p w14:paraId="05CE7308" w14:textId="29B53137" w:rsidR="00E5138C" w:rsidRPr="00B9629C" w:rsidRDefault="002712A7" w:rsidP="009750A0">
      <w:pPr>
        <w:pStyle w:val="ListParagraph"/>
        <w:numPr>
          <w:ilvl w:val="1"/>
          <w:numId w:val="5"/>
        </w:numPr>
        <w:rPr>
          <w:highlight w:val="darkGray"/>
        </w:rPr>
      </w:pPr>
      <w:r w:rsidRPr="00B9629C">
        <w:rPr>
          <w:highlight w:val="darkGray"/>
        </w:rPr>
        <w:t>S</w:t>
      </w:r>
      <w:r w:rsidR="00E5138C" w:rsidRPr="00B9629C">
        <w:rPr>
          <w:highlight w:val="darkGray"/>
        </w:rPr>
        <w:t>afe handling of blood spills.</w:t>
      </w:r>
    </w:p>
    <w:p w14:paraId="45822354" w14:textId="77777777" w:rsidR="00E5138C" w:rsidRPr="00B9629C" w:rsidRDefault="00E5138C" w:rsidP="00537FD7">
      <w:pPr>
        <w:pStyle w:val="NoSpacing"/>
        <w:rPr>
          <w:highlight w:val="darkGray"/>
        </w:rPr>
      </w:pPr>
    </w:p>
    <w:p w14:paraId="2C921479" w14:textId="3E0CB801" w:rsidR="00E5138C" w:rsidRPr="00B9629C" w:rsidRDefault="00B23BAE" w:rsidP="00F12F3B">
      <w:pPr>
        <w:pStyle w:val="Heading2"/>
        <w:jc w:val="both"/>
        <w:rPr>
          <w:highlight w:val="darkGray"/>
        </w:rPr>
      </w:pPr>
      <w:bookmarkStart w:id="4" w:name="_Toc57132039"/>
      <w:bookmarkStart w:id="5" w:name="_Toc177151088"/>
      <w:r w:rsidRPr="00B9629C">
        <w:rPr>
          <w:highlight w:val="darkGray"/>
        </w:rPr>
        <w:t>Antiretroviral therapy, adults</w:t>
      </w:r>
      <w:bookmarkEnd w:id="4"/>
      <w:r w:rsidR="000D0005" w:rsidRPr="00B9629C">
        <w:rPr>
          <w:highlight w:val="darkGray"/>
        </w:rPr>
        <w:t xml:space="preserve"> and adolescents</w:t>
      </w:r>
      <w:r w:rsidR="00346A70" w:rsidRPr="00B9629C">
        <w:rPr>
          <w:highlight w:val="darkGray"/>
        </w:rPr>
        <w:t xml:space="preserve"> (10-19 years old)</w:t>
      </w:r>
      <w:bookmarkEnd w:id="5"/>
      <w:r w:rsidR="006D4857" w:rsidRPr="00B9629C">
        <w:rPr>
          <w:highlight w:val="darkGray"/>
        </w:rPr>
        <w:fldChar w:fldCharType="begin"/>
      </w:r>
      <w:r w:rsidR="006D4857" w:rsidRPr="00B9629C">
        <w:rPr>
          <w:highlight w:val="darkGray"/>
        </w:rPr>
        <w:instrText xml:space="preserve"> XE "Antiretroviral therapy, adults" \f “c”</w:instrText>
      </w:r>
      <w:r w:rsidR="006D4857" w:rsidRPr="00B9629C">
        <w:rPr>
          <w:highlight w:val="darkGray"/>
        </w:rPr>
        <w:fldChar w:fldCharType="end"/>
      </w:r>
    </w:p>
    <w:p w14:paraId="7B284051" w14:textId="751A6F05"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B24</w:t>
      </w:r>
    </w:p>
    <w:p w14:paraId="3EFF421A" w14:textId="4FCD24F7" w:rsidR="00DA583D" w:rsidRPr="00B9629C" w:rsidRDefault="00DA583D" w:rsidP="000377A2">
      <w:pPr>
        <w:rPr>
          <w:b/>
          <w:bCs/>
          <w:highlight w:val="darkGray"/>
        </w:rPr>
      </w:pPr>
      <w:r w:rsidRPr="00B9629C">
        <w:rPr>
          <w:b/>
          <w:bCs/>
          <w:highlight w:val="darkGray"/>
        </w:rPr>
        <w:t>DESCRIPTION</w:t>
      </w:r>
    </w:p>
    <w:p w14:paraId="58A9255B" w14:textId="44F109F0" w:rsidR="00E5138C" w:rsidRPr="00B9629C" w:rsidRDefault="00E5138C" w:rsidP="00223C33">
      <w:pPr>
        <w:jc w:val="both"/>
        <w:rPr>
          <w:rStyle w:val="Strong"/>
          <w:b w:val="0"/>
          <w:bCs w:val="0"/>
          <w:highlight w:val="darkGray"/>
        </w:rPr>
      </w:pPr>
      <w:r w:rsidRPr="00B9629C">
        <w:rPr>
          <w:rStyle w:val="Strong"/>
          <w:b w:val="0"/>
          <w:bCs w:val="0"/>
          <w:highlight w:val="darkGray"/>
        </w:rPr>
        <w:t>Antiretroviral therapy (ART) suppresses viral replication (measured with the viral load test), increases the CD4 count and reduces HIV-associated diseases and death. ART guidelines are regularly updated, so it is important to consult the current National Guidelines.</w:t>
      </w:r>
    </w:p>
    <w:p w14:paraId="7A07C5B7" w14:textId="77777777" w:rsidR="00E5138C" w:rsidRPr="00B9629C" w:rsidRDefault="00E5138C" w:rsidP="00B917CD">
      <w:pPr>
        <w:pStyle w:val="Heading5"/>
        <w:rPr>
          <w:highlight w:val="darkGray"/>
        </w:rPr>
      </w:pPr>
      <w:r w:rsidRPr="00B9629C">
        <w:rPr>
          <w:highlight w:val="darkGray"/>
        </w:rPr>
        <w:t>ELIGIBILITY FOR ART</w:t>
      </w:r>
    </w:p>
    <w:p w14:paraId="1738F97D" w14:textId="77777777" w:rsidR="00E5138C" w:rsidRPr="00B9629C" w:rsidRDefault="00E5138C" w:rsidP="00E5138C">
      <w:pPr>
        <w:pStyle w:val="NoSpacing"/>
        <w:rPr>
          <w:highlight w:val="darkGray"/>
        </w:rPr>
      </w:pPr>
      <w:r w:rsidRPr="00B9629C">
        <w:rPr>
          <w:highlight w:val="darkGray"/>
        </w:rPr>
        <w:t>All adults with confirmed HIV infection, irrespective of CD4 count or WHO clinical stage.</w:t>
      </w:r>
    </w:p>
    <w:tbl>
      <w:tblPr>
        <w:tblpPr w:leftFromText="180" w:rightFromText="180" w:vertAnchor="text" w:horzAnchor="margin" w:tblpXSpec="right" w:tblpY="103"/>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20"/>
      </w:tblGrid>
      <w:tr w:rsidR="0033377B" w:rsidRPr="00B9629C" w14:paraId="436B6A5A" w14:textId="77777777" w:rsidTr="008A660A">
        <w:tc>
          <w:tcPr>
            <w:tcW w:w="1020" w:type="dxa"/>
            <w:shd w:val="clear" w:color="auto" w:fill="auto"/>
          </w:tcPr>
          <w:p w14:paraId="22341737" w14:textId="759E5A24" w:rsidR="0033377B" w:rsidRPr="00B9629C" w:rsidRDefault="0033377B" w:rsidP="008A660A">
            <w:pPr>
              <w:pStyle w:val="LoEText"/>
              <w:framePr w:hSpace="0" w:wrap="auto" w:vAnchor="margin" w:hAnchor="text" w:xAlign="left" w:yAlign="inline"/>
              <w:suppressOverlap w:val="0"/>
              <w:rPr>
                <w:sz w:val="14"/>
                <w:szCs w:val="14"/>
                <w:highlight w:val="darkGray"/>
              </w:rPr>
            </w:pPr>
            <w:r w:rsidRPr="00B9629C">
              <w:rPr>
                <w:sz w:val="14"/>
                <w:szCs w:val="14"/>
                <w:highlight w:val="darkGray"/>
              </w:rPr>
              <w:t>LoE: I</w:t>
            </w:r>
            <w:r w:rsidR="009330C0" w:rsidRPr="00B9629C">
              <w:rPr>
                <w:sz w:val="14"/>
                <w:szCs w:val="14"/>
                <w:highlight w:val="darkGray"/>
              </w:rPr>
              <w:t>a</w:t>
            </w:r>
            <w:r w:rsidRPr="00B9629C">
              <w:rPr>
                <w:rStyle w:val="EndnoteReference"/>
                <w:sz w:val="14"/>
                <w:szCs w:val="14"/>
                <w:highlight w:val="darkGray"/>
              </w:rPr>
              <w:endnoteReference w:id="3"/>
            </w:r>
          </w:p>
        </w:tc>
      </w:tr>
    </w:tbl>
    <w:p w14:paraId="096FC6DA" w14:textId="77777777" w:rsidR="00E5138C" w:rsidRPr="00B9629C" w:rsidRDefault="00E5138C" w:rsidP="00B917CD">
      <w:pPr>
        <w:pStyle w:val="Heading6"/>
        <w:rPr>
          <w:highlight w:val="darkGray"/>
        </w:rPr>
      </w:pPr>
      <w:r w:rsidRPr="00B9629C">
        <w:rPr>
          <w:highlight w:val="darkGray"/>
        </w:rPr>
        <w:t>Timing of ART initiation:</w:t>
      </w:r>
    </w:p>
    <w:p w14:paraId="202C5C69" w14:textId="3FA121A6" w:rsidR="00E5138C" w:rsidRPr="00B9629C" w:rsidRDefault="00E5138C" w:rsidP="002E14F1">
      <w:pPr>
        <w:pStyle w:val="NoSpacing"/>
        <w:rPr>
          <w:highlight w:val="darkGray"/>
        </w:rPr>
      </w:pPr>
      <w:r w:rsidRPr="00B9629C">
        <w:rPr>
          <w:highlight w:val="darkGray"/>
        </w:rPr>
        <w:t>ART may be started on the day</w:t>
      </w:r>
      <w:r w:rsidR="005F6701" w:rsidRPr="00B9629C">
        <w:rPr>
          <w:highlight w:val="darkGray"/>
        </w:rPr>
        <w:t xml:space="preserve"> of diagnosis</w:t>
      </w:r>
      <w:r w:rsidRPr="00B9629C">
        <w:rPr>
          <w:highlight w:val="darkGray"/>
        </w:rPr>
        <w:t xml:space="preserve"> if the patient has no clinical contraindication, and the patient is willing to start after receiving pre</w:t>
      </w:r>
      <w:r w:rsidR="00531A21" w:rsidRPr="00B9629C">
        <w:rPr>
          <w:highlight w:val="darkGray"/>
        </w:rPr>
        <w:t>-</w:t>
      </w:r>
      <w:r w:rsidRPr="00B9629C">
        <w:rPr>
          <w:highlight w:val="darkGray"/>
        </w:rPr>
        <w:t>ART counselling. For clinical indications for deferring ART initiation, see below.</w:t>
      </w:r>
    </w:p>
    <w:p w14:paraId="534E98F6" w14:textId="77777777" w:rsidR="00E5138C" w:rsidRPr="00B9629C" w:rsidRDefault="00E5138C" w:rsidP="00B917CD">
      <w:pPr>
        <w:pStyle w:val="Heading6"/>
        <w:rPr>
          <w:highlight w:val="darkGray"/>
        </w:rPr>
      </w:pPr>
      <w:r w:rsidRPr="00B9629C">
        <w:rPr>
          <w:highlight w:val="darkGray"/>
        </w:rPr>
        <w:t>Immediate initiation:</w:t>
      </w:r>
    </w:p>
    <w:tbl>
      <w:tblPr>
        <w:tblpPr w:leftFromText="180" w:rightFromText="180" w:vertAnchor="text" w:horzAnchor="margin" w:tblpXSpec="right" w:tblpY="125"/>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2E14F1" w:rsidRPr="00B9629C" w14:paraId="5DCA2FF3" w14:textId="77777777" w:rsidTr="002E14F1">
        <w:tc>
          <w:tcPr>
            <w:tcW w:w="907" w:type="dxa"/>
            <w:shd w:val="clear" w:color="auto" w:fill="auto"/>
          </w:tcPr>
          <w:p w14:paraId="216FEC55" w14:textId="59A18267" w:rsidR="002E14F1" w:rsidRPr="00B9629C" w:rsidRDefault="002E14F1" w:rsidP="002E14F1">
            <w:pPr>
              <w:pStyle w:val="LoEText"/>
              <w:framePr w:hSpace="0" w:wrap="auto" w:vAnchor="margin" w:hAnchor="text" w:xAlign="left" w:yAlign="inline"/>
              <w:suppressOverlap w:val="0"/>
              <w:rPr>
                <w:sz w:val="14"/>
                <w:szCs w:val="14"/>
                <w:highlight w:val="darkGray"/>
              </w:rPr>
            </w:pPr>
            <w:r w:rsidRPr="00B9629C">
              <w:rPr>
                <w:sz w:val="14"/>
                <w:szCs w:val="14"/>
                <w:highlight w:val="darkGray"/>
              </w:rPr>
              <w:t>LoE:II</w:t>
            </w:r>
            <w:r w:rsidR="009E2F96" w:rsidRPr="00B9629C">
              <w:rPr>
                <w:sz w:val="14"/>
                <w:szCs w:val="14"/>
                <w:highlight w:val="darkGray"/>
              </w:rPr>
              <w:t>a</w:t>
            </w:r>
            <w:r w:rsidRPr="00B9629C">
              <w:rPr>
                <w:rStyle w:val="EndnoteReference"/>
                <w:sz w:val="14"/>
                <w:szCs w:val="14"/>
                <w:highlight w:val="darkGray"/>
              </w:rPr>
              <w:endnoteReference w:id="4"/>
            </w:r>
          </w:p>
        </w:tc>
      </w:tr>
    </w:tbl>
    <w:p w14:paraId="094EE58B" w14:textId="55476510" w:rsidR="00E5138C" w:rsidRPr="00B9629C" w:rsidRDefault="00B314D3" w:rsidP="002E14F1">
      <w:pPr>
        <w:pStyle w:val="NoSpacing"/>
        <w:rPr>
          <w:highlight w:val="darkGray"/>
        </w:rPr>
      </w:pPr>
      <w:r w:rsidRPr="00B9629C">
        <w:rPr>
          <w:highlight w:val="darkGray"/>
        </w:rPr>
        <w:t>Initiate ART</w:t>
      </w:r>
      <w:r w:rsidR="00E5138C" w:rsidRPr="00B9629C">
        <w:rPr>
          <w:highlight w:val="darkGray"/>
        </w:rPr>
        <w:t xml:space="preserve"> immediately in pregnancy and during breastfeeding</w:t>
      </w:r>
      <w:r w:rsidR="00CD1425" w:rsidRPr="00B9629C">
        <w:rPr>
          <w:highlight w:val="darkGray"/>
        </w:rPr>
        <w:t xml:space="preserve"> if the patient has no </w:t>
      </w:r>
      <w:r w:rsidR="004F202A" w:rsidRPr="00B9629C">
        <w:rPr>
          <w:highlight w:val="darkGray"/>
        </w:rPr>
        <w:t>clinical</w:t>
      </w:r>
      <w:r w:rsidR="00CD1425" w:rsidRPr="00B9629C">
        <w:rPr>
          <w:highlight w:val="darkGray"/>
        </w:rPr>
        <w:t xml:space="preserve"> contraindication</w:t>
      </w:r>
      <w:r w:rsidR="00E5138C" w:rsidRPr="00B9629C">
        <w:rPr>
          <w:highlight w:val="darkGray"/>
        </w:rPr>
        <w:t>.</w:t>
      </w:r>
    </w:p>
    <w:p w14:paraId="05680887" w14:textId="77777777" w:rsidR="00E5138C" w:rsidRPr="00B9629C" w:rsidRDefault="00E5138C" w:rsidP="00B917CD">
      <w:pPr>
        <w:pStyle w:val="Heading6"/>
        <w:rPr>
          <w:highlight w:val="darkGray"/>
        </w:rPr>
      </w:pPr>
      <w:r w:rsidRPr="00B9629C">
        <w:rPr>
          <w:highlight w:val="darkGray"/>
        </w:rPr>
        <w:lastRenderedPageBreak/>
        <w:t>Clinical indications for deferring ART initiation:</w:t>
      </w:r>
    </w:p>
    <w:p w14:paraId="031BD938" w14:textId="478DC56D" w:rsidR="00E5138C" w:rsidRPr="00B9629C" w:rsidRDefault="00E5138C" w:rsidP="00223C33">
      <w:pPr>
        <w:pStyle w:val="NoSpacing"/>
        <w:jc w:val="both"/>
        <w:rPr>
          <w:highlight w:val="darkGray"/>
        </w:rPr>
      </w:pPr>
      <w:r w:rsidRPr="00B9629C">
        <w:rPr>
          <w:highlight w:val="darkGray"/>
        </w:rPr>
        <w:t xml:space="preserve">Early ART initiation increases the risk of the immune reconstitution inflammatory syndrome (IRIS) (see Section 11.13.1: Immune Reconstitution Inflammatory Syndrome (IRIS)). Defer ART in patients with cryptococcal meningitis (see </w:t>
      </w:r>
      <w:r w:rsidR="00A03ECC" w:rsidRPr="00B9629C">
        <w:rPr>
          <w:highlight w:val="darkGray"/>
        </w:rPr>
        <w:t xml:space="preserve">Adult Hospital EML </w:t>
      </w:r>
      <w:r w:rsidRPr="00B9629C">
        <w:rPr>
          <w:highlight w:val="darkGray"/>
        </w:rPr>
        <w:t>Section 1</w:t>
      </w:r>
      <w:r w:rsidR="00A03ECC" w:rsidRPr="00B9629C">
        <w:rPr>
          <w:highlight w:val="darkGray"/>
        </w:rPr>
        <w:t>0.2.4.</w:t>
      </w:r>
      <w:r w:rsidR="0056191E" w:rsidRPr="00B9629C">
        <w:rPr>
          <w:highlight w:val="darkGray"/>
        </w:rPr>
        <w:t>2</w:t>
      </w:r>
      <w:r w:rsidR="00E65315" w:rsidRPr="00B9629C">
        <w:rPr>
          <w:highlight w:val="darkGray"/>
        </w:rPr>
        <w:t xml:space="preserve">: </w:t>
      </w:r>
      <w:r w:rsidRPr="00B9629C">
        <w:rPr>
          <w:highlight w:val="darkGray"/>
        </w:rPr>
        <w:t xml:space="preserve">Cryptococcal meningitis) or TB meningitis (see Section 10.17: Tuberculosis, extrapulmonary) as there is increased risk of mortality due to IRIS with early </w:t>
      </w:r>
      <w:r w:rsidR="00685A64" w:rsidRPr="00B9629C">
        <w:rPr>
          <w:highlight w:val="darkGray"/>
        </w:rPr>
        <w:t xml:space="preserve">ART </w:t>
      </w:r>
      <w:r w:rsidRPr="00B9629C">
        <w:rPr>
          <w:highlight w:val="darkGray"/>
        </w:rPr>
        <w:t>initiation (see below for timing).</w:t>
      </w:r>
    </w:p>
    <w:p w14:paraId="27AAB281" w14:textId="77777777" w:rsidR="00E5138C" w:rsidRPr="00B9629C" w:rsidRDefault="00E5138C" w:rsidP="00B917CD">
      <w:pPr>
        <w:pStyle w:val="Heading6"/>
        <w:rPr>
          <w:highlight w:val="darkGray"/>
        </w:rPr>
      </w:pPr>
      <w:r w:rsidRPr="00B9629C">
        <w:rPr>
          <w:highlight w:val="darkGray"/>
        </w:rPr>
        <w:t>TB co-infection:</w:t>
      </w:r>
    </w:p>
    <w:p w14:paraId="2FE67F12" w14:textId="47A5AB09" w:rsidR="00E5138C" w:rsidRPr="00B9629C" w:rsidRDefault="00E41DE0" w:rsidP="00223C33">
      <w:pPr>
        <w:pStyle w:val="ListParagraph"/>
        <w:rPr>
          <w:highlight w:val="darkGray"/>
        </w:rPr>
      </w:pPr>
      <w:r w:rsidRPr="00B9629C">
        <w:rPr>
          <w:highlight w:val="darkGray"/>
        </w:rPr>
        <w:t>In TB co-infection, start with TB treatment first, followed by ART initiation according to CD4 count (except TB meningitis – see below):</w:t>
      </w:r>
    </w:p>
    <w:p w14:paraId="464EB908" w14:textId="022F76CB" w:rsidR="00E5138C" w:rsidRPr="00B9629C" w:rsidRDefault="00E5138C" w:rsidP="009750A0">
      <w:pPr>
        <w:pStyle w:val="ListParagraph"/>
        <w:numPr>
          <w:ilvl w:val="1"/>
          <w:numId w:val="5"/>
        </w:numPr>
        <w:rPr>
          <w:highlight w:val="darkGray"/>
        </w:rPr>
      </w:pPr>
      <w:r w:rsidRPr="00B9629C">
        <w:rPr>
          <w:highlight w:val="darkGray"/>
        </w:rPr>
        <w:t xml:space="preserve">CD4 counts </w:t>
      </w:r>
      <w:r w:rsidR="00724290" w:rsidRPr="00B9629C">
        <w:rPr>
          <w:highlight w:val="darkGray"/>
        </w:rPr>
        <w:t>&lt;</w:t>
      </w:r>
      <w:r w:rsidRPr="00B9629C">
        <w:rPr>
          <w:highlight w:val="darkGray"/>
        </w:rPr>
        <w:t>50 cells/mm</w:t>
      </w:r>
      <w:r w:rsidRPr="00B9629C">
        <w:rPr>
          <w:highlight w:val="darkGray"/>
          <w:vertAlign w:val="superscript"/>
        </w:rPr>
        <w:t>3</w:t>
      </w:r>
      <w:r w:rsidR="00E41DE0" w:rsidRPr="00B9629C">
        <w:rPr>
          <w:highlight w:val="darkGray"/>
        </w:rPr>
        <w:t>:</w:t>
      </w:r>
      <w:r w:rsidRPr="00B9629C">
        <w:rPr>
          <w:highlight w:val="darkGray"/>
        </w:rPr>
        <w:t xml:space="preserve">  start ART within 2 weeks </w:t>
      </w:r>
      <w:r w:rsidR="00E41DE0" w:rsidRPr="00B9629C">
        <w:rPr>
          <w:highlight w:val="darkGray"/>
        </w:rPr>
        <w:t xml:space="preserve">of </w:t>
      </w:r>
      <w:r w:rsidRPr="00B9629C">
        <w:rPr>
          <w:highlight w:val="darkGray"/>
        </w:rPr>
        <w:t>starting TB treatment.</w:t>
      </w:r>
    </w:p>
    <w:p w14:paraId="4972CA02" w14:textId="51491021" w:rsidR="009839C1" w:rsidRPr="00B9629C" w:rsidRDefault="009839C1" w:rsidP="009750A0">
      <w:pPr>
        <w:pStyle w:val="ListParagraph"/>
        <w:numPr>
          <w:ilvl w:val="1"/>
          <w:numId w:val="5"/>
        </w:numPr>
        <w:rPr>
          <w:highlight w:val="darkGray"/>
        </w:rPr>
      </w:pPr>
      <w:r w:rsidRPr="00B9629C">
        <w:rPr>
          <w:highlight w:val="darkGray"/>
        </w:rPr>
        <w:t xml:space="preserve">CD4 count </w:t>
      </w:r>
      <w:r w:rsidRPr="00B9629C">
        <w:rPr>
          <w:rFonts w:cs="Arial"/>
          <w:highlight w:val="darkGray"/>
        </w:rPr>
        <w:t>≥</w:t>
      </w:r>
      <w:r w:rsidRPr="00B9629C">
        <w:rPr>
          <w:highlight w:val="darkGray"/>
        </w:rPr>
        <w:t xml:space="preserve"> 50 cells/mm</w:t>
      </w:r>
      <w:r w:rsidRPr="00B9629C">
        <w:rPr>
          <w:highlight w:val="darkGray"/>
          <w:vertAlign w:val="superscript"/>
        </w:rPr>
        <w:t>3</w:t>
      </w:r>
      <w:r w:rsidR="00E41DE0" w:rsidRPr="00B9629C">
        <w:rPr>
          <w:highlight w:val="darkGray"/>
        </w:rPr>
        <w:t>:</w:t>
      </w:r>
      <w:r w:rsidRPr="00B9629C">
        <w:rPr>
          <w:highlight w:val="darkGray"/>
        </w:rPr>
        <w:t xml:space="preserve"> defer ART until 8 weeks after starting TB treatment, which </w:t>
      </w:r>
      <w:r w:rsidR="000C1F5B" w:rsidRPr="00B9629C">
        <w:rPr>
          <w:highlight w:val="darkGray"/>
        </w:rPr>
        <w:t>does not</w:t>
      </w:r>
      <w:r w:rsidR="005B4F76" w:rsidRPr="00B9629C">
        <w:rPr>
          <w:highlight w:val="darkGray"/>
        </w:rPr>
        <w:t xml:space="preserve"> increase the risk of mortality</w:t>
      </w:r>
      <w:r w:rsidRPr="00B9629C">
        <w:rPr>
          <w:highlight w:val="darkGray"/>
        </w:rPr>
        <w:t xml:space="preserve"> and reduces the risk of deterioration due to the immune reconstitution inflammatory syndrome (IRIS).</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tblGrid>
      <w:tr w:rsidR="00D70D3B" w:rsidRPr="00B9629C" w14:paraId="64581675" w14:textId="77777777" w:rsidTr="0010117D">
        <w:tc>
          <w:tcPr>
            <w:tcW w:w="1134" w:type="dxa"/>
            <w:shd w:val="clear" w:color="auto" w:fill="auto"/>
          </w:tcPr>
          <w:p w14:paraId="11F7A3EB" w14:textId="63DD4CCB" w:rsidR="00D70D3B" w:rsidRPr="00B9629C" w:rsidRDefault="00D70D3B" w:rsidP="00D70D3B">
            <w:pPr>
              <w:spacing w:before="0" w:after="0"/>
              <w:jc w:val="right"/>
              <w:rPr>
                <w:rFonts w:eastAsiaTheme="majorEastAsia" w:cs="Arial"/>
                <w:bCs/>
                <w:i/>
                <w:sz w:val="14"/>
                <w:szCs w:val="16"/>
                <w:highlight w:val="darkGray"/>
              </w:rPr>
            </w:pPr>
            <w:r w:rsidRPr="00B9629C">
              <w:rPr>
                <w:rFonts w:eastAsiaTheme="majorEastAsia" w:cs="Arial"/>
                <w:bCs/>
                <w:i/>
                <w:sz w:val="14"/>
                <w:szCs w:val="16"/>
                <w:highlight w:val="darkGray"/>
              </w:rPr>
              <w:t>LoE:I</w:t>
            </w:r>
            <w:r w:rsidR="00241A60" w:rsidRPr="00B9629C">
              <w:rPr>
                <w:rFonts w:eastAsiaTheme="majorEastAsia" w:cs="Arial"/>
                <w:bCs/>
                <w:i/>
                <w:sz w:val="14"/>
                <w:szCs w:val="16"/>
                <w:highlight w:val="darkGray"/>
              </w:rPr>
              <w:t>a</w:t>
            </w:r>
            <w:r w:rsidRPr="00B9629C">
              <w:rPr>
                <w:rStyle w:val="EndnoteReference"/>
                <w:rFonts w:cs="Arial"/>
                <w:bCs/>
                <w:i/>
                <w:sz w:val="14"/>
                <w:szCs w:val="16"/>
                <w:highlight w:val="darkGray"/>
              </w:rPr>
              <w:endnoteReference w:id="5"/>
            </w:r>
          </w:p>
        </w:tc>
      </w:tr>
    </w:tbl>
    <w:p w14:paraId="7B7E6E8F" w14:textId="4AD793E5" w:rsidR="00D70D3B" w:rsidRPr="00B9629C" w:rsidRDefault="00241A60" w:rsidP="00661CB6">
      <w:pPr>
        <w:pStyle w:val="Heading6"/>
        <w:rPr>
          <w:highlight w:val="darkGray"/>
        </w:rPr>
      </w:pPr>
      <w:r w:rsidRPr="00B9629C">
        <w:rPr>
          <w:highlight w:val="darkGray"/>
        </w:rPr>
        <w:t>TB meningitis co-infection:</w:t>
      </w:r>
    </w:p>
    <w:p w14:paraId="7E1E13D9" w14:textId="77777777" w:rsidR="00E5138C" w:rsidRPr="00B9629C" w:rsidRDefault="00E5138C" w:rsidP="00224039">
      <w:pPr>
        <w:pStyle w:val="ListParagraph"/>
        <w:rPr>
          <w:highlight w:val="darkGray"/>
        </w:rPr>
      </w:pPr>
      <w:r w:rsidRPr="00B9629C">
        <w:rPr>
          <w:highlight w:val="darkGray"/>
        </w:rPr>
        <w:t>In patients with TB meningitis (irrespective of CD4 count), defer ART until 8 weeks after starting TB treatment.</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tblGrid>
      <w:tr w:rsidR="00B71380" w:rsidRPr="00B9629C" w14:paraId="4D6F7A24" w14:textId="77777777" w:rsidTr="0010117D">
        <w:tc>
          <w:tcPr>
            <w:tcW w:w="1134" w:type="dxa"/>
            <w:shd w:val="clear" w:color="auto" w:fill="auto"/>
          </w:tcPr>
          <w:p w14:paraId="458D0116" w14:textId="1B1B6AC9" w:rsidR="00B71380" w:rsidRPr="00B9629C" w:rsidRDefault="00B71380" w:rsidP="00B71380">
            <w:pPr>
              <w:spacing w:before="0" w:after="0"/>
              <w:jc w:val="right"/>
              <w:rPr>
                <w:rFonts w:eastAsiaTheme="majorEastAsia" w:cs="Arial"/>
                <w:bCs/>
                <w:i/>
                <w:sz w:val="14"/>
                <w:szCs w:val="16"/>
                <w:highlight w:val="darkGray"/>
              </w:rPr>
            </w:pPr>
            <w:r w:rsidRPr="00B9629C">
              <w:rPr>
                <w:rFonts w:eastAsiaTheme="majorEastAsia" w:cs="Arial"/>
                <w:bCs/>
                <w:i/>
                <w:sz w:val="14"/>
                <w:szCs w:val="16"/>
                <w:highlight w:val="darkGray"/>
              </w:rPr>
              <w:t>LoE:</w:t>
            </w:r>
            <w:r w:rsidR="00705A79" w:rsidRPr="00B9629C">
              <w:rPr>
                <w:rFonts w:eastAsiaTheme="majorEastAsia" w:cs="Arial"/>
                <w:bCs/>
                <w:i/>
                <w:sz w:val="14"/>
                <w:szCs w:val="16"/>
                <w:highlight w:val="darkGray"/>
              </w:rPr>
              <w:t>I</w:t>
            </w:r>
            <w:r w:rsidR="00241A60" w:rsidRPr="00B9629C">
              <w:rPr>
                <w:rFonts w:eastAsiaTheme="majorEastAsia" w:cs="Arial"/>
                <w:bCs/>
                <w:i/>
                <w:sz w:val="14"/>
                <w:szCs w:val="16"/>
                <w:highlight w:val="darkGray"/>
              </w:rPr>
              <w:t>I</w:t>
            </w:r>
            <w:r w:rsidRPr="00B9629C">
              <w:rPr>
                <w:rFonts w:eastAsiaTheme="majorEastAsia" w:cs="Arial"/>
                <w:bCs/>
                <w:i/>
                <w:sz w:val="14"/>
                <w:szCs w:val="16"/>
                <w:highlight w:val="darkGray"/>
              </w:rPr>
              <w:t>I</w:t>
            </w:r>
            <w:r w:rsidR="00241A60" w:rsidRPr="00B9629C">
              <w:rPr>
                <w:rFonts w:eastAsiaTheme="majorEastAsia" w:cs="Arial"/>
                <w:bCs/>
                <w:i/>
                <w:sz w:val="14"/>
                <w:szCs w:val="16"/>
                <w:highlight w:val="darkGray"/>
              </w:rPr>
              <w:t>a</w:t>
            </w:r>
            <w:r w:rsidRPr="00B9629C">
              <w:rPr>
                <w:rStyle w:val="EndnoteReference"/>
                <w:rFonts w:cs="Arial"/>
                <w:bCs/>
                <w:i/>
                <w:sz w:val="14"/>
                <w:szCs w:val="16"/>
                <w:highlight w:val="darkGray"/>
              </w:rPr>
              <w:endnoteReference w:id="6"/>
            </w:r>
          </w:p>
        </w:tc>
      </w:tr>
    </w:tbl>
    <w:p w14:paraId="5DF22E6F" w14:textId="77777777" w:rsidR="00705A79" w:rsidRPr="00B9629C" w:rsidRDefault="00705A79" w:rsidP="00B71380">
      <w:pPr>
        <w:pStyle w:val="Heading6"/>
        <w:spacing w:before="0"/>
        <w:rPr>
          <w:highlight w:val="darkGray"/>
        </w:rPr>
      </w:pPr>
    </w:p>
    <w:p w14:paraId="04C329EB" w14:textId="7DEF3C88" w:rsidR="00E5138C" w:rsidRPr="00B9629C" w:rsidRDefault="00E5138C" w:rsidP="00B71380">
      <w:pPr>
        <w:pStyle w:val="Heading6"/>
        <w:spacing w:before="0"/>
        <w:rPr>
          <w:highlight w:val="darkGray"/>
        </w:rPr>
      </w:pPr>
      <w:r w:rsidRPr="00B9629C">
        <w:rPr>
          <w:highlight w:val="darkGray"/>
        </w:rPr>
        <w:t>Cryptococcal meningitis</w:t>
      </w:r>
      <w:r w:rsidR="005C4D5F" w:rsidRPr="00B9629C">
        <w:rPr>
          <w:highlight w:val="darkGray"/>
        </w:rPr>
        <w:t xml:space="preserve"> co-infection</w:t>
      </w:r>
      <w:r w:rsidRPr="00B9629C">
        <w:rPr>
          <w:highlight w:val="darkGray"/>
        </w:rPr>
        <w:t>:</w:t>
      </w:r>
    </w:p>
    <w:p w14:paraId="10F62C47" w14:textId="00A753C5" w:rsidR="0033377B" w:rsidRPr="00B9629C" w:rsidRDefault="00926331" w:rsidP="00223C33">
      <w:pPr>
        <w:pStyle w:val="ListParagraph"/>
        <w:rPr>
          <w:highlight w:val="darkGray"/>
        </w:rPr>
      </w:pPr>
      <w:r w:rsidRPr="00B9629C">
        <w:rPr>
          <w:highlight w:val="darkGray"/>
        </w:rPr>
        <w:t xml:space="preserve">Defer </w:t>
      </w:r>
      <w:r w:rsidR="00E5138C" w:rsidRPr="00B9629C">
        <w:rPr>
          <w:highlight w:val="darkGray"/>
        </w:rPr>
        <w:t xml:space="preserve">ART until 4–6 weeks </w:t>
      </w:r>
      <w:r w:rsidR="004A283C" w:rsidRPr="00B9629C">
        <w:rPr>
          <w:highlight w:val="darkGray"/>
        </w:rPr>
        <w:t xml:space="preserve">after starting </w:t>
      </w:r>
      <w:r w:rsidR="00E5138C" w:rsidRPr="00B9629C">
        <w:rPr>
          <w:highlight w:val="darkGray"/>
        </w:rPr>
        <w:t xml:space="preserve">antifungal </w:t>
      </w:r>
      <w:r w:rsidR="00455C4E" w:rsidRPr="00B9629C">
        <w:rPr>
          <w:highlight w:val="darkGray"/>
        </w:rPr>
        <w:t>therapy</w:t>
      </w:r>
      <w:r w:rsidR="00C6478B" w:rsidRPr="00B9629C">
        <w:rPr>
          <w:highlight w:val="darkGray"/>
        </w:rPr>
        <w:t xml:space="preserve"> (earlier initiation has been shown to increase the risk of death)</w:t>
      </w:r>
      <w:r w:rsidR="00455C4E" w:rsidRPr="00B9629C">
        <w:rPr>
          <w:highlight w:val="darkGray"/>
        </w:rPr>
        <w:t>.</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tblGrid>
      <w:tr w:rsidR="0033377B" w:rsidRPr="00B9629C" w14:paraId="501A6EE4" w14:textId="77777777" w:rsidTr="008A660A">
        <w:tc>
          <w:tcPr>
            <w:tcW w:w="1134" w:type="dxa"/>
            <w:shd w:val="clear" w:color="auto" w:fill="auto"/>
          </w:tcPr>
          <w:p w14:paraId="4F0D664D" w14:textId="4A1F194E" w:rsidR="0033377B" w:rsidRPr="00B9629C" w:rsidRDefault="0033377B" w:rsidP="008A660A">
            <w:pPr>
              <w:spacing w:before="0" w:after="0"/>
              <w:jc w:val="right"/>
              <w:rPr>
                <w:rFonts w:eastAsiaTheme="majorEastAsia" w:cs="Arial"/>
                <w:bCs/>
                <w:i/>
                <w:sz w:val="14"/>
                <w:szCs w:val="16"/>
                <w:highlight w:val="darkGray"/>
              </w:rPr>
            </w:pPr>
            <w:r w:rsidRPr="00B9629C">
              <w:rPr>
                <w:rFonts w:eastAsiaTheme="majorEastAsia" w:cs="Arial"/>
                <w:bCs/>
                <w:i/>
                <w:sz w:val="14"/>
                <w:szCs w:val="16"/>
                <w:highlight w:val="darkGray"/>
              </w:rPr>
              <w:t>LoE:</w:t>
            </w:r>
            <w:r w:rsidR="00241A60" w:rsidRPr="00B9629C">
              <w:rPr>
                <w:rFonts w:eastAsiaTheme="majorEastAsia" w:cs="Arial"/>
                <w:bCs/>
                <w:i/>
                <w:sz w:val="14"/>
                <w:szCs w:val="16"/>
                <w:highlight w:val="darkGray"/>
              </w:rPr>
              <w:t>II</w:t>
            </w:r>
            <w:r w:rsidRPr="00B9629C">
              <w:rPr>
                <w:rFonts w:eastAsiaTheme="majorEastAsia" w:cs="Arial"/>
                <w:bCs/>
                <w:i/>
                <w:sz w:val="14"/>
                <w:szCs w:val="16"/>
                <w:highlight w:val="darkGray"/>
              </w:rPr>
              <w:t>I</w:t>
            </w:r>
            <w:r w:rsidR="00241A60" w:rsidRPr="00B9629C">
              <w:rPr>
                <w:rFonts w:eastAsiaTheme="majorEastAsia" w:cs="Arial"/>
                <w:bCs/>
                <w:i/>
                <w:sz w:val="14"/>
                <w:szCs w:val="16"/>
                <w:highlight w:val="darkGray"/>
              </w:rPr>
              <w:t>a</w:t>
            </w:r>
            <w:r w:rsidRPr="00B9629C">
              <w:rPr>
                <w:rFonts w:eastAsiaTheme="majorEastAsia" w:cs="Arial"/>
                <w:bCs/>
                <w:i/>
                <w:sz w:val="14"/>
                <w:szCs w:val="16"/>
                <w:highlight w:val="darkGray"/>
                <w:vertAlign w:val="superscript"/>
              </w:rPr>
              <w:endnoteReference w:id="7"/>
            </w:r>
          </w:p>
        </w:tc>
      </w:tr>
    </w:tbl>
    <w:p w14:paraId="6130BE62" w14:textId="77777777" w:rsidR="00241A60" w:rsidRPr="00B9629C" w:rsidRDefault="00241A60" w:rsidP="00851B62">
      <w:pPr>
        <w:rPr>
          <w:b/>
          <w:highlight w:val="darkGray"/>
        </w:rPr>
      </w:pPr>
    </w:p>
    <w:p w14:paraId="21C0D877" w14:textId="5CE53BB7" w:rsidR="0072716B" w:rsidRPr="00B9629C" w:rsidRDefault="00ED05A4" w:rsidP="00661CB6">
      <w:pPr>
        <w:spacing w:after="0"/>
        <w:rPr>
          <w:b/>
          <w:highlight w:val="darkGray"/>
        </w:rPr>
      </w:pPr>
      <w:r w:rsidRPr="00B9629C">
        <w:rPr>
          <w:b/>
          <w:highlight w:val="darkGray"/>
        </w:rPr>
        <w:t>Positive cryptococcal antigen and no evidence for meningitis</w:t>
      </w:r>
      <w:r w:rsidR="00A63B98" w:rsidRPr="00B9629C">
        <w:rPr>
          <w:b/>
          <w:highlight w:val="darkGray"/>
        </w:rPr>
        <w:t xml:space="preserve"> on LP</w:t>
      </w:r>
      <w:r w:rsidR="0072716B" w:rsidRPr="00B9629C">
        <w:rPr>
          <w:b/>
          <w:highlight w:val="darkGray"/>
        </w:rPr>
        <w:t>:</w:t>
      </w:r>
    </w:p>
    <w:p w14:paraId="4CAAEB62" w14:textId="45D2F670" w:rsidR="00B91142" w:rsidRPr="00B9629C" w:rsidRDefault="00455C4E" w:rsidP="0033377B">
      <w:pPr>
        <w:pStyle w:val="ListParagraph"/>
        <w:rPr>
          <w:highlight w:val="darkGray"/>
        </w:rPr>
      </w:pPr>
      <w:r w:rsidRPr="00B9629C">
        <w:rPr>
          <w:highlight w:val="darkGray"/>
        </w:rPr>
        <w:t>No need to delay ART. ART can be started immediately.</w:t>
      </w:r>
      <w:r w:rsidR="00945175" w:rsidRPr="00B9629C">
        <w:rPr>
          <w:highlight w:val="darkGray"/>
        </w:rPr>
        <w:t xml:space="preserve"> </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34"/>
      </w:tblGrid>
      <w:tr w:rsidR="0033377B" w:rsidRPr="00B9629C" w14:paraId="6C56BC01" w14:textId="77777777" w:rsidTr="008A660A">
        <w:tc>
          <w:tcPr>
            <w:tcW w:w="1134" w:type="dxa"/>
            <w:shd w:val="clear" w:color="auto" w:fill="auto"/>
          </w:tcPr>
          <w:p w14:paraId="3A9474EF" w14:textId="08ECB36A" w:rsidR="0033377B" w:rsidRPr="00B9629C" w:rsidRDefault="0033377B" w:rsidP="008A660A">
            <w:pPr>
              <w:spacing w:before="0" w:after="0"/>
              <w:jc w:val="right"/>
              <w:rPr>
                <w:rFonts w:eastAsiaTheme="majorEastAsia" w:cs="Arial"/>
                <w:bCs/>
                <w:i/>
                <w:sz w:val="14"/>
                <w:szCs w:val="16"/>
                <w:highlight w:val="darkGray"/>
              </w:rPr>
            </w:pPr>
            <w:r w:rsidRPr="00B9629C">
              <w:rPr>
                <w:rFonts w:eastAsiaTheme="majorEastAsia" w:cs="Arial"/>
                <w:bCs/>
                <w:i/>
                <w:sz w:val="14"/>
                <w:szCs w:val="16"/>
                <w:highlight w:val="darkGray"/>
              </w:rPr>
              <w:t>LoE:I</w:t>
            </w:r>
            <w:r w:rsidR="00241A60" w:rsidRPr="00B9629C">
              <w:rPr>
                <w:rFonts w:eastAsiaTheme="majorEastAsia" w:cs="Arial"/>
                <w:bCs/>
                <w:i/>
                <w:sz w:val="14"/>
                <w:szCs w:val="16"/>
                <w:highlight w:val="darkGray"/>
              </w:rPr>
              <w:t>Vb</w:t>
            </w:r>
            <w:r w:rsidRPr="00B9629C">
              <w:rPr>
                <w:rFonts w:eastAsiaTheme="majorEastAsia" w:cs="Arial"/>
                <w:bCs/>
                <w:i/>
                <w:sz w:val="14"/>
                <w:szCs w:val="16"/>
                <w:highlight w:val="darkGray"/>
                <w:vertAlign w:val="superscript"/>
              </w:rPr>
              <w:endnoteReference w:id="8"/>
            </w:r>
          </w:p>
        </w:tc>
      </w:tr>
    </w:tbl>
    <w:p w14:paraId="0EC6229E" w14:textId="77777777" w:rsidR="00E41DE0" w:rsidRPr="00B9629C" w:rsidRDefault="00E41DE0" w:rsidP="00865BA4">
      <w:pPr>
        <w:pStyle w:val="NoSpacing"/>
        <w:jc w:val="right"/>
        <w:rPr>
          <w:highlight w:val="darkGray"/>
        </w:rPr>
      </w:pPr>
    </w:p>
    <w:p w14:paraId="05735A20" w14:textId="7A34786C" w:rsidR="00E5138C" w:rsidRPr="00B9629C" w:rsidRDefault="00E5138C" w:rsidP="00B917CD">
      <w:pPr>
        <w:pStyle w:val="Heading5"/>
        <w:rPr>
          <w:highlight w:val="darkGray"/>
        </w:rPr>
      </w:pPr>
      <w:r w:rsidRPr="00B9629C">
        <w:rPr>
          <w:highlight w:val="darkGray"/>
        </w:rPr>
        <w:t xml:space="preserve">PSYCHOSOCIAL INDICATORS OF READINESS FOR ART </w:t>
      </w:r>
    </w:p>
    <w:p w14:paraId="35552C75" w14:textId="3F6DA277" w:rsidR="00E5138C" w:rsidRPr="00B9629C" w:rsidRDefault="00E5138C" w:rsidP="00B314D3">
      <w:pPr>
        <w:pStyle w:val="NoSpacing"/>
        <w:jc w:val="both"/>
        <w:rPr>
          <w:highlight w:val="darkGray"/>
        </w:rPr>
      </w:pPr>
      <w:r w:rsidRPr="00B9629C">
        <w:rPr>
          <w:highlight w:val="darkGray"/>
        </w:rPr>
        <w:t xml:space="preserve">It is essential that patients have good insight into the need for long-term therapy and high levels of adherence. Give careful attention to adherence planning. Encourage patients to disclose their HIV status to somebody </w:t>
      </w:r>
      <w:r w:rsidR="000B5BD4" w:rsidRPr="00B9629C">
        <w:rPr>
          <w:highlight w:val="darkGray"/>
        </w:rPr>
        <w:t>to</w:t>
      </w:r>
      <w:r w:rsidRPr="00B9629C">
        <w:rPr>
          <w:highlight w:val="darkGray"/>
        </w:rPr>
        <w:t xml:space="preserve"> act as a treatment supporter. If this is not possible then the patient should join a support group. </w:t>
      </w:r>
    </w:p>
    <w:p w14:paraId="1F974C23" w14:textId="77777777" w:rsidR="00E5138C" w:rsidRPr="00B9629C" w:rsidRDefault="00E5138C" w:rsidP="00B314D3">
      <w:pPr>
        <w:pStyle w:val="NoSpacing"/>
        <w:jc w:val="both"/>
        <w:rPr>
          <w:highlight w:val="darkGray"/>
        </w:rPr>
      </w:pPr>
      <w:r w:rsidRPr="00B9629C">
        <w:rPr>
          <w:highlight w:val="darkGray"/>
        </w:rPr>
        <w:t xml:space="preserve">Manage depression. </w:t>
      </w:r>
    </w:p>
    <w:tbl>
      <w:tblPr>
        <w:tblpPr w:leftFromText="180" w:rightFromText="180" w:vertAnchor="text" w:horzAnchor="margin" w:tblpXSpec="right" w:tblpY="260"/>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290DB7" w:rsidRPr="00B9629C" w14:paraId="35D06047" w14:textId="77777777" w:rsidTr="00290DB7">
        <w:tc>
          <w:tcPr>
            <w:tcW w:w="907" w:type="dxa"/>
            <w:shd w:val="clear" w:color="auto" w:fill="auto"/>
          </w:tcPr>
          <w:p w14:paraId="0F150E40" w14:textId="12664A00" w:rsidR="00290DB7" w:rsidRPr="00B9629C" w:rsidRDefault="00290DB7" w:rsidP="00B314D3">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241A60" w:rsidRPr="00B9629C">
              <w:rPr>
                <w:sz w:val="14"/>
                <w:szCs w:val="14"/>
                <w:highlight w:val="darkGray"/>
              </w:rPr>
              <w:t>b</w:t>
            </w:r>
            <w:r w:rsidRPr="00B9629C">
              <w:rPr>
                <w:rStyle w:val="EndnoteReference"/>
                <w:sz w:val="14"/>
                <w:szCs w:val="14"/>
                <w:highlight w:val="darkGray"/>
              </w:rPr>
              <w:endnoteReference w:id="9"/>
            </w:r>
          </w:p>
        </w:tc>
      </w:tr>
    </w:tbl>
    <w:p w14:paraId="0A50A712" w14:textId="6BFE87B8" w:rsidR="00E5138C" w:rsidRPr="00B9629C" w:rsidRDefault="00E5138C" w:rsidP="00B314D3">
      <w:pPr>
        <w:pStyle w:val="NoSpacing"/>
        <w:jc w:val="both"/>
        <w:rPr>
          <w:highlight w:val="darkGray"/>
        </w:rPr>
      </w:pPr>
      <w:r w:rsidRPr="00B9629C">
        <w:rPr>
          <w:highlight w:val="darkGray"/>
        </w:rPr>
        <w:t xml:space="preserve">Active substance abuse/alcohol is an impediment to adherence and, where possible, should be addressed </w:t>
      </w:r>
      <w:r w:rsidR="004D1B7A" w:rsidRPr="00B9629C">
        <w:rPr>
          <w:highlight w:val="darkGray"/>
        </w:rPr>
        <w:t>before</w:t>
      </w:r>
      <w:r w:rsidRPr="00B9629C">
        <w:rPr>
          <w:highlight w:val="darkGray"/>
        </w:rPr>
        <w:t xml:space="preserve"> initiating ART.</w:t>
      </w:r>
    </w:p>
    <w:p w14:paraId="450A0543" w14:textId="77777777" w:rsidR="00BA74E3" w:rsidRPr="00B9629C" w:rsidRDefault="00BA74E3" w:rsidP="00B314D3">
      <w:pPr>
        <w:pStyle w:val="NoSpacing"/>
        <w:jc w:val="both"/>
        <w:rPr>
          <w:highlight w:val="darkGray"/>
        </w:rPr>
      </w:pPr>
    </w:p>
    <w:p w14:paraId="68FE802C" w14:textId="70B75CE3" w:rsidR="00E5138C" w:rsidRPr="00B9629C" w:rsidRDefault="00BA74E3" w:rsidP="00705A79">
      <w:pPr>
        <w:pStyle w:val="NoSpacing"/>
        <w:rPr>
          <w:b/>
          <w:bCs/>
          <w:caps/>
          <w:sz w:val="20"/>
          <w:highlight w:val="darkGray"/>
        </w:rPr>
      </w:pPr>
      <w:r w:rsidRPr="00B9629C">
        <w:rPr>
          <w:b/>
          <w:bCs/>
          <w:caps/>
          <w:sz w:val="20"/>
          <w:highlight w:val="darkGray"/>
        </w:rPr>
        <w:t>ART REGIMENS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5"/>
        <w:gridCol w:w="4276"/>
      </w:tblGrid>
      <w:tr w:rsidR="00CF3767" w:rsidRPr="00B9629C" w14:paraId="1DBC8D25" w14:textId="77777777" w:rsidTr="00E3263A">
        <w:tc>
          <w:tcPr>
            <w:tcW w:w="5000" w:type="pct"/>
            <w:gridSpan w:val="2"/>
            <w:shd w:val="clear" w:color="auto" w:fill="D9D9D9" w:themeFill="background1" w:themeFillShade="D9"/>
          </w:tcPr>
          <w:p w14:paraId="1364D142" w14:textId="77777777" w:rsidR="00CF3767" w:rsidRPr="00B9629C" w:rsidRDefault="00CF3767" w:rsidP="00E3263A">
            <w:pPr>
              <w:spacing w:line="276" w:lineRule="auto"/>
              <w:jc w:val="center"/>
              <w:rPr>
                <w:rFonts w:cs="Arial"/>
                <w:highlight w:val="darkGray"/>
              </w:rPr>
            </w:pPr>
            <w:r w:rsidRPr="00B9629C">
              <w:rPr>
                <w:rFonts w:cs="Arial"/>
                <w:b/>
                <w:highlight w:val="darkGray"/>
              </w:rPr>
              <w:t>INITIATING ART</w:t>
            </w:r>
          </w:p>
        </w:tc>
      </w:tr>
      <w:tr w:rsidR="00CF3767" w:rsidRPr="00B9629C" w14:paraId="21244DFF" w14:textId="77777777" w:rsidTr="00F7195A">
        <w:trPr>
          <w:trHeight w:val="632"/>
        </w:trPr>
        <w:tc>
          <w:tcPr>
            <w:tcW w:w="1800" w:type="pct"/>
            <w:shd w:val="clear" w:color="auto" w:fill="auto"/>
          </w:tcPr>
          <w:p w14:paraId="657F98CF" w14:textId="77777777" w:rsidR="00CF3767" w:rsidRPr="00B9629C" w:rsidRDefault="00CF3767" w:rsidP="00E3263A">
            <w:pPr>
              <w:tabs>
                <w:tab w:val="num" w:pos="1800"/>
              </w:tabs>
              <w:rPr>
                <w:rFonts w:cs="Arial"/>
                <w:b/>
                <w:color w:val="7030A0"/>
                <w:sz w:val="16"/>
                <w:szCs w:val="16"/>
                <w:highlight w:val="darkGray"/>
              </w:rPr>
            </w:pPr>
            <w:r w:rsidRPr="00B9629C">
              <w:rPr>
                <w:rFonts w:cs="Arial"/>
                <w:b/>
                <w:sz w:val="16"/>
                <w:szCs w:val="16"/>
                <w:highlight w:val="darkGray"/>
              </w:rPr>
              <w:t>Treatment-naïve patients</w:t>
            </w:r>
          </w:p>
          <w:p w14:paraId="6B162B44" w14:textId="77777777" w:rsidR="00CF3767" w:rsidRPr="00B9629C" w:rsidRDefault="00CF3767" w:rsidP="00E3263A">
            <w:pPr>
              <w:tabs>
                <w:tab w:val="num" w:pos="1800"/>
              </w:tabs>
              <w:rPr>
                <w:rFonts w:cs="Arial"/>
                <w:sz w:val="16"/>
                <w:szCs w:val="16"/>
                <w:highlight w:val="darkGray"/>
              </w:rPr>
            </w:pPr>
          </w:p>
        </w:tc>
        <w:tc>
          <w:tcPr>
            <w:tcW w:w="3200" w:type="pct"/>
            <w:shd w:val="clear" w:color="auto" w:fill="auto"/>
          </w:tcPr>
          <w:p w14:paraId="69E8B434" w14:textId="5DF8467F" w:rsidR="00CF3767" w:rsidRPr="00B9629C" w:rsidRDefault="008935A4" w:rsidP="00E3263A">
            <w:pPr>
              <w:tabs>
                <w:tab w:val="num" w:pos="1800"/>
              </w:tabs>
              <w:rPr>
                <w:rFonts w:cs="Arial"/>
                <w:sz w:val="4"/>
                <w:szCs w:val="16"/>
                <w:highlight w:val="darkGray"/>
              </w:rPr>
            </w:pPr>
            <w:r w:rsidRPr="00B9629C">
              <w:rPr>
                <w:rFonts w:cs="Arial"/>
                <w:sz w:val="16"/>
                <w:szCs w:val="16"/>
                <w:highlight w:val="darkGray"/>
                <w:u w:val="single"/>
              </w:rPr>
              <w:t xml:space="preserve">Individuals </w:t>
            </w:r>
            <w:r w:rsidR="00CF3767" w:rsidRPr="00B9629C">
              <w:rPr>
                <w:rFonts w:cs="Arial"/>
                <w:sz w:val="16"/>
                <w:szCs w:val="16"/>
                <w:highlight w:val="darkGray"/>
                <w:u w:val="single"/>
              </w:rPr>
              <w:t>≥3</w:t>
            </w:r>
            <w:r w:rsidRPr="00B9629C">
              <w:rPr>
                <w:rFonts w:cs="Arial"/>
                <w:sz w:val="16"/>
                <w:szCs w:val="16"/>
                <w:highlight w:val="darkGray"/>
                <w:u w:val="single"/>
              </w:rPr>
              <w:t>0</w:t>
            </w:r>
            <w:r w:rsidR="00CF3767" w:rsidRPr="00B9629C">
              <w:rPr>
                <w:rFonts w:cs="Arial"/>
                <w:sz w:val="16"/>
                <w:szCs w:val="16"/>
                <w:highlight w:val="darkGray"/>
                <w:u w:val="single"/>
              </w:rPr>
              <w:t>kg</w:t>
            </w:r>
            <w:r w:rsidR="00455C4E" w:rsidRPr="00B9629C">
              <w:rPr>
                <w:rFonts w:cs="Arial"/>
                <w:sz w:val="16"/>
                <w:szCs w:val="16"/>
                <w:highlight w:val="darkGray"/>
                <w:u w:val="single"/>
              </w:rPr>
              <w:t xml:space="preserve"> and </w:t>
            </w:r>
            <m:oMath>
              <m:r>
                <w:rPr>
                  <w:rFonts w:ascii="Cambria Math" w:hAnsi="Cambria Math" w:cs="Arial"/>
                  <w:sz w:val="16"/>
                  <w:szCs w:val="16"/>
                  <w:highlight w:val="darkGray"/>
                  <w:u w:val="single"/>
                </w:rPr>
                <m:t>≥</m:t>
              </m:r>
            </m:oMath>
            <w:r w:rsidR="00455C4E" w:rsidRPr="00B9629C">
              <w:rPr>
                <w:rFonts w:eastAsiaTheme="minorEastAsia" w:cs="Arial"/>
                <w:sz w:val="16"/>
                <w:szCs w:val="16"/>
                <w:highlight w:val="darkGray"/>
                <w:u w:val="single"/>
              </w:rPr>
              <w:t>10 years</w:t>
            </w:r>
          </w:p>
          <w:p w14:paraId="1F56158B" w14:textId="77777777" w:rsidR="00CF3767" w:rsidRPr="00B9629C" w:rsidRDefault="00CF3767" w:rsidP="00E3263A">
            <w:pPr>
              <w:tabs>
                <w:tab w:val="num" w:pos="1800"/>
              </w:tabs>
              <w:rPr>
                <w:rFonts w:cs="Arial"/>
                <w:sz w:val="16"/>
                <w:szCs w:val="16"/>
                <w:highlight w:val="darkGray"/>
              </w:rPr>
            </w:pPr>
            <w:r w:rsidRPr="00B9629C">
              <w:rPr>
                <w:rFonts w:cs="Arial"/>
                <w:sz w:val="16"/>
                <w:szCs w:val="16"/>
                <w:highlight w:val="darkGray"/>
              </w:rPr>
              <w:t>TDF + 3TC + DTG (“TLD”)</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5"/>
            </w:tblGrid>
            <w:tr w:rsidR="00CF3767" w:rsidRPr="00B9629C" w14:paraId="48613200" w14:textId="77777777" w:rsidTr="00241A4E">
              <w:tc>
                <w:tcPr>
                  <w:tcW w:w="705" w:type="dxa"/>
                  <w:shd w:val="clear" w:color="auto" w:fill="auto"/>
                </w:tcPr>
                <w:p w14:paraId="4485497E" w14:textId="77777777" w:rsidR="00CF3767" w:rsidRPr="00B9629C" w:rsidRDefault="00CF3767" w:rsidP="00241A4E">
                  <w:pPr>
                    <w:rPr>
                      <w:i/>
                      <w:sz w:val="14"/>
                      <w:highlight w:val="darkGray"/>
                    </w:rPr>
                  </w:pPr>
                  <w:r w:rsidRPr="00B9629C">
                    <w:rPr>
                      <w:i/>
                      <w:sz w:val="14"/>
                      <w:highlight w:val="darkGray"/>
                    </w:rPr>
                    <w:t>LoE:IIa</w:t>
                  </w:r>
                  <w:r w:rsidRPr="00B9629C">
                    <w:rPr>
                      <w:rStyle w:val="EndnoteReference"/>
                      <w:i/>
                      <w:sz w:val="14"/>
                      <w:highlight w:val="darkGray"/>
                    </w:rPr>
                    <w:endnoteReference w:id="10"/>
                  </w:r>
                </w:p>
              </w:tc>
            </w:tr>
          </w:tbl>
          <w:p w14:paraId="53C811ED" w14:textId="77777777" w:rsidR="00CF3767" w:rsidRPr="00B9629C" w:rsidRDefault="00CF3767" w:rsidP="00E3263A">
            <w:pPr>
              <w:tabs>
                <w:tab w:val="num" w:pos="1800"/>
              </w:tabs>
              <w:rPr>
                <w:rFonts w:cs="Arial"/>
                <w:sz w:val="20"/>
                <w:szCs w:val="16"/>
                <w:highlight w:val="darkGray"/>
              </w:rPr>
            </w:pPr>
          </w:p>
          <w:p w14:paraId="3D648877" w14:textId="2A9117FE" w:rsidR="00CF3767" w:rsidRPr="00B9629C" w:rsidRDefault="00CF3767" w:rsidP="00E3263A">
            <w:pPr>
              <w:tabs>
                <w:tab w:val="num" w:pos="1800"/>
              </w:tabs>
              <w:jc w:val="both"/>
              <w:rPr>
                <w:rFonts w:cs="Arial"/>
                <w:i/>
                <w:iCs/>
                <w:sz w:val="16"/>
                <w:szCs w:val="16"/>
                <w:highlight w:val="darkGray"/>
              </w:rPr>
            </w:pPr>
            <w:r w:rsidRPr="00B9629C">
              <w:rPr>
                <w:rFonts w:cs="Arial"/>
                <w:b/>
                <w:iCs/>
                <w:sz w:val="16"/>
                <w:szCs w:val="16"/>
                <w:highlight w:val="darkGray"/>
              </w:rPr>
              <w:t>Note</w:t>
            </w:r>
            <w:r w:rsidRPr="00B9629C">
              <w:rPr>
                <w:rFonts w:cs="Arial"/>
                <w:i/>
                <w:iCs/>
                <w:sz w:val="16"/>
                <w:szCs w:val="16"/>
                <w:highlight w:val="darkGray"/>
              </w:rPr>
              <w:t xml:space="preserve">: </w:t>
            </w:r>
            <w:r w:rsidRPr="00B9629C">
              <w:rPr>
                <w:rFonts w:cs="Arial"/>
                <w:color w:val="000000"/>
                <w:sz w:val="16"/>
                <w:szCs w:val="16"/>
                <w:highlight w:val="darkGray"/>
              </w:rPr>
              <w:t>DTG-based regimens are now recommended as first line ART in all women of child</w:t>
            </w:r>
            <w:r w:rsidR="00B02B1D" w:rsidRPr="00B9629C">
              <w:rPr>
                <w:rFonts w:cs="Arial"/>
                <w:color w:val="000000"/>
                <w:sz w:val="16"/>
                <w:szCs w:val="16"/>
                <w:highlight w:val="darkGray"/>
              </w:rPr>
              <w:t>-</w:t>
            </w:r>
            <w:r w:rsidRPr="00B9629C">
              <w:rPr>
                <w:rFonts w:cs="Arial"/>
                <w:color w:val="000000"/>
                <w:sz w:val="16"/>
                <w:szCs w:val="16"/>
                <w:highlight w:val="darkGray"/>
              </w:rPr>
              <w:t>bearing potential.</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95"/>
            </w:tblGrid>
            <w:tr w:rsidR="00CF3767" w:rsidRPr="00B9629C" w14:paraId="66552CEB" w14:textId="77777777" w:rsidTr="00241A4E">
              <w:tc>
                <w:tcPr>
                  <w:tcW w:w="795" w:type="dxa"/>
                  <w:shd w:val="clear" w:color="auto" w:fill="auto"/>
                </w:tcPr>
                <w:p w14:paraId="54D40F20" w14:textId="77777777" w:rsidR="00CF3767" w:rsidRPr="00B9629C" w:rsidRDefault="00CF3767" w:rsidP="00241A4E">
                  <w:pPr>
                    <w:rPr>
                      <w:i/>
                      <w:sz w:val="14"/>
                      <w:highlight w:val="darkGray"/>
                    </w:rPr>
                  </w:pPr>
                  <w:r w:rsidRPr="00B9629C">
                    <w:rPr>
                      <w:i/>
                      <w:sz w:val="14"/>
                      <w:highlight w:val="darkGray"/>
                    </w:rPr>
                    <w:lastRenderedPageBreak/>
                    <w:t>LoE:IIa</w:t>
                  </w:r>
                  <w:r w:rsidRPr="00B9629C">
                    <w:rPr>
                      <w:rStyle w:val="EndnoteReference"/>
                      <w:i/>
                      <w:sz w:val="14"/>
                      <w:highlight w:val="darkGray"/>
                    </w:rPr>
                    <w:endnoteReference w:id="11"/>
                  </w:r>
                </w:p>
              </w:tc>
            </w:tr>
          </w:tbl>
          <w:p w14:paraId="2E948976" w14:textId="77777777" w:rsidR="00CF3767" w:rsidRPr="00B9629C" w:rsidRDefault="00CF3767" w:rsidP="00E3263A">
            <w:pPr>
              <w:tabs>
                <w:tab w:val="num" w:pos="1800"/>
              </w:tabs>
              <w:rPr>
                <w:rFonts w:cs="Arial"/>
                <w:sz w:val="16"/>
                <w:szCs w:val="16"/>
                <w:highlight w:val="darkGray"/>
                <w:u w:val="single"/>
              </w:rPr>
            </w:pPr>
            <w:r w:rsidRPr="00B9629C">
              <w:rPr>
                <w:rFonts w:cs="Arial"/>
                <w:sz w:val="16"/>
                <w:szCs w:val="16"/>
                <w:highlight w:val="darkGray"/>
                <w:u w:val="single"/>
              </w:rPr>
              <w:t>Patients on rifampicin-based TB treatment:</w:t>
            </w:r>
          </w:p>
          <w:p w14:paraId="136A3548" w14:textId="77777777" w:rsidR="00CF3767" w:rsidRPr="00B9629C" w:rsidRDefault="00CF3767" w:rsidP="00E3263A">
            <w:pPr>
              <w:tabs>
                <w:tab w:val="num" w:pos="1800"/>
              </w:tabs>
              <w:rPr>
                <w:rFonts w:cs="Arial"/>
                <w:sz w:val="16"/>
                <w:szCs w:val="16"/>
                <w:highlight w:val="darkGray"/>
              </w:rPr>
            </w:pPr>
            <w:r w:rsidRPr="00B9629C">
              <w:rPr>
                <w:rFonts w:cs="Arial"/>
                <w:sz w:val="16"/>
                <w:szCs w:val="16"/>
                <w:highlight w:val="darkGray"/>
              </w:rPr>
              <w:lastRenderedPageBreak/>
              <w:t>TDF + FTC + EFV</w:t>
            </w:r>
          </w:p>
          <w:p w14:paraId="6C8AD495" w14:textId="333DB64D" w:rsidR="00CF3767" w:rsidRPr="00B9629C" w:rsidRDefault="00241A4E" w:rsidP="00E3263A">
            <w:pPr>
              <w:tabs>
                <w:tab w:val="num" w:pos="1800"/>
              </w:tabs>
              <w:rPr>
                <w:rFonts w:cs="Arial"/>
                <w:b/>
                <w:sz w:val="16"/>
                <w:szCs w:val="16"/>
                <w:highlight w:val="darkGray"/>
              </w:rPr>
            </w:pPr>
            <w:r w:rsidRPr="00B9629C">
              <w:rPr>
                <w:rFonts w:cs="Arial"/>
                <w:b/>
                <w:sz w:val="16"/>
                <w:szCs w:val="16"/>
                <w:highlight w:val="darkGray"/>
              </w:rPr>
              <w:t>OR</w:t>
            </w:r>
          </w:p>
          <w:p w14:paraId="250A58A2" w14:textId="3A40D4DF" w:rsidR="00CF3767" w:rsidRPr="00B9629C" w:rsidRDefault="00CF3767" w:rsidP="00E3263A">
            <w:pPr>
              <w:rPr>
                <w:rFonts w:cs="Arial"/>
                <w:sz w:val="16"/>
                <w:szCs w:val="16"/>
                <w:highlight w:val="darkGray"/>
              </w:rPr>
            </w:pPr>
            <w:r w:rsidRPr="00B9629C">
              <w:rPr>
                <w:rFonts w:cs="Arial"/>
                <w:sz w:val="16"/>
                <w:szCs w:val="16"/>
                <w:highlight w:val="darkGray"/>
              </w:rPr>
              <w:t xml:space="preserve">TDF + 3TC + DTG </w:t>
            </w:r>
            <w:r w:rsidRPr="00B9629C">
              <w:rPr>
                <w:rFonts w:cs="Arial"/>
                <w:i/>
                <w:iCs/>
                <w:sz w:val="16"/>
                <w:szCs w:val="16"/>
                <w:highlight w:val="darkGray"/>
              </w:rPr>
              <w:t>plus</w:t>
            </w:r>
            <w:r w:rsidRPr="00B9629C">
              <w:rPr>
                <w:rFonts w:cs="Arial"/>
                <w:sz w:val="16"/>
                <w:szCs w:val="16"/>
                <w:highlight w:val="darkGray"/>
              </w:rPr>
              <w:t xml:space="preserve"> additional dose of DTG 50</w:t>
            </w:r>
            <w:r w:rsidR="005612B1" w:rsidRPr="00B9629C">
              <w:rPr>
                <w:rFonts w:cs="Arial"/>
                <w:sz w:val="16"/>
                <w:szCs w:val="16"/>
                <w:highlight w:val="darkGray"/>
              </w:rPr>
              <w:t xml:space="preserve"> </w:t>
            </w:r>
            <w:r w:rsidRPr="00B9629C">
              <w:rPr>
                <w:rFonts w:cs="Arial"/>
                <w:sz w:val="16"/>
                <w:szCs w:val="16"/>
                <w:highlight w:val="darkGray"/>
              </w:rPr>
              <w:t>mg 12 hours later.</w:t>
            </w:r>
          </w:p>
          <w:p w14:paraId="57B2300B" w14:textId="19E73ED6" w:rsidR="00CF3767" w:rsidRPr="00B9629C" w:rsidRDefault="00CF3767" w:rsidP="00E3263A">
            <w:pPr>
              <w:pStyle w:val="Default"/>
              <w:jc w:val="both"/>
              <w:rPr>
                <w:rFonts w:ascii="Arial" w:hAnsi="Arial" w:cs="Arial"/>
                <w:sz w:val="16"/>
                <w:szCs w:val="16"/>
                <w:highlight w:val="darkGray"/>
              </w:rPr>
            </w:pPr>
            <w:r w:rsidRPr="00B9629C">
              <w:rPr>
                <w:rFonts w:ascii="Arial" w:hAnsi="Arial" w:cs="Arial"/>
                <w:sz w:val="16"/>
                <w:szCs w:val="16"/>
                <w:highlight w:val="darkGray"/>
              </w:rPr>
              <w:t xml:space="preserve">The extra DTG dose can be stopped two weeks after </w:t>
            </w:r>
            <w:r w:rsidR="00455C4E" w:rsidRPr="00B9629C">
              <w:rPr>
                <w:rFonts w:ascii="Arial" w:hAnsi="Arial" w:cs="Arial"/>
                <w:sz w:val="16"/>
                <w:szCs w:val="16"/>
                <w:highlight w:val="darkGray"/>
              </w:rPr>
              <w:t>stopping rifampicin</w:t>
            </w:r>
            <w:r w:rsidRPr="00B9629C">
              <w:rPr>
                <w:rFonts w:ascii="Arial" w:hAnsi="Arial" w:cs="Arial"/>
                <w:sz w:val="16"/>
                <w:szCs w:val="16"/>
                <w:highlight w:val="darkGray"/>
              </w:rPr>
              <w:t>.</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95"/>
            </w:tblGrid>
            <w:tr w:rsidR="00CF3767" w:rsidRPr="00B9629C" w14:paraId="07CE0AB2" w14:textId="77777777" w:rsidTr="00241A4E">
              <w:tc>
                <w:tcPr>
                  <w:tcW w:w="795" w:type="dxa"/>
                  <w:shd w:val="clear" w:color="auto" w:fill="auto"/>
                </w:tcPr>
                <w:p w14:paraId="52404CC5" w14:textId="77777777" w:rsidR="00CF3767" w:rsidRPr="00B9629C" w:rsidRDefault="00CF3767" w:rsidP="00241A4E">
                  <w:pPr>
                    <w:rPr>
                      <w:i/>
                      <w:sz w:val="14"/>
                      <w:highlight w:val="darkGray"/>
                    </w:rPr>
                  </w:pPr>
                  <w:r w:rsidRPr="00B9629C">
                    <w:rPr>
                      <w:i/>
                      <w:sz w:val="14"/>
                      <w:highlight w:val="darkGray"/>
                    </w:rPr>
                    <w:t>LoE:IIIb</w:t>
                  </w:r>
                  <w:r w:rsidRPr="00B9629C">
                    <w:rPr>
                      <w:rStyle w:val="EndnoteReference"/>
                      <w:i/>
                      <w:sz w:val="14"/>
                      <w:highlight w:val="darkGray"/>
                    </w:rPr>
                    <w:endnoteReference w:id="12"/>
                  </w:r>
                </w:p>
              </w:tc>
            </w:tr>
          </w:tbl>
          <w:p w14:paraId="067CFC13" w14:textId="77777777" w:rsidR="00CF3767" w:rsidRPr="00B9629C" w:rsidRDefault="00CF3767" w:rsidP="00E3263A">
            <w:pPr>
              <w:tabs>
                <w:tab w:val="num" w:pos="1800"/>
              </w:tabs>
              <w:rPr>
                <w:rFonts w:cs="Arial"/>
                <w:sz w:val="20"/>
                <w:szCs w:val="16"/>
                <w:highlight w:val="darkGray"/>
              </w:rPr>
            </w:pPr>
          </w:p>
          <w:p w14:paraId="03DF1B3B" w14:textId="4F7F6C48" w:rsidR="00CF3767" w:rsidRPr="00B9629C" w:rsidRDefault="00CF3767" w:rsidP="00241A4E">
            <w:pPr>
              <w:tabs>
                <w:tab w:val="num" w:pos="1800"/>
              </w:tabs>
              <w:spacing w:line="276" w:lineRule="auto"/>
              <w:rPr>
                <w:rFonts w:cs="Arial"/>
                <w:i/>
                <w:sz w:val="16"/>
                <w:szCs w:val="16"/>
                <w:highlight w:val="darkGray"/>
              </w:rPr>
            </w:pPr>
            <w:r w:rsidRPr="00B9629C">
              <w:rPr>
                <w:rFonts w:cs="Arial"/>
                <w:sz w:val="16"/>
                <w:szCs w:val="16"/>
                <w:highlight w:val="darkGray"/>
              </w:rPr>
              <w:t xml:space="preserve">(Also see </w:t>
            </w:r>
            <w:r w:rsidR="00241A4E" w:rsidRPr="00B9629C">
              <w:rPr>
                <w:rFonts w:cs="Arial"/>
                <w:sz w:val="16"/>
                <w:szCs w:val="16"/>
                <w:highlight w:val="darkGray"/>
              </w:rPr>
              <w:t xml:space="preserve">PHC STG </w:t>
            </w:r>
            <w:r w:rsidR="0034017C" w:rsidRPr="00B9629C">
              <w:rPr>
                <w:rFonts w:cs="Arial"/>
                <w:sz w:val="16"/>
                <w:szCs w:val="16"/>
                <w:highlight w:val="darkGray"/>
              </w:rPr>
              <w:t>S</w:t>
            </w:r>
            <w:r w:rsidRPr="00B9629C">
              <w:rPr>
                <w:rFonts w:cs="Arial"/>
                <w:sz w:val="16"/>
                <w:szCs w:val="16"/>
                <w:highlight w:val="darkGray"/>
              </w:rPr>
              <w:t>ection 6.</w:t>
            </w:r>
            <w:r w:rsidR="00241A4E" w:rsidRPr="00B9629C">
              <w:rPr>
                <w:rFonts w:cs="Arial"/>
                <w:sz w:val="16"/>
                <w:szCs w:val="16"/>
                <w:highlight w:val="darkGray"/>
              </w:rPr>
              <w:t>8</w:t>
            </w:r>
            <w:r w:rsidRPr="00B9629C">
              <w:rPr>
                <w:rFonts w:cs="Arial"/>
                <w:sz w:val="16"/>
                <w:szCs w:val="16"/>
                <w:highlight w:val="darkGray"/>
              </w:rPr>
              <w:t>: HIV in pregnancy</w:t>
            </w:r>
            <w:r w:rsidR="00724290" w:rsidRPr="00B9629C">
              <w:rPr>
                <w:rFonts w:cs="Arial"/>
                <w:sz w:val="16"/>
                <w:szCs w:val="16"/>
                <w:highlight w:val="darkGray"/>
              </w:rPr>
              <w:t>.</w:t>
            </w:r>
            <w:r w:rsidRPr="00B9629C">
              <w:rPr>
                <w:rFonts w:cs="Arial"/>
                <w:sz w:val="16"/>
                <w:szCs w:val="16"/>
                <w:highlight w:val="darkGray"/>
              </w:rPr>
              <w:t>)</w:t>
            </w:r>
          </w:p>
        </w:tc>
      </w:tr>
      <w:tr w:rsidR="00CF3767" w:rsidRPr="00B9629C" w14:paraId="3AE8B140" w14:textId="77777777" w:rsidTr="00F7195A">
        <w:tc>
          <w:tcPr>
            <w:tcW w:w="1800" w:type="pct"/>
            <w:shd w:val="clear" w:color="auto" w:fill="auto"/>
          </w:tcPr>
          <w:p w14:paraId="08D105E2" w14:textId="77777777" w:rsidR="00CF3767" w:rsidRPr="00B9629C" w:rsidRDefault="00CF3767" w:rsidP="00E3263A">
            <w:pPr>
              <w:tabs>
                <w:tab w:val="num" w:pos="1800"/>
              </w:tabs>
              <w:rPr>
                <w:rFonts w:ascii="Arial Bold" w:hAnsi="Arial Bold" w:cs="Arial"/>
                <w:b/>
                <w:color w:val="000000"/>
                <w:spacing w:val="-2"/>
                <w:sz w:val="16"/>
                <w:szCs w:val="16"/>
                <w:highlight w:val="darkGray"/>
              </w:rPr>
            </w:pPr>
            <w:r w:rsidRPr="00B9629C">
              <w:rPr>
                <w:rFonts w:ascii="Arial Bold" w:hAnsi="Arial Bold" w:cs="Arial"/>
                <w:b/>
                <w:color w:val="000000"/>
                <w:spacing w:val="-2"/>
                <w:sz w:val="16"/>
                <w:szCs w:val="16"/>
                <w:highlight w:val="darkGray"/>
              </w:rPr>
              <w:lastRenderedPageBreak/>
              <w:t>Contraindications/ intolerance to DTG</w:t>
            </w:r>
          </w:p>
        </w:tc>
        <w:tc>
          <w:tcPr>
            <w:tcW w:w="3200" w:type="pct"/>
            <w:shd w:val="clear" w:color="auto" w:fill="auto"/>
          </w:tcPr>
          <w:p w14:paraId="55DB6533" w14:textId="77777777" w:rsidR="00CF3767" w:rsidRPr="00B9629C" w:rsidRDefault="00CF3767" w:rsidP="00E3263A">
            <w:pPr>
              <w:tabs>
                <w:tab w:val="num" w:pos="1800"/>
              </w:tabs>
              <w:rPr>
                <w:rFonts w:cs="Arial"/>
                <w:sz w:val="6"/>
                <w:szCs w:val="16"/>
                <w:highlight w:val="darkGray"/>
              </w:rPr>
            </w:pPr>
          </w:p>
          <w:p w14:paraId="5CC634E9" w14:textId="77777777" w:rsidR="00CF3767" w:rsidRPr="00B9629C" w:rsidRDefault="00CF3767" w:rsidP="00E3263A">
            <w:pPr>
              <w:tabs>
                <w:tab w:val="num" w:pos="1800"/>
              </w:tabs>
              <w:rPr>
                <w:highlight w:val="darkGray"/>
              </w:rPr>
            </w:pPr>
            <w:r w:rsidRPr="00B9629C">
              <w:rPr>
                <w:rFonts w:cs="Arial"/>
                <w:sz w:val="16"/>
                <w:szCs w:val="16"/>
                <w:highlight w:val="darkGray"/>
              </w:rPr>
              <w:t>TDF + 3TC/FTC + EFV</w:t>
            </w:r>
          </w:p>
        </w:tc>
      </w:tr>
      <w:tr w:rsidR="00CF3767" w:rsidRPr="00B9629C" w14:paraId="72095948" w14:textId="77777777" w:rsidTr="00F7195A">
        <w:tc>
          <w:tcPr>
            <w:tcW w:w="1800" w:type="pct"/>
            <w:shd w:val="clear" w:color="auto" w:fill="auto"/>
          </w:tcPr>
          <w:p w14:paraId="0BE4BF97" w14:textId="77777777" w:rsidR="00CF3767" w:rsidRPr="00B9629C" w:rsidRDefault="00CF3767" w:rsidP="00E3263A">
            <w:pPr>
              <w:tabs>
                <w:tab w:val="num" w:pos="1800"/>
              </w:tabs>
              <w:spacing w:line="276" w:lineRule="auto"/>
              <w:rPr>
                <w:rFonts w:cs="Arial"/>
                <w:b/>
                <w:color w:val="000000"/>
                <w:sz w:val="16"/>
                <w:szCs w:val="16"/>
                <w:highlight w:val="darkGray"/>
              </w:rPr>
            </w:pPr>
            <w:r w:rsidRPr="00B9629C">
              <w:rPr>
                <w:rFonts w:cs="Arial"/>
                <w:b/>
                <w:color w:val="000000"/>
                <w:sz w:val="16"/>
                <w:szCs w:val="16"/>
                <w:highlight w:val="darkGray"/>
              </w:rPr>
              <w:t>Contraindications to EFV</w:t>
            </w:r>
            <w:r w:rsidRPr="00B9629C">
              <w:rPr>
                <w:rFonts w:cs="Arial"/>
                <w:b/>
                <w:sz w:val="16"/>
                <w:szCs w:val="16"/>
                <w:highlight w:val="darkGray"/>
              </w:rPr>
              <w:t xml:space="preserve"> and DTG</w:t>
            </w:r>
          </w:p>
          <w:p w14:paraId="6196C770" w14:textId="77777777" w:rsidR="00CF3767" w:rsidRPr="00B9629C" w:rsidRDefault="00CF3767" w:rsidP="00E3263A">
            <w:pPr>
              <w:tabs>
                <w:tab w:val="num" w:pos="1800"/>
              </w:tabs>
              <w:rPr>
                <w:rFonts w:cs="Arial"/>
                <w:b/>
                <w:color w:val="000000"/>
                <w:sz w:val="16"/>
                <w:szCs w:val="16"/>
                <w:highlight w:val="darkGray"/>
              </w:rPr>
            </w:pPr>
          </w:p>
        </w:tc>
        <w:tc>
          <w:tcPr>
            <w:tcW w:w="3200" w:type="pct"/>
            <w:shd w:val="clear" w:color="auto" w:fill="auto"/>
          </w:tcPr>
          <w:p w14:paraId="706E0DBE" w14:textId="77777777" w:rsidR="00CF3767" w:rsidRPr="00B9629C" w:rsidRDefault="00CF3767" w:rsidP="00E3263A">
            <w:pPr>
              <w:tabs>
                <w:tab w:val="num" w:pos="1800"/>
              </w:tabs>
              <w:spacing w:line="276" w:lineRule="auto"/>
              <w:rPr>
                <w:rFonts w:cs="Arial"/>
                <w:sz w:val="16"/>
                <w:szCs w:val="16"/>
                <w:highlight w:val="darkGray"/>
                <w:u w:val="single"/>
              </w:rPr>
            </w:pPr>
            <w:r w:rsidRPr="00B9629C">
              <w:rPr>
                <w:rFonts w:cs="Arial"/>
                <w:sz w:val="16"/>
                <w:szCs w:val="16"/>
                <w:highlight w:val="darkGray"/>
                <w:u w:val="single"/>
              </w:rPr>
              <w:t>Start protease inhibitor-based regimen:</w:t>
            </w:r>
          </w:p>
          <w:tbl>
            <w:tblPr>
              <w:tblpPr w:leftFromText="180" w:rightFromText="180" w:vertAnchor="text" w:horzAnchor="margin" w:tblpXSpec="right" w:tblpY="2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95"/>
            </w:tblGrid>
            <w:tr w:rsidR="00241A4E" w:rsidRPr="00B9629C" w14:paraId="38DE50B9" w14:textId="77777777" w:rsidTr="00241A4E">
              <w:tc>
                <w:tcPr>
                  <w:tcW w:w="795" w:type="dxa"/>
                  <w:shd w:val="clear" w:color="auto" w:fill="auto"/>
                </w:tcPr>
                <w:p w14:paraId="07ADFD62" w14:textId="77777777" w:rsidR="00241A4E" w:rsidRPr="00B9629C" w:rsidRDefault="00241A4E" w:rsidP="00241A4E">
                  <w:pPr>
                    <w:rPr>
                      <w:i/>
                      <w:sz w:val="14"/>
                      <w:highlight w:val="darkGray"/>
                    </w:rPr>
                  </w:pPr>
                  <w:r w:rsidRPr="00B9629C">
                    <w:rPr>
                      <w:i/>
                      <w:sz w:val="14"/>
                      <w:highlight w:val="darkGray"/>
                    </w:rPr>
                    <w:t>LoE:IIb</w:t>
                  </w:r>
                  <w:r w:rsidRPr="00B9629C">
                    <w:rPr>
                      <w:rStyle w:val="EndnoteReference"/>
                      <w:i/>
                      <w:sz w:val="14"/>
                      <w:highlight w:val="darkGray"/>
                    </w:rPr>
                    <w:endnoteReference w:id="13"/>
                  </w:r>
                </w:p>
              </w:tc>
            </w:tr>
          </w:tbl>
          <w:p w14:paraId="49122E1B" w14:textId="77777777" w:rsidR="00CF3767" w:rsidRPr="00B9629C" w:rsidRDefault="00CF3767" w:rsidP="00E3263A">
            <w:pPr>
              <w:tabs>
                <w:tab w:val="num" w:pos="1800"/>
              </w:tabs>
              <w:spacing w:line="276" w:lineRule="auto"/>
              <w:rPr>
                <w:rFonts w:cs="Arial"/>
                <w:sz w:val="16"/>
                <w:szCs w:val="16"/>
                <w:highlight w:val="darkGray"/>
              </w:rPr>
            </w:pPr>
            <w:r w:rsidRPr="00B9629C">
              <w:rPr>
                <w:rFonts w:cs="Arial"/>
                <w:sz w:val="16"/>
                <w:szCs w:val="16"/>
                <w:highlight w:val="darkGray"/>
              </w:rPr>
              <w:t>TDF + 3TC/FTC + ATV/r</w:t>
            </w:r>
          </w:p>
          <w:p w14:paraId="021660C2" w14:textId="2C7E929A" w:rsidR="00CF3767" w:rsidRPr="00B9629C" w:rsidRDefault="00CF3767" w:rsidP="00E3263A">
            <w:pPr>
              <w:tabs>
                <w:tab w:val="num" w:pos="1800"/>
              </w:tabs>
              <w:jc w:val="both"/>
              <w:rPr>
                <w:rFonts w:cs="Arial"/>
                <w:sz w:val="16"/>
                <w:szCs w:val="16"/>
                <w:highlight w:val="darkGray"/>
              </w:rPr>
            </w:pPr>
            <w:r w:rsidRPr="00B9629C">
              <w:rPr>
                <w:rFonts w:cs="Arial"/>
                <w:b/>
                <w:sz w:val="16"/>
                <w:szCs w:val="16"/>
                <w:highlight w:val="darkGray"/>
              </w:rPr>
              <w:t>Note:</w:t>
            </w:r>
            <w:r w:rsidRPr="00B9629C">
              <w:rPr>
                <w:rFonts w:cs="Arial"/>
                <w:sz w:val="16"/>
                <w:szCs w:val="16"/>
                <w:highlight w:val="darkGray"/>
              </w:rPr>
              <w:t xml:space="preserve"> if patient requires rifampicin-based TB treatment, substitute ATV/r </w:t>
            </w:r>
            <w:r w:rsidR="00455C4E" w:rsidRPr="00B9629C">
              <w:rPr>
                <w:rFonts w:cs="Arial"/>
                <w:sz w:val="16"/>
                <w:szCs w:val="16"/>
                <w:highlight w:val="darkGray"/>
              </w:rPr>
              <w:t xml:space="preserve">with </w:t>
            </w:r>
            <w:r w:rsidRPr="00B9629C">
              <w:rPr>
                <w:rFonts w:cs="Arial"/>
                <w:sz w:val="16"/>
                <w:szCs w:val="16"/>
                <w:highlight w:val="darkGray"/>
              </w:rPr>
              <w:t xml:space="preserve">LPV/r </w:t>
            </w:r>
            <w:r w:rsidR="00455C4E" w:rsidRPr="00B9629C">
              <w:rPr>
                <w:rFonts w:cs="Arial"/>
                <w:sz w:val="16"/>
                <w:szCs w:val="16"/>
                <w:highlight w:val="darkGray"/>
              </w:rPr>
              <w:t xml:space="preserve">at </w:t>
            </w:r>
            <w:r w:rsidRPr="00B9629C">
              <w:rPr>
                <w:rFonts w:cs="Arial"/>
                <w:sz w:val="16"/>
                <w:szCs w:val="16"/>
                <w:highlight w:val="darkGray"/>
              </w:rPr>
              <w:t xml:space="preserve">800/200 mg 12-hourly. </w:t>
            </w:r>
          </w:p>
          <w:p w14:paraId="2F8AACD9" w14:textId="77777777" w:rsidR="00CF3767" w:rsidRPr="00B9629C" w:rsidRDefault="00CF3767" w:rsidP="00E3263A">
            <w:pPr>
              <w:tabs>
                <w:tab w:val="num" w:pos="1800"/>
              </w:tabs>
              <w:jc w:val="both"/>
              <w:rPr>
                <w:rFonts w:cs="Arial"/>
                <w:color w:val="000000"/>
                <w:sz w:val="16"/>
                <w:szCs w:val="16"/>
                <w:highlight w:val="darkGray"/>
              </w:rPr>
            </w:pPr>
          </w:p>
          <w:p w14:paraId="7615C76A" w14:textId="3ED62CE0" w:rsidR="00CF3767" w:rsidRPr="00B9629C" w:rsidRDefault="00CF3767" w:rsidP="00E3263A">
            <w:pPr>
              <w:jc w:val="both"/>
              <w:rPr>
                <w:rFonts w:cs="Arial"/>
                <w:b/>
                <w:spacing w:val="-2"/>
                <w:sz w:val="16"/>
                <w:szCs w:val="16"/>
                <w:highlight w:val="darkGray"/>
              </w:rPr>
            </w:pPr>
            <w:r w:rsidRPr="00B9629C">
              <w:rPr>
                <w:rFonts w:cs="Arial"/>
                <w:b/>
                <w:spacing w:val="-2"/>
                <w:sz w:val="16"/>
                <w:szCs w:val="16"/>
                <w:highlight w:val="darkGray"/>
              </w:rPr>
              <w:t xml:space="preserve">Note: </w:t>
            </w:r>
            <w:r w:rsidRPr="00B9629C">
              <w:rPr>
                <w:rFonts w:cs="Arial"/>
                <w:spacing w:val="-2"/>
                <w:sz w:val="16"/>
                <w:szCs w:val="16"/>
                <w:highlight w:val="darkGray"/>
              </w:rPr>
              <w:t>There is an increased risk of ALT/AST elevations and gastrointestinal disorders. LPV/r dose should be gradually titrated upward over 1-2 weeks</w:t>
            </w:r>
            <w:r w:rsidR="007B64F9" w:rsidRPr="00B9629C">
              <w:rPr>
                <w:rFonts w:cs="Arial"/>
                <w:spacing w:val="-2"/>
                <w:sz w:val="16"/>
                <w:szCs w:val="16"/>
                <w:highlight w:val="darkGray"/>
              </w:rPr>
              <w:t xml:space="preserve"> (e.g. 600/150</w:t>
            </w:r>
            <w:r w:rsidR="00962CCB" w:rsidRPr="00B9629C">
              <w:rPr>
                <w:rFonts w:cs="Arial"/>
                <w:spacing w:val="-2"/>
                <w:sz w:val="16"/>
                <w:szCs w:val="16"/>
                <w:highlight w:val="darkGray"/>
              </w:rPr>
              <w:t xml:space="preserve"> mg</w:t>
            </w:r>
            <w:r w:rsidR="007B64F9" w:rsidRPr="00B9629C">
              <w:rPr>
                <w:rFonts w:cs="Arial"/>
                <w:spacing w:val="-2"/>
                <w:sz w:val="16"/>
                <w:szCs w:val="16"/>
                <w:highlight w:val="darkGray"/>
              </w:rPr>
              <w:t xml:space="preserve"> and then 800/200</w:t>
            </w:r>
            <w:r w:rsidR="00962CCB" w:rsidRPr="00B9629C">
              <w:rPr>
                <w:rFonts w:cs="Arial"/>
                <w:spacing w:val="-2"/>
                <w:sz w:val="16"/>
                <w:szCs w:val="16"/>
                <w:highlight w:val="darkGray"/>
              </w:rPr>
              <w:t xml:space="preserve"> </w:t>
            </w:r>
            <w:r w:rsidR="007B64F9" w:rsidRPr="00B9629C">
              <w:rPr>
                <w:rFonts w:cs="Arial"/>
                <w:spacing w:val="-2"/>
                <w:sz w:val="16"/>
                <w:szCs w:val="16"/>
                <w:highlight w:val="darkGray"/>
              </w:rPr>
              <w:t>mg)</w:t>
            </w:r>
            <w:r w:rsidRPr="00B9629C">
              <w:rPr>
                <w:rFonts w:cs="Arial"/>
                <w:spacing w:val="-2"/>
                <w:sz w:val="16"/>
                <w:szCs w:val="16"/>
                <w:highlight w:val="darkGray"/>
              </w:rPr>
              <w:t>.</w:t>
            </w:r>
          </w:p>
          <w:p w14:paraId="3C902265" w14:textId="77777777" w:rsidR="00CF3767" w:rsidRPr="00B9629C" w:rsidRDefault="00CF3767" w:rsidP="00E3263A">
            <w:pPr>
              <w:jc w:val="both"/>
              <w:rPr>
                <w:rFonts w:cs="Arial"/>
                <w:b/>
                <w:spacing w:val="-2"/>
                <w:sz w:val="16"/>
                <w:szCs w:val="16"/>
                <w:highlight w:val="darkGray"/>
              </w:rPr>
            </w:pPr>
          </w:p>
          <w:p w14:paraId="00846452" w14:textId="194F5617" w:rsidR="00CF3767" w:rsidRPr="00B9629C" w:rsidRDefault="00CF3767" w:rsidP="00E3263A">
            <w:pPr>
              <w:tabs>
                <w:tab w:val="num" w:pos="1800"/>
              </w:tabs>
              <w:jc w:val="both"/>
              <w:rPr>
                <w:rFonts w:cs="Arial"/>
                <w:color w:val="000000"/>
                <w:sz w:val="16"/>
                <w:szCs w:val="16"/>
                <w:highlight w:val="darkGray"/>
              </w:rPr>
            </w:pPr>
            <w:r w:rsidRPr="00B9629C">
              <w:rPr>
                <w:rFonts w:cs="Arial"/>
                <w:sz w:val="16"/>
                <w:szCs w:val="16"/>
                <w:highlight w:val="darkGray"/>
              </w:rPr>
              <w:t>The LPV/r can be switched back to ATV</w:t>
            </w:r>
            <w:r w:rsidR="00F4554F" w:rsidRPr="00B9629C">
              <w:rPr>
                <w:rFonts w:cs="Arial"/>
                <w:sz w:val="16"/>
                <w:szCs w:val="16"/>
                <w:highlight w:val="darkGray"/>
              </w:rPr>
              <w:t>/r</w:t>
            </w:r>
            <w:r w:rsidRPr="00B9629C">
              <w:rPr>
                <w:rFonts w:cs="Arial"/>
                <w:sz w:val="16"/>
                <w:szCs w:val="16"/>
                <w:highlight w:val="darkGray"/>
              </w:rPr>
              <w:t xml:space="preserve"> two weeks after completion of TB therapy.</w:t>
            </w:r>
          </w:p>
        </w:tc>
      </w:tr>
      <w:tr w:rsidR="00E07C61" w:rsidRPr="00B9629C" w14:paraId="05BD671A" w14:textId="77777777" w:rsidTr="00F7195A">
        <w:tc>
          <w:tcPr>
            <w:tcW w:w="1800" w:type="pct"/>
            <w:shd w:val="clear" w:color="auto" w:fill="auto"/>
          </w:tcPr>
          <w:p w14:paraId="6BB30189" w14:textId="77777777" w:rsidR="00E07C61" w:rsidRPr="00B9629C" w:rsidRDefault="00E07C61" w:rsidP="00E07C61">
            <w:pPr>
              <w:tabs>
                <w:tab w:val="num" w:pos="1800"/>
              </w:tabs>
              <w:rPr>
                <w:rFonts w:cs="Arial"/>
                <w:b/>
                <w:sz w:val="16"/>
                <w:szCs w:val="16"/>
                <w:highlight w:val="darkGray"/>
              </w:rPr>
            </w:pPr>
            <w:r w:rsidRPr="00B9629C">
              <w:rPr>
                <w:rFonts w:cs="Arial"/>
                <w:b/>
                <w:sz w:val="16"/>
                <w:szCs w:val="16"/>
                <w:highlight w:val="darkGray"/>
              </w:rPr>
              <w:t>Contraindication to TDF</w:t>
            </w:r>
          </w:p>
          <w:p w14:paraId="4D4EDD07" w14:textId="77777777" w:rsidR="00E07C61" w:rsidRPr="00B9629C" w:rsidRDefault="00E07C61" w:rsidP="009750A0">
            <w:pPr>
              <w:numPr>
                <w:ilvl w:val="0"/>
                <w:numId w:val="9"/>
              </w:numPr>
              <w:spacing w:before="0" w:after="0"/>
              <w:ind w:left="180" w:hanging="180"/>
              <w:rPr>
                <w:rFonts w:cs="Arial"/>
                <w:sz w:val="16"/>
                <w:szCs w:val="16"/>
                <w:highlight w:val="darkGray"/>
              </w:rPr>
            </w:pPr>
            <w:r w:rsidRPr="00B9629C">
              <w:rPr>
                <w:rFonts w:cs="Arial"/>
                <w:sz w:val="16"/>
                <w:szCs w:val="16"/>
                <w:highlight w:val="darkGray"/>
              </w:rPr>
              <w:t>eGFR &lt;50 mL/minute.</w:t>
            </w:r>
          </w:p>
          <w:p w14:paraId="658243E9" w14:textId="77777777" w:rsidR="00E07C61" w:rsidRPr="00B9629C" w:rsidRDefault="00E07C61" w:rsidP="00E07C61">
            <w:pPr>
              <w:ind w:left="180"/>
              <w:rPr>
                <w:rFonts w:cs="Arial"/>
                <w:sz w:val="16"/>
                <w:szCs w:val="16"/>
                <w:highlight w:val="darkGray"/>
              </w:rPr>
            </w:pPr>
          </w:p>
        </w:tc>
        <w:tc>
          <w:tcPr>
            <w:tcW w:w="3200" w:type="pct"/>
            <w:shd w:val="clear" w:color="auto" w:fill="auto"/>
          </w:tcPr>
          <w:p w14:paraId="007E498B" w14:textId="2E1784D3" w:rsidR="00E07C61" w:rsidRPr="00B9629C" w:rsidRDefault="00E07C61" w:rsidP="00E07C61">
            <w:pPr>
              <w:rPr>
                <w:rFonts w:cs="Arial"/>
                <w:sz w:val="16"/>
                <w:szCs w:val="16"/>
                <w:highlight w:val="darkGray"/>
              </w:rPr>
            </w:pPr>
            <w:r w:rsidRPr="00B9629C">
              <w:rPr>
                <w:rFonts w:cs="Arial"/>
                <w:sz w:val="16"/>
                <w:szCs w:val="16"/>
                <w:highlight w:val="darkGray"/>
                <w:u w:val="single"/>
              </w:rPr>
              <w:t>If chronic hepatitis B coinfection and eGFR 30</w:t>
            </w:r>
            <w:r w:rsidR="0029503D" w:rsidRPr="00B9629C">
              <w:rPr>
                <w:rFonts w:cs="Arial"/>
                <w:sz w:val="16"/>
                <w:szCs w:val="16"/>
                <w:highlight w:val="darkGray"/>
                <w:u w:val="single"/>
              </w:rPr>
              <w:noBreakHyphen/>
            </w:r>
            <w:r w:rsidRPr="00B9629C">
              <w:rPr>
                <w:rFonts w:cs="Arial"/>
                <w:sz w:val="16"/>
                <w:szCs w:val="16"/>
                <w:highlight w:val="darkGray"/>
                <w:u w:val="single"/>
              </w:rPr>
              <w:t>50 ml/min:</w:t>
            </w:r>
          </w:p>
          <w:p w14:paraId="11D877E9" w14:textId="77777777" w:rsidR="003E64AF" w:rsidRPr="00B9629C" w:rsidRDefault="00E07C61" w:rsidP="00E07C61">
            <w:pPr>
              <w:rPr>
                <w:rFonts w:cs="Arial"/>
                <w:sz w:val="16"/>
                <w:szCs w:val="16"/>
                <w:highlight w:val="darkGray"/>
              </w:rPr>
            </w:pPr>
            <w:r w:rsidRPr="00B9629C">
              <w:rPr>
                <w:rFonts w:cs="Arial"/>
                <w:sz w:val="16"/>
                <w:szCs w:val="16"/>
                <w:highlight w:val="darkGray"/>
              </w:rPr>
              <w:t>TAF + FTC + DTG.</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34"/>
            </w:tblGrid>
            <w:tr w:rsidR="003E64AF" w:rsidRPr="00B9629C" w14:paraId="2C0664E1" w14:textId="77777777" w:rsidTr="003E64AF">
              <w:tc>
                <w:tcPr>
                  <w:tcW w:w="1134" w:type="dxa"/>
                  <w:shd w:val="clear" w:color="auto" w:fill="auto"/>
                </w:tcPr>
                <w:p w14:paraId="387CEFC0" w14:textId="0EEDDBE1" w:rsidR="003E64AF" w:rsidRPr="00B9629C" w:rsidRDefault="003E64AF" w:rsidP="003E64AF">
                  <w:pPr>
                    <w:jc w:val="right"/>
                    <w:rPr>
                      <w:i/>
                      <w:sz w:val="14"/>
                      <w:highlight w:val="darkGray"/>
                    </w:rPr>
                  </w:pPr>
                  <w:r w:rsidRPr="00B9629C">
                    <w:rPr>
                      <w:i/>
                      <w:sz w:val="14"/>
                      <w:highlight w:val="darkGray"/>
                    </w:rPr>
                    <w:t>LoE:IIb</w:t>
                  </w:r>
                  <w:r w:rsidRPr="00B9629C">
                    <w:rPr>
                      <w:rStyle w:val="EndnoteReference"/>
                      <w:i/>
                      <w:sz w:val="14"/>
                      <w:highlight w:val="darkGray"/>
                    </w:rPr>
                    <w:endnoteReference w:id="14"/>
                  </w:r>
                </w:p>
              </w:tc>
            </w:tr>
          </w:tbl>
          <w:p w14:paraId="34189266" w14:textId="77777777" w:rsidR="00E07C61" w:rsidRPr="00B9629C" w:rsidRDefault="00E07C61" w:rsidP="00E07C61">
            <w:pPr>
              <w:rPr>
                <w:rFonts w:cs="Arial"/>
                <w:sz w:val="16"/>
                <w:szCs w:val="16"/>
                <w:highlight w:val="darkGray"/>
                <w:u w:val="single"/>
              </w:rPr>
            </w:pPr>
            <w:r w:rsidRPr="00B9629C">
              <w:rPr>
                <w:rFonts w:cs="Arial"/>
                <w:sz w:val="16"/>
                <w:szCs w:val="16"/>
                <w:highlight w:val="darkGray"/>
                <w:u w:val="single"/>
              </w:rPr>
              <w:t>Other scenarios:</w:t>
            </w:r>
          </w:p>
          <w:p w14:paraId="2DB518ED" w14:textId="77777777" w:rsidR="00E07C61" w:rsidRPr="00B9629C" w:rsidRDefault="00E07C61" w:rsidP="00E07C61">
            <w:pPr>
              <w:rPr>
                <w:rFonts w:cs="Arial"/>
                <w:sz w:val="16"/>
                <w:szCs w:val="16"/>
                <w:highlight w:val="darkGray"/>
              </w:rPr>
            </w:pPr>
            <w:r w:rsidRPr="00B9629C">
              <w:rPr>
                <w:rFonts w:cs="Arial"/>
                <w:sz w:val="16"/>
                <w:szCs w:val="16"/>
                <w:highlight w:val="darkGray"/>
              </w:rPr>
              <w:t>ABC + 3TC + DTG</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89"/>
            </w:tblGrid>
            <w:tr w:rsidR="00E07C61" w:rsidRPr="00B9629C" w14:paraId="26C7A1D1" w14:textId="77777777" w:rsidTr="00A06621">
              <w:tc>
                <w:tcPr>
                  <w:tcW w:w="789" w:type="dxa"/>
                  <w:shd w:val="clear" w:color="auto" w:fill="auto"/>
                </w:tcPr>
                <w:p w14:paraId="178A1155" w14:textId="5618EE13" w:rsidR="00E07C61" w:rsidRPr="00B9629C" w:rsidRDefault="00E07C61" w:rsidP="003E64AF">
                  <w:pPr>
                    <w:jc w:val="right"/>
                    <w:rPr>
                      <w:i/>
                      <w:sz w:val="14"/>
                      <w:highlight w:val="darkGray"/>
                    </w:rPr>
                  </w:pPr>
                  <w:r w:rsidRPr="00B9629C">
                    <w:rPr>
                      <w:i/>
                      <w:sz w:val="14"/>
                      <w:highlight w:val="darkGray"/>
                    </w:rPr>
                    <w:t>LoE:IIb</w:t>
                  </w:r>
                  <w:r w:rsidRPr="00B9629C">
                    <w:rPr>
                      <w:rStyle w:val="EndnoteReference"/>
                      <w:i/>
                      <w:sz w:val="14"/>
                      <w:highlight w:val="darkGray"/>
                    </w:rPr>
                    <w:endnoteReference w:id="15"/>
                  </w:r>
                </w:p>
              </w:tc>
            </w:tr>
          </w:tbl>
          <w:p w14:paraId="4613EECF" w14:textId="77777777" w:rsidR="00E07C61" w:rsidRPr="00B9629C" w:rsidRDefault="00E07C61" w:rsidP="00E07C61">
            <w:pPr>
              <w:rPr>
                <w:rFonts w:cs="Arial"/>
                <w:color w:val="00B050"/>
                <w:sz w:val="16"/>
                <w:szCs w:val="16"/>
                <w:highlight w:val="darkGray"/>
              </w:rPr>
            </w:pPr>
          </w:p>
        </w:tc>
      </w:tr>
      <w:tr w:rsidR="00E07C61" w:rsidRPr="00B9629C" w14:paraId="087807B3" w14:textId="77777777" w:rsidTr="00F7195A">
        <w:tc>
          <w:tcPr>
            <w:tcW w:w="1800" w:type="pct"/>
            <w:shd w:val="clear" w:color="auto" w:fill="auto"/>
          </w:tcPr>
          <w:p w14:paraId="076535AA" w14:textId="1A70C487" w:rsidR="00E07C61" w:rsidRPr="00B9629C" w:rsidRDefault="00E07C61" w:rsidP="007316A1">
            <w:pPr>
              <w:rPr>
                <w:rFonts w:cs="Arial"/>
                <w:sz w:val="16"/>
                <w:szCs w:val="16"/>
                <w:highlight w:val="darkGray"/>
              </w:rPr>
            </w:pPr>
            <w:r w:rsidRPr="00B9629C">
              <w:rPr>
                <w:rFonts w:cs="Arial"/>
                <w:b/>
                <w:sz w:val="16"/>
                <w:szCs w:val="16"/>
                <w:highlight w:val="darkGray"/>
              </w:rPr>
              <w:t>Contraindication to TDF/TAF and ABC intoleranc</w:t>
            </w:r>
            <w:r w:rsidRPr="00B9629C">
              <w:rPr>
                <w:rFonts w:cs="Arial"/>
                <w:b/>
                <w:bCs/>
                <w:sz w:val="16"/>
                <w:szCs w:val="16"/>
                <w:highlight w:val="darkGray"/>
              </w:rPr>
              <w:t>e</w:t>
            </w:r>
            <w:r w:rsidR="00707F78" w:rsidRPr="00B9629C">
              <w:rPr>
                <w:rFonts w:cs="Arial"/>
                <w:b/>
                <w:bCs/>
                <w:sz w:val="16"/>
                <w:szCs w:val="16"/>
                <w:highlight w:val="darkGray"/>
              </w:rPr>
              <w:t>/</w:t>
            </w:r>
            <w:r w:rsidR="00707F78" w:rsidRPr="00B9629C">
              <w:rPr>
                <w:rFonts w:cs="Arial"/>
                <w:b/>
                <w:sz w:val="16"/>
                <w:szCs w:val="16"/>
                <w:highlight w:val="darkGray"/>
              </w:rPr>
              <w:t>hypersensitivity</w:t>
            </w:r>
          </w:p>
        </w:tc>
        <w:tc>
          <w:tcPr>
            <w:tcW w:w="3200" w:type="pct"/>
            <w:shd w:val="clear" w:color="auto" w:fill="auto"/>
          </w:tcPr>
          <w:p w14:paraId="372803B7" w14:textId="13FA89BF" w:rsidR="00E07C61" w:rsidRPr="00B9629C" w:rsidRDefault="00E07C61" w:rsidP="00E07C61">
            <w:pPr>
              <w:rPr>
                <w:rFonts w:cs="Arial"/>
                <w:b/>
                <w:strike/>
                <w:sz w:val="16"/>
                <w:szCs w:val="16"/>
                <w:highlight w:val="darkGray"/>
              </w:rPr>
            </w:pPr>
            <w:r w:rsidRPr="00B9629C">
              <w:rPr>
                <w:rFonts w:cs="Arial"/>
                <w:sz w:val="16"/>
                <w:szCs w:val="16"/>
                <w:highlight w:val="darkGray"/>
              </w:rPr>
              <w:t xml:space="preserve">AZT + 3TC with DTG </w:t>
            </w:r>
          </w:p>
          <w:p w14:paraId="15235B73" w14:textId="77777777" w:rsidR="00E07C61" w:rsidRPr="00B9629C" w:rsidRDefault="00E07C61" w:rsidP="00E07C61">
            <w:pPr>
              <w:rPr>
                <w:rFonts w:cs="Arial"/>
                <w:b/>
                <w:color w:val="00FF00"/>
                <w:sz w:val="16"/>
                <w:szCs w:val="16"/>
                <w:highlight w:val="darkGray"/>
              </w:rPr>
            </w:pPr>
          </w:p>
        </w:tc>
      </w:tr>
      <w:tr w:rsidR="00E07C61" w:rsidRPr="00B9629C" w14:paraId="34F36B49" w14:textId="77777777" w:rsidTr="00E3263A">
        <w:tc>
          <w:tcPr>
            <w:tcW w:w="5000" w:type="pct"/>
            <w:gridSpan w:val="2"/>
            <w:shd w:val="clear" w:color="auto" w:fill="auto"/>
          </w:tcPr>
          <w:p w14:paraId="7FCC04FD" w14:textId="5F0F0112" w:rsidR="00E07C61" w:rsidRPr="00B9629C" w:rsidRDefault="00E07C61" w:rsidP="00E07C61">
            <w:pPr>
              <w:jc w:val="both"/>
              <w:rPr>
                <w:rFonts w:cs="Arial"/>
                <w:spacing w:val="-2"/>
                <w:sz w:val="16"/>
                <w:szCs w:val="16"/>
                <w:highlight w:val="darkGray"/>
              </w:rPr>
            </w:pPr>
            <w:r w:rsidRPr="00B9629C">
              <w:rPr>
                <w:b/>
                <w:spacing w:val="-2"/>
                <w:sz w:val="16"/>
                <w:szCs w:val="16"/>
                <w:highlight w:val="darkGray"/>
              </w:rPr>
              <w:t>Note:</w:t>
            </w:r>
            <w:r w:rsidRPr="00B9629C">
              <w:rPr>
                <w:spacing w:val="-2"/>
                <w:sz w:val="16"/>
                <w:szCs w:val="16"/>
                <w:highlight w:val="darkGray"/>
              </w:rPr>
              <w:t xml:space="preserve"> </w:t>
            </w:r>
            <w:r w:rsidR="00A06621" w:rsidRPr="00B9629C">
              <w:rPr>
                <w:spacing w:val="-2"/>
                <w:sz w:val="16"/>
                <w:szCs w:val="16"/>
                <w:highlight w:val="darkGray"/>
              </w:rPr>
              <w:t xml:space="preserve">In the unlikely scenario where there is intolerance/contraindication to all currently available NRTIs, the following alternative dual-therapy regimens may be used </w:t>
            </w:r>
            <w:r w:rsidR="00A06621" w:rsidRPr="00B9629C">
              <w:rPr>
                <w:b/>
                <w:bCs/>
                <w:spacing w:val="-2"/>
                <w:sz w:val="16"/>
                <w:szCs w:val="16"/>
                <w:highlight w:val="darkGray"/>
              </w:rPr>
              <w:t>after</w:t>
            </w:r>
            <w:r w:rsidR="00A06621" w:rsidRPr="00B9629C">
              <w:rPr>
                <w:spacing w:val="-2"/>
                <w:sz w:val="16"/>
                <w:szCs w:val="16"/>
                <w:highlight w:val="darkGray"/>
              </w:rPr>
              <w:t xml:space="preserve"> consulting a specialist:</w:t>
            </w:r>
          </w:p>
          <w:p w14:paraId="29232BB9" w14:textId="77777777" w:rsidR="00A06621" w:rsidRPr="00B9629C" w:rsidRDefault="00A06621" w:rsidP="009750A0">
            <w:pPr>
              <w:numPr>
                <w:ilvl w:val="0"/>
                <w:numId w:val="35"/>
              </w:numPr>
              <w:spacing w:before="0" w:after="0" w:line="276" w:lineRule="auto"/>
              <w:contextualSpacing/>
              <w:jc w:val="both"/>
              <w:rPr>
                <w:rFonts w:eastAsia="Calibri" w:cs="Arial"/>
                <w:spacing w:val="-2"/>
                <w:sz w:val="16"/>
                <w:szCs w:val="16"/>
                <w:highlight w:val="darkGray"/>
              </w:rPr>
            </w:pPr>
            <w:r w:rsidRPr="00B9629C">
              <w:rPr>
                <w:rFonts w:eastAsia="Calibri" w:cs="Arial"/>
                <w:spacing w:val="-2"/>
                <w:sz w:val="16"/>
                <w:szCs w:val="16"/>
                <w:highlight w:val="darkGray"/>
              </w:rPr>
              <w:t xml:space="preserve">DTG + 3TC (if no resistance/intolerance to 3TC and VL &lt;500 000 copies/mL) </w:t>
            </w:r>
          </w:p>
          <w:p w14:paraId="45512EC0" w14:textId="77777777" w:rsidR="00A06621" w:rsidRPr="00B9629C" w:rsidRDefault="00A06621" w:rsidP="009750A0">
            <w:pPr>
              <w:numPr>
                <w:ilvl w:val="0"/>
                <w:numId w:val="35"/>
              </w:numPr>
              <w:spacing w:before="0" w:after="0" w:line="276" w:lineRule="auto"/>
              <w:contextualSpacing/>
              <w:jc w:val="both"/>
              <w:rPr>
                <w:rFonts w:eastAsia="Calibri" w:cs="Arial"/>
                <w:spacing w:val="-2"/>
                <w:sz w:val="16"/>
                <w:szCs w:val="16"/>
                <w:highlight w:val="darkGray"/>
              </w:rPr>
            </w:pPr>
            <w:r w:rsidRPr="00B9629C">
              <w:rPr>
                <w:rFonts w:eastAsia="Calibri" w:cs="Arial"/>
                <w:spacing w:val="-2"/>
                <w:sz w:val="16"/>
                <w:szCs w:val="16"/>
                <w:highlight w:val="darkGray"/>
              </w:rPr>
              <w:t xml:space="preserve">EFV + LPV/r </w:t>
            </w:r>
          </w:p>
          <w:tbl>
            <w:tblPr>
              <w:tblpPr w:leftFromText="180" w:rightFromText="180" w:vertAnchor="text" w:horzAnchor="margin" w:tblpXSpec="right" w:tblpY="-15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04"/>
            </w:tblGrid>
            <w:tr w:rsidR="00A06621" w:rsidRPr="00B9629C" w14:paraId="531A7FF1" w14:textId="77777777" w:rsidTr="00A06621">
              <w:tc>
                <w:tcPr>
                  <w:tcW w:w="804" w:type="dxa"/>
                  <w:shd w:val="clear" w:color="auto" w:fill="auto"/>
                </w:tcPr>
                <w:p w14:paraId="5523A269" w14:textId="77777777" w:rsidR="00A06621" w:rsidRPr="00B9629C" w:rsidRDefault="00A06621" w:rsidP="00A06621">
                  <w:pPr>
                    <w:jc w:val="right"/>
                    <w:rPr>
                      <w:rFonts w:cs="Arial"/>
                      <w:i/>
                      <w:sz w:val="14"/>
                      <w:highlight w:val="darkGray"/>
                    </w:rPr>
                  </w:pPr>
                  <w:r w:rsidRPr="00B9629C">
                    <w:rPr>
                      <w:rFonts w:cs="Arial"/>
                      <w:i/>
                      <w:sz w:val="14"/>
                      <w:highlight w:val="darkGray"/>
                    </w:rPr>
                    <w:t>LoE:IIb</w:t>
                  </w:r>
                  <w:r w:rsidRPr="00B9629C">
                    <w:rPr>
                      <w:rStyle w:val="EndnoteReference"/>
                      <w:rFonts w:cs="Arial"/>
                      <w:i/>
                      <w:sz w:val="14"/>
                      <w:highlight w:val="darkGray"/>
                    </w:rPr>
                    <w:endnoteReference w:id="16"/>
                  </w:r>
                </w:p>
              </w:tc>
            </w:tr>
          </w:tbl>
          <w:p w14:paraId="1563E922" w14:textId="40D8B96C" w:rsidR="00E07C61" w:rsidRPr="00B9629C" w:rsidRDefault="00A06621" w:rsidP="009750A0">
            <w:pPr>
              <w:numPr>
                <w:ilvl w:val="0"/>
                <w:numId w:val="35"/>
              </w:numPr>
              <w:spacing w:before="0" w:after="0" w:line="276" w:lineRule="auto"/>
              <w:contextualSpacing/>
              <w:jc w:val="both"/>
              <w:rPr>
                <w:rFonts w:cs="Arial"/>
                <w:spacing w:val="-2"/>
                <w:sz w:val="16"/>
                <w:szCs w:val="16"/>
                <w:highlight w:val="darkGray"/>
              </w:rPr>
            </w:pPr>
            <w:r w:rsidRPr="00B9629C">
              <w:rPr>
                <w:rFonts w:eastAsia="Calibri" w:cs="Arial"/>
                <w:spacing w:val="-2"/>
                <w:sz w:val="16"/>
                <w:szCs w:val="16"/>
                <w:highlight w:val="darkGray"/>
              </w:rPr>
              <w:t>DTG + LPV/r</w:t>
            </w:r>
            <w:r w:rsidRPr="00B9629C">
              <w:rPr>
                <w:rFonts w:ascii="Calibri" w:eastAsia="Calibri" w:hAnsi="Calibri" w:cs="Times New Roman"/>
                <w:spacing w:val="-2"/>
                <w:sz w:val="16"/>
                <w:szCs w:val="16"/>
                <w:highlight w:val="darkGray"/>
              </w:rPr>
              <w:t xml:space="preserve"> </w:t>
            </w:r>
          </w:p>
        </w:tc>
      </w:tr>
      <w:tr w:rsidR="00E07C61" w:rsidRPr="00B9629C" w14:paraId="15160B6C" w14:textId="77777777" w:rsidTr="00E3263A">
        <w:tc>
          <w:tcPr>
            <w:tcW w:w="5000" w:type="pct"/>
            <w:gridSpan w:val="2"/>
            <w:shd w:val="clear" w:color="auto" w:fill="D9D9D9" w:themeFill="background1" w:themeFillShade="D9"/>
          </w:tcPr>
          <w:p w14:paraId="79679041" w14:textId="77777777" w:rsidR="00E07C61" w:rsidRPr="00B9629C" w:rsidRDefault="00E07C61" w:rsidP="00E07C61">
            <w:pPr>
              <w:spacing w:line="276" w:lineRule="auto"/>
              <w:jc w:val="center"/>
              <w:rPr>
                <w:rFonts w:cs="Arial"/>
                <w:highlight w:val="darkGray"/>
              </w:rPr>
            </w:pPr>
            <w:r w:rsidRPr="00B9629C">
              <w:rPr>
                <w:rFonts w:cs="Arial"/>
                <w:b/>
                <w:highlight w:val="darkGray"/>
              </w:rPr>
              <w:t>VIROLOGICAL FAILURE</w:t>
            </w:r>
          </w:p>
        </w:tc>
      </w:tr>
      <w:tr w:rsidR="00E07C61" w:rsidRPr="00B9629C" w14:paraId="4A5504D6" w14:textId="77777777" w:rsidTr="00F7195A">
        <w:tc>
          <w:tcPr>
            <w:tcW w:w="1800" w:type="pct"/>
            <w:shd w:val="clear" w:color="auto" w:fill="auto"/>
          </w:tcPr>
          <w:p w14:paraId="09C0E0D1" w14:textId="77777777" w:rsidR="00E07C61" w:rsidRPr="00B9629C" w:rsidRDefault="00E07C61" w:rsidP="00E07C61">
            <w:pPr>
              <w:rPr>
                <w:rFonts w:cs="Arial"/>
                <w:b/>
                <w:sz w:val="16"/>
                <w:szCs w:val="16"/>
                <w:highlight w:val="darkGray"/>
              </w:rPr>
            </w:pPr>
            <w:r w:rsidRPr="00B9629C">
              <w:rPr>
                <w:rFonts w:cs="Arial"/>
                <w:b/>
                <w:sz w:val="16"/>
                <w:szCs w:val="16"/>
                <w:highlight w:val="darkGray"/>
              </w:rPr>
              <w:t>Management of viraemia on TLD</w:t>
            </w:r>
          </w:p>
        </w:tc>
        <w:tc>
          <w:tcPr>
            <w:tcW w:w="3200" w:type="pct"/>
            <w:shd w:val="clear" w:color="auto" w:fill="auto"/>
          </w:tcPr>
          <w:p w14:paraId="477D5657" w14:textId="77777777" w:rsidR="00E07C61" w:rsidRPr="00B9629C" w:rsidRDefault="00E07C61" w:rsidP="00E07C61">
            <w:pPr>
              <w:rPr>
                <w:rFonts w:cs="Arial"/>
                <w:spacing w:val="-2"/>
                <w:sz w:val="16"/>
                <w:szCs w:val="16"/>
                <w:highlight w:val="darkGray"/>
                <w:u w:val="single"/>
              </w:rPr>
            </w:pPr>
            <w:r w:rsidRPr="00B9629C">
              <w:rPr>
                <w:rFonts w:cs="Arial"/>
                <w:spacing w:val="-2"/>
                <w:sz w:val="16"/>
                <w:szCs w:val="16"/>
                <w:highlight w:val="darkGray"/>
                <w:u w:val="single"/>
              </w:rPr>
              <w:t>If plasma VL &gt;50 copies/mL:</w:t>
            </w:r>
          </w:p>
          <w:p w14:paraId="2E662C16" w14:textId="77777777" w:rsidR="00E07C61" w:rsidRPr="00B9629C" w:rsidRDefault="00E07C61" w:rsidP="009750A0">
            <w:pPr>
              <w:numPr>
                <w:ilvl w:val="0"/>
                <w:numId w:val="23"/>
              </w:numPr>
              <w:spacing w:before="0" w:after="0"/>
              <w:ind w:left="163" w:hanging="163"/>
              <w:rPr>
                <w:rFonts w:cs="Arial"/>
                <w:spacing w:val="-2"/>
                <w:sz w:val="16"/>
                <w:szCs w:val="16"/>
                <w:highlight w:val="darkGray"/>
              </w:rPr>
            </w:pPr>
            <w:r w:rsidRPr="00B9629C">
              <w:rPr>
                <w:rFonts w:cs="Arial"/>
                <w:spacing w:val="-2"/>
                <w:sz w:val="16"/>
                <w:szCs w:val="16"/>
                <w:highlight w:val="darkGray"/>
              </w:rPr>
              <w:lastRenderedPageBreak/>
              <w:t>Address adherence, tolerability, medicine interactions &amp; psychosocial factors.</w:t>
            </w:r>
          </w:p>
          <w:p w14:paraId="20B611B9" w14:textId="77777777" w:rsidR="00E07C61" w:rsidRPr="00B9629C" w:rsidRDefault="00E07C61" w:rsidP="009750A0">
            <w:pPr>
              <w:numPr>
                <w:ilvl w:val="0"/>
                <w:numId w:val="23"/>
              </w:numPr>
              <w:spacing w:before="0" w:after="0"/>
              <w:ind w:left="163" w:hanging="163"/>
              <w:rPr>
                <w:rFonts w:cs="Arial"/>
                <w:sz w:val="16"/>
                <w:szCs w:val="16"/>
                <w:highlight w:val="darkGray"/>
              </w:rPr>
            </w:pPr>
            <w:r w:rsidRPr="00B9629C">
              <w:rPr>
                <w:rFonts w:cs="Arial"/>
                <w:sz w:val="16"/>
                <w:szCs w:val="16"/>
                <w:highlight w:val="darkGray"/>
              </w:rPr>
              <w:t>Repeat VL test 3 months later.</w:t>
            </w:r>
          </w:p>
          <w:p w14:paraId="03D2B5DC" w14:textId="77777777" w:rsidR="00E07C61" w:rsidRPr="00B9629C" w:rsidRDefault="00E07C61" w:rsidP="00E07C61">
            <w:pPr>
              <w:ind w:left="163"/>
              <w:rPr>
                <w:rFonts w:cs="Arial"/>
                <w:sz w:val="10"/>
                <w:szCs w:val="16"/>
                <w:highlight w:val="darkGray"/>
              </w:rPr>
            </w:pPr>
          </w:p>
          <w:p w14:paraId="45976F9F" w14:textId="081C9280" w:rsidR="00E07C61" w:rsidRPr="00B9629C" w:rsidRDefault="00E07C61" w:rsidP="00E07C61">
            <w:pPr>
              <w:rPr>
                <w:rFonts w:cs="Arial"/>
                <w:sz w:val="16"/>
                <w:szCs w:val="16"/>
                <w:highlight w:val="darkGray"/>
                <w:u w:val="single"/>
              </w:rPr>
            </w:pPr>
            <w:r w:rsidRPr="00B9629C">
              <w:rPr>
                <w:rFonts w:cs="Arial"/>
                <w:sz w:val="16"/>
                <w:szCs w:val="16"/>
                <w:highlight w:val="darkGray"/>
                <w:u w:val="single"/>
              </w:rPr>
              <w:t xml:space="preserve">If plasma VL remains </w:t>
            </w:r>
            <w:r w:rsidR="00724290" w:rsidRPr="00B9629C">
              <w:rPr>
                <w:rFonts w:cs="Arial"/>
                <w:sz w:val="16"/>
                <w:szCs w:val="16"/>
                <w:highlight w:val="darkGray"/>
                <w:u w:val="single"/>
              </w:rPr>
              <w:t>&gt;</w:t>
            </w:r>
            <w:r w:rsidRPr="00B9629C">
              <w:rPr>
                <w:rFonts w:cs="Arial"/>
                <w:sz w:val="16"/>
                <w:szCs w:val="16"/>
                <w:highlight w:val="darkGray"/>
                <w:u w:val="single"/>
              </w:rPr>
              <w:t>50:</w:t>
            </w:r>
          </w:p>
          <w:p w14:paraId="5DA1F12A" w14:textId="77777777" w:rsidR="00E07C61" w:rsidRPr="00B9629C" w:rsidRDefault="00E07C61" w:rsidP="009750A0">
            <w:pPr>
              <w:numPr>
                <w:ilvl w:val="0"/>
                <w:numId w:val="23"/>
              </w:numPr>
              <w:spacing w:before="0" w:after="0"/>
              <w:ind w:left="163" w:hanging="163"/>
              <w:rPr>
                <w:rFonts w:cs="Arial"/>
                <w:spacing w:val="-2"/>
                <w:sz w:val="16"/>
                <w:szCs w:val="16"/>
                <w:highlight w:val="darkGray"/>
              </w:rPr>
            </w:pPr>
            <w:r w:rsidRPr="00B9629C">
              <w:rPr>
                <w:rFonts w:cs="Arial"/>
                <w:spacing w:val="-2"/>
                <w:sz w:val="16"/>
                <w:szCs w:val="16"/>
                <w:highlight w:val="darkGray"/>
              </w:rPr>
              <w:t>Assess adherence, tolerability, medicine interactions &amp; psychosocial factors again.</w:t>
            </w:r>
          </w:p>
          <w:p w14:paraId="28ADC043" w14:textId="77777777" w:rsidR="00E07C61" w:rsidRPr="00B9629C" w:rsidRDefault="00E07C61" w:rsidP="009750A0">
            <w:pPr>
              <w:numPr>
                <w:ilvl w:val="0"/>
                <w:numId w:val="23"/>
              </w:numPr>
              <w:spacing w:before="0" w:after="0"/>
              <w:ind w:left="163" w:hanging="163"/>
              <w:rPr>
                <w:rFonts w:cs="Arial"/>
                <w:spacing w:val="-2"/>
                <w:sz w:val="16"/>
                <w:szCs w:val="16"/>
                <w:highlight w:val="darkGray"/>
              </w:rPr>
            </w:pPr>
            <w:r w:rsidRPr="00B9629C">
              <w:rPr>
                <w:rFonts w:cs="Arial"/>
                <w:spacing w:val="-2"/>
                <w:sz w:val="16"/>
                <w:szCs w:val="16"/>
                <w:highlight w:val="darkGray"/>
              </w:rPr>
              <w:t>If on TLD &lt;2 years, or persistent low-level viraemia (50-999 copies/mL), or adherence suboptimal, repeat VL at next scheduled visit (i.e. in 6 months’ time).</w:t>
            </w:r>
          </w:p>
          <w:p w14:paraId="2CB58250" w14:textId="77777777" w:rsidR="00E07C61" w:rsidRPr="00B9629C" w:rsidRDefault="00E07C61" w:rsidP="009750A0">
            <w:pPr>
              <w:numPr>
                <w:ilvl w:val="0"/>
                <w:numId w:val="23"/>
              </w:numPr>
              <w:spacing w:before="0" w:after="0"/>
              <w:ind w:left="163" w:hanging="163"/>
              <w:rPr>
                <w:rFonts w:cs="Arial"/>
                <w:spacing w:val="-2"/>
                <w:sz w:val="16"/>
                <w:szCs w:val="16"/>
                <w:highlight w:val="darkGray"/>
                <w:u w:val="single"/>
              </w:rPr>
            </w:pPr>
            <w:r w:rsidRPr="00B9629C">
              <w:rPr>
                <w:rFonts w:cs="Arial"/>
                <w:spacing w:val="-2"/>
                <w:sz w:val="16"/>
                <w:szCs w:val="16"/>
                <w:highlight w:val="darkGray"/>
              </w:rPr>
              <w:t xml:space="preserve">If on TLD &gt;2 years and </w:t>
            </w:r>
            <w:r w:rsidRPr="00B9629C">
              <w:rPr>
                <w:rFonts w:ascii="Symbol" w:eastAsia="Symbol" w:hAnsi="Symbol" w:cs="Symbol"/>
                <w:spacing w:val="-2"/>
                <w:sz w:val="16"/>
                <w:szCs w:val="16"/>
                <w:highlight w:val="darkGray"/>
              </w:rPr>
              <w:t></w:t>
            </w:r>
            <w:r w:rsidRPr="00B9629C">
              <w:rPr>
                <w:rFonts w:cs="Arial"/>
                <w:spacing w:val="-2"/>
                <w:sz w:val="16"/>
                <w:szCs w:val="16"/>
                <w:highlight w:val="darkGray"/>
              </w:rPr>
              <w:t xml:space="preserve">2 consecutive VL </w:t>
            </w:r>
            <w:bookmarkStart w:id="6" w:name="OLE_LINK1"/>
            <w:bookmarkStart w:id="7" w:name="OLE_LINK2"/>
            <w:r w:rsidRPr="00B9629C">
              <w:rPr>
                <w:rFonts w:ascii="Symbol" w:eastAsia="Symbol" w:hAnsi="Symbol" w:cs="Symbol"/>
                <w:spacing w:val="-2"/>
                <w:sz w:val="16"/>
                <w:szCs w:val="16"/>
                <w:highlight w:val="darkGray"/>
              </w:rPr>
              <w:t></w:t>
            </w:r>
            <w:r w:rsidRPr="00B9629C">
              <w:rPr>
                <w:rFonts w:cs="Arial"/>
                <w:spacing w:val="-2"/>
                <w:sz w:val="16"/>
                <w:szCs w:val="16"/>
                <w:highlight w:val="darkGray"/>
              </w:rPr>
              <w:t xml:space="preserve">1000 copies/mL </w:t>
            </w:r>
            <w:bookmarkEnd w:id="6"/>
            <w:bookmarkEnd w:id="7"/>
            <w:r w:rsidRPr="00B9629C">
              <w:rPr>
                <w:rFonts w:cs="Arial"/>
                <w:spacing w:val="-2"/>
                <w:sz w:val="16"/>
                <w:szCs w:val="16"/>
                <w:highlight w:val="darkGray"/>
              </w:rPr>
              <w:t xml:space="preserve">(or 1 VL </w:t>
            </w:r>
            <w:r w:rsidRPr="00B9629C">
              <w:rPr>
                <w:rFonts w:ascii="Symbol" w:eastAsia="Symbol" w:hAnsi="Symbol" w:cs="Symbol"/>
                <w:spacing w:val="-2"/>
                <w:sz w:val="16"/>
                <w:szCs w:val="16"/>
                <w:highlight w:val="darkGray"/>
              </w:rPr>
              <w:t></w:t>
            </w:r>
            <w:r w:rsidRPr="00B9629C">
              <w:rPr>
                <w:rFonts w:cs="Arial"/>
                <w:spacing w:val="-2"/>
                <w:sz w:val="16"/>
                <w:szCs w:val="16"/>
                <w:highlight w:val="darkGray"/>
              </w:rPr>
              <w:t>1000 copies/mL plus CD4 &lt;200 or opportunistic infection), discuss with an HIV expert* whether a resistance test is indicated (as a rule it is not, and efforts to resolve adherence issues should be intensified instead).</w:t>
            </w:r>
          </w:p>
        </w:tc>
      </w:tr>
      <w:tr w:rsidR="00E07C61" w:rsidRPr="00B9629C" w14:paraId="6E719777" w14:textId="77777777" w:rsidTr="00E3263A">
        <w:tc>
          <w:tcPr>
            <w:tcW w:w="5000" w:type="pct"/>
            <w:gridSpan w:val="2"/>
            <w:shd w:val="clear" w:color="auto" w:fill="D9D9D9" w:themeFill="background1" w:themeFillShade="D9"/>
          </w:tcPr>
          <w:p w14:paraId="7E94333C" w14:textId="77777777" w:rsidR="00AC34C6" w:rsidRPr="00B9629C" w:rsidRDefault="00E07C61" w:rsidP="00327E72">
            <w:pPr>
              <w:autoSpaceDE w:val="0"/>
              <w:autoSpaceDN w:val="0"/>
              <w:adjustRightInd w:val="0"/>
              <w:jc w:val="center"/>
              <w:rPr>
                <w:rFonts w:cs="Arial"/>
                <w:b/>
                <w:highlight w:val="darkGray"/>
              </w:rPr>
            </w:pPr>
            <w:r w:rsidRPr="00B9629C">
              <w:rPr>
                <w:rFonts w:cs="Arial"/>
                <w:b/>
                <w:highlight w:val="darkGray"/>
              </w:rPr>
              <w:lastRenderedPageBreak/>
              <w:t>SWITCHING</w:t>
            </w:r>
          </w:p>
          <w:p w14:paraId="4529C4D9" w14:textId="308522C9" w:rsidR="00E07C61" w:rsidRPr="00B9629C" w:rsidRDefault="00E07C61" w:rsidP="00327E72">
            <w:pPr>
              <w:autoSpaceDE w:val="0"/>
              <w:autoSpaceDN w:val="0"/>
              <w:adjustRightInd w:val="0"/>
              <w:jc w:val="center"/>
              <w:rPr>
                <w:rFonts w:cs="Arial"/>
                <w:sz w:val="16"/>
                <w:szCs w:val="16"/>
                <w:highlight w:val="darkGray"/>
              </w:rPr>
            </w:pPr>
            <w:r w:rsidRPr="00B9629C">
              <w:rPr>
                <w:rFonts w:cs="Arial"/>
                <w:b/>
                <w:highlight w:val="darkGray"/>
              </w:rPr>
              <w:t xml:space="preserve"> EXISTING CLIENTS TO DTG-CONTAINING REGIMENS</w:t>
            </w:r>
          </w:p>
        </w:tc>
      </w:tr>
      <w:tr w:rsidR="00E07C61" w:rsidRPr="00B9629C" w14:paraId="7F7F59DF" w14:textId="77777777" w:rsidTr="00F7195A">
        <w:trPr>
          <w:trHeight w:val="2353"/>
        </w:trPr>
        <w:tc>
          <w:tcPr>
            <w:tcW w:w="1800" w:type="pct"/>
            <w:shd w:val="clear" w:color="auto" w:fill="auto"/>
          </w:tcPr>
          <w:p w14:paraId="16CC99E2" w14:textId="77777777" w:rsidR="00E07C61" w:rsidRPr="00B9629C" w:rsidRDefault="00E07C61" w:rsidP="00E07C61">
            <w:pPr>
              <w:rPr>
                <w:rFonts w:cs="Arial"/>
                <w:b/>
                <w:sz w:val="16"/>
                <w:szCs w:val="16"/>
                <w:highlight w:val="darkGray"/>
              </w:rPr>
            </w:pPr>
            <w:r w:rsidRPr="00B9629C">
              <w:rPr>
                <w:rFonts w:cs="Arial"/>
                <w:b/>
                <w:sz w:val="16"/>
                <w:szCs w:val="16"/>
                <w:highlight w:val="darkGray"/>
              </w:rPr>
              <w:t>Patient on:</w:t>
            </w:r>
          </w:p>
          <w:p w14:paraId="42382AEC" w14:textId="5EE33F23" w:rsidR="00E07C61" w:rsidRPr="00B9629C" w:rsidRDefault="00E07C61" w:rsidP="009750A0">
            <w:pPr>
              <w:pStyle w:val="ListParagraph"/>
              <w:numPr>
                <w:ilvl w:val="0"/>
                <w:numId w:val="24"/>
              </w:numPr>
              <w:spacing w:after="200" w:line="276" w:lineRule="auto"/>
              <w:rPr>
                <w:rFonts w:cs="Arial"/>
                <w:b/>
                <w:bCs/>
                <w:iCs/>
                <w:sz w:val="16"/>
                <w:szCs w:val="16"/>
                <w:highlight w:val="darkGray"/>
              </w:rPr>
            </w:pPr>
            <w:r w:rsidRPr="00B9629C">
              <w:rPr>
                <w:rFonts w:cs="Arial"/>
                <w:b/>
                <w:bCs/>
                <w:sz w:val="16"/>
                <w:szCs w:val="16"/>
                <w:highlight w:val="darkGray"/>
              </w:rPr>
              <w:t>T</w:t>
            </w:r>
            <w:r w:rsidR="00534EA5" w:rsidRPr="00B9629C">
              <w:rPr>
                <w:rFonts w:cs="Arial"/>
                <w:b/>
                <w:bCs/>
                <w:sz w:val="16"/>
                <w:szCs w:val="16"/>
                <w:highlight w:val="darkGray"/>
              </w:rPr>
              <w:t>DF/FTC/EFV</w:t>
            </w:r>
          </w:p>
          <w:p w14:paraId="7FD385EF" w14:textId="77777777" w:rsidR="00E07C61" w:rsidRPr="00B9629C" w:rsidRDefault="00E07C61" w:rsidP="009750A0">
            <w:pPr>
              <w:pStyle w:val="ListParagraph"/>
              <w:numPr>
                <w:ilvl w:val="0"/>
                <w:numId w:val="24"/>
              </w:numPr>
              <w:spacing w:after="200" w:line="276" w:lineRule="auto"/>
              <w:rPr>
                <w:rFonts w:cs="Arial"/>
                <w:b/>
                <w:bCs/>
                <w:iCs/>
                <w:sz w:val="16"/>
                <w:szCs w:val="16"/>
                <w:highlight w:val="darkGray"/>
              </w:rPr>
            </w:pPr>
            <w:r w:rsidRPr="00B9629C">
              <w:rPr>
                <w:rFonts w:cs="Arial"/>
                <w:b/>
                <w:bCs/>
                <w:sz w:val="16"/>
                <w:szCs w:val="16"/>
                <w:highlight w:val="darkGray"/>
              </w:rPr>
              <w:t>ABC/3TC/EFV (or NVP)</w:t>
            </w:r>
          </w:p>
          <w:p w14:paraId="70C618BC" w14:textId="77777777" w:rsidR="00E07C61" w:rsidRPr="00B9629C" w:rsidRDefault="00E07C61" w:rsidP="009750A0">
            <w:pPr>
              <w:pStyle w:val="ListParagraph"/>
              <w:numPr>
                <w:ilvl w:val="0"/>
                <w:numId w:val="24"/>
              </w:numPr>
              <w:spacing w:after="200" w:line="276" w:lineRule="auto"/>
              <w:rPr>
                <w:rFonts w:cs="Arial"/>
                <w:b/>
                <w:bCs/>
                <w:iCs/>
                <w:sz w:val="16"/>
                <w:szCs w:val="16"/>
                <w:highlight w:val="darkGray"/>
              </w:rPr>
            </w:pPr>
            <w:r w:rsidRPr="00B9629C">
              <w:rPr>
                <w:rFonts w:cs="Arial"/>
                <w:b/>
                <w:bCs/>
                <w:sz w:val="16"/>
                <w:szCs w:val="16"/>
                <w:highlight w:val="darkGray"/>
              </w:rPr>
              <w:t>AZT/3TC/EFV (or NVP)</w:t>
            </w:r>
          </w:p>
          <w:p w14:paraId="7AAFC853" w14:textId="77777777" w:rsidR="00E07C61" w:rsidRPr="00B9629C" w:rsidRDefault="00E07C61" w:rsidP="009750A0">
            <w:pPr>
              <w:pStyle w:val="ListParagraph"/>
              <w:numPr>
                <w:ilvl w:val="0"/>
                <w:numId w:val="24"/>
              </w:numPr>
              <w:spacing w:after="200" w:line="276" w:lineRule="auto"/>
              <w:rPr>
                <w:rFonts w:cs="Arial"/>
                <w:b/>
                <w:bCs/>
                <w:iCs/>
                <w:sz w:val="16"/>
                <w:szCs w:val="16"/>
                <w:highlight w:val="darkGray"/>
              </w:rPr>
            </w:pPr>
            <w:r w:rsidRPr="00B9629C">
              <w:rPr>
                <w:rFonts w:cs="Arial"/>
                <w:b/>
                <w:bCs/>
                <w:iCs/>
                <w:sz w:val="16"/>
                <w:szCs w:val="16"/>
                <w:highlight w:val="darkGray"/>
              </w:rPr>
              <w:t>AZT/3TC/DTG</w:t>
            </w:r>
          </w:p>
          <w:p w14:paraId="44A504E0" w14:textId="77777777" w:rsidR="00E07C61" w:rsidRPr="00B9629C" w:rsidRDefault="00E07C61" w:rsidP="009750A0">
            <w:pPr>
              <w:pStyle w:val="ListParagraph"/>
              <w:numPr>
                <w:ilvl w:val="0"/>
                <w:numId w:val="24"/>
              </w:numPr>
              <w:spacing w:after="200" w:line="276" w:lineRule="auto"/>
              <w:rPr>
                <w:rFonts w:eastAsia="Calibri" w:cs="Arial"/>
                <w:b/>
                <w:bCs/>
                <w:iCs/>
                <w:sz w:val="16"/>
                <w:szCs w:val="16"/>
                <w:highlight w:val="darkGray"/>
              </w:rPr>
            </w:pPr>
            <w:r w:rsidRPr="00B9629C">
              <w:rPr>
                <w:rFonts w:eastAsia="Calibri" w:cs="Arial"/>
                <w:b/>
                <w:bCs/>
                <w:iCs/>
                <w:sz w:val="16"/>
                <w:szCs w:val="16"/>
                <w:highlight w:val="darkGray"/>
              </w:rPr>
              <w:t>Any LPV/r- or ATV/r-containing regimen for &lt;2 years</w:t>
            </w:r>
          </w:p>
          <w:p w14:paraId="09B8CE6F" w14:textId="303C02ED" w:rsidR="00E07C61" w:rsidRPr="00B9629C" w:rsidRDefault="00E07C61" w:rsidP="009750A0">
            <w:pPr>
              <w:pStyle w:val="ListParagraph"/>
              <w:numPr>
                <w:ilvl w:val="0"/>
                <w:numId w:val="24"/>
              </w:numPr>
              <w:spacing w:after="200" w:line="276" w:lineRule="auto"/>
              <w:rPr>
                <w:rFonts w:cs="Arial"/>
                <w:sz w:val="16"/>
                <w:szCs w:val="16"/>
                <w:highlight w:val="darkGray"/>
              </w:rPr>
            </w:pPr>
            <w:r w:rsidRPr="00B9629C">
              <w:rPr>
                <w:rFonts w:eastAsia="Calibri" w:cs="Arial"/>
                <w:b/>
                <w:bCs/>
                <w:iCs/>
                <w:sz w:val="16"/>
                <w:szCs w:val="16"/>
                <w:highlight w:val="darkGray"/>
              </w:rPr>
              <w:t>Any LPV/r- or A</w:t>
            </w:r>
            <w:r w:rsidR="00D66558" w:rsidRPr="00B9629C">
              <w:rPr>
                <w:rFonts w:eastAsia="Calibri" w:cs="Arial"/>
                <w:b/>
                <w:bCs/>
                <w:iCs/>
                <w:sz w:val="16"/>
                <w:szCs w:val="16"/>
                <w:highlight w:val="darkGray"/>
              </w:rPr>
              <w:t>T</w:t>
            </w:r>
            <w:r w:rsidRPr="00B9629C">
              <w:rPr>
                <w:rFonts w:eastAsia="Calibri" w:cs="Arial"/>
                <w:b/>
                <w:bCs/>
                <w:iCs/>
                <w:sz w:val="16"/>
                <w:szCs w:val="16"/>
                <w:highlight w:val="darkGray"/>
              </w:rPr>
              <w:t>V/r-containing regimen with latest VL &lt;1000 copies/mL</w:t>
            </w:r>
            <w:r w:rsidR="00484B0B" w:rsidRPr="00B9629C">
              <w:rPr>
                <w:rFonts w:eastAsia="Calibri" w:cs="Arial"/>
                <w:b/>
                <w:bCs/>
                <w:iCs/>
                <w:sz w:val="16"/>
                <w:szCs w:val="16"/>
                <w:highlight w:val="darkGray"/>
              </w:rPr>
              <w:t xml:space="preserve"> </w:t>
            </w:r>
          </w:p>
        </w:tc>
        <w:tc>
          <w:tcPr>
            <w:tcW w:w="3200" w:type="pct"/>
            <w:shd w:val="clear" w:color="auto" w:fill="auto"/>
          </w:tcPr>
          <w:p w14:paraId="11D42FA0" w14:textId="77777777" w:rsidR="00E07C61" w:rsidRPr="00B9629C" w:rsidRDefault="00E07C61" w:rsidP="00E07C61">
            <w:pPr>
              <w:rPr>
                <w:rFonts w:cs="Arial"/>
                <w:sz w:val="16"/>
                <w:szCs w:val="16"/>
                <w:highlight w:val="darkGray"/>
              </w:rPr>
            </w:pPr>
            <w:r w:rsidRPr="00B9629C">
              <w:rPr>
                <w:rFonts w:cs="Arial"/>
                <w:sz w:val="16"/>
                <w:szCs w:val="16"/>
                <w:highlight w:val="darkGray"/>
              </w:rPr>
              <w:t>Switch to DTG-containing regimen regardless of VL result:</w:t>
            </w:r>
          </w:p>
          <w:p w14:paraId="1433C28D" w14:textId="77777777" w:rsidR="00E07C61" w:rsidRPr="00B9629C" w:rsidRDefault="00E07C61" w:rsidP="00E07C61">
            <w:pPr>
              <w:rPr>
                <w:rFonts w:cs="Arial"/>
                <w:sz w:val="16"/>
                <w:szCs w:val="16"/>
                <w:highlight w:val="darkGray"/>
              </w:rPr>
            </w:pPr>
            <w:r w:rsidRPr="00B9629C">
              <w:rPr>
                <w:rFonts w:cs="Arial"/>
                <w:sz w:val="16"/>
                <w:szCs w:val="16"/>
                <w:highlight w:val="darkGray"/>
              </w:rPr>
              <w:t>TDF + 3TC + DTG (“TLD”)</w:t>
            </w:r>
          </w:p>
          <w:p w14:paraId="20BB6242" w14:textId="4B2CFE2F" w:rsidR="00E07C61" w:rsidRPr="00B9629C" w:rsidRDefault="00EA2C1C" w:rsidP="00E07C61">
            <w:pPr>
              <w:rPr>
                <w:rFonts w:cs="Arial"/>
                <w:sz w:val="16"/>
                <w:szCs w:val="16"/>
                <w:highlight w:val="darkGray"/>
              </w:rPr>
            </w:pPr>
            <w:r w:rsidRPr="00B9629C">
              <w:rPr>
                <w:rFonts w:cs="Arial"/>
                <w:sz w:val="16"/>
                <w:szCs w:val="16"/>
                <w:highlight w:val="darkGray"/>
              </w:rPr>
              <w:t>(</w:t>
            </w:r>
            <w:r w:rsidRPr="00B9629C">
              <w:rPr>
                <w:rFonts w:cs="Arial"/>
                <w:i/>
                <w:sz w:val="16"/>
                <w:szCs w:val="16"/>
                <w:highlight w:val="darkGray"/>
              </w:rPr>
              <w:t>Refer to Figure 11.1 below</w:t>
            </w:r>
            <w:r w:rsidR="00724290" w:rsidRPr="00B9629C">
              <w:rPr>
                <w:rFonts w:cs="Arial"/>
                <w:i/>
                <w:sz w:val="16"/>
                <w:szCs w:val="16"/>
                <w:highlight w:val="darkGray"/>
              </w:rPr>
              <w:t>.</w:t>
            </w:r>
            <w:r w:rsidRPr="00B9629C">
              <w:rPr>
                <w:rFonts w:cs="Arial"/>
                <w:sz w:val="16"/>
                <w:szCs w:val="16"/>
                <w:highlight w:val="darkGray"/>
              </w:rPr>
              <w:t>)</w:t>
            </w:r>
          </w:p>
          <w:p w14:paraId="1785E537" w14:textId="77777777" w:rsidR="00EA2C1C" w:rsidRPr="00B9629C" w:rsidRDefault="00EA2C1C" w:rsidP="00E07C61">
            <w:pPr>
              <w:rPr>
                <w:rFonts w:cs="Arial"/>
                <w:sz w:val="16"/>
                <w:szCs w:val="16"/>
                <w:highlight w:val="darkGray"/>
              </w:rPr>
            </w:pPr>
          </w:p>
          <w:p w14:paraId="4FB538F2" w14:textId="54F7CB36" w:rsidR="00E07C61" w:rsidRPr="00B9629C" w:rsidRDefault="00E07C61" w:rsidP="00E07C61">
            <w:pPr>
              <w:rPr>
                <w:rFonts w:cs="Arial"/>
                <w:sz w:val="16"/>
                <w:szCs w:val="16"/>
                <w:highlight w:val="darkGray"/>
              </w:rPr>
            </w:pPr>
            <w:r w:rsidRPr="00B9629C">
              <w:rPr>
                <w:rFonts w:cs="Arial"/>
                <w:sz w:val="16"/>
                <w:szCs w:val="16"/>
                <w:highlight w:val="darkGray"/>
              </w:rPr>
              <w:t>If contraindications to DTG or TDF, use alternative regimen as in “Initiating ART” section above.</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89"/>
            </w:tblGrid>
            <w:tr w:rsidR="00E07C61" w:rsidRPr="00B9629C" w14:paraId="6DA86204" w14:textId="77777777" w:rsidTr="00EA2C1C">
              <w:tc>
                <w:tcPr>
                  <w:tcW w:w="789" w:type="dxa"/>
                  <w:shd w:val="clear" w:color="auto" w:fill="auto"/>
                </w:tcPr>
                <w:p w14:paraId="765673E0" w14:textId="77777777" w:rsidR="00E07C61" w:rsidRPr="00B9629C" w:rsidRDefault="00E07C61" w:rsidP="00EA2C1C">
                  <w:pPr>
                    <w:rPr>
                      <w:i/>
                      <w:sz w:val="14"/>
                      <w:highlight w:val="darkGray"/>
                    </w:rPr>
                  </w:pPr>
                  <w:r w:rsidRPr="00B9629C">
                    <w:rPr>
                      <w:i/>
                      <w:sz w:val="14"/>
                      <w:highlight w:val="darkGray"/>
                    </w:rPr>
                    <w:t>LoE:IIb</w:t>
                  </w:r>
                  <w:r w:rsidRPr="00B9629C">
                    <w:rPr>
                      <w:rStyle w:val="EndnoteReference"/>
                      <w:i/>
                      <w:sz w:val="14"/>
                      <w:highlight w:val="darkGray"/>
                    </w:rPr>
                    <w:endnoteReference w:id="17"/>
                  </w:r>
                </w:p>
              </w:tc>
            </w:tr>
          </w:tbl>
          <w:p w14:paraId="6FC52737" w14:textId="77777777" w:rsidR="00E07C61" w:rsidRPr="00B9629C" w:rsidRDefault="00E07C61" w:rsidP="00E07C61">
            <w:pPr>
              <w:rPr>
                <w:rFonts w:cs="Arial"/>
                <w:sz w:val="22"/>
                <w:szCs w:val="20"/>
                <w:highlight w:val="darkGray"/>
              </w:rPr>
            </w:pPr>
          </w:p>
          <w:p w14:paraId="797E5B3E" w14:textId="77777777" w:rsidR="00E07C61" w:rsidRPr="00B9629C" w:rsidRDefault="00E07C61" w:rsidP="00E07C61">
            <w:pPr>
              <w:jc w:val="both"/>
              <w:rPr>
                <w:rFonts w:cs="Arial"/>
                <w:sz w:val="16"/>
                <w:szCs w:val="16"/>
                <w:highlight w:val="darkGray"/>
              </w:rPr>
            </w:pPr>
          </w:p>
        </w:tc>
      </w:tr>
      <w:tr w:rsidR="00E07C61" w:rsidRPr="00B9629C" w14:paraId="7425D4C9" w14:textId="77777777" w:rsidTr="00F7195A">
        <w:tc>
          <w:tcPr>
            <w:tcW w:w="1800" w:type="pct"/>
            <w:shd w:val="clear" w:color="auto" w:fill="auto"/>
          </w:tcPr>
          <w:p w14:paraId="53A7C60F" w14:textId="77777777" w:rsidR="00E07C61" w:rsidRPr="00B9629C" w:rsidRDefault="00E07C61" w:rsidP="00E07C61">
            <w:pPr>
              <w:rPr>
                <w:rFonts w:eastAsia="Times New Roman"/>
                <w:b/>
                <w:sz w:val="16"/>
                <w:szCs w:val="16"/>
                <w:highlight w:val="darkGray"/>
              </w:rPr>
            </w:pPr>
            <w:r w:rsidRPr="00B9629C">
              <w:rPr>
                <w:rFonts w:eastAsia="Times New Roman"/>
                <w:b/>
                <w:sz w:val="16"/>
                <w:szCs w:val="16"/>
                <w:highlight w:val="darkGray"/>
              </w:rPr>
              <w:t>Patient on:</w:t>
            </w:r>
          </w:p>
          <w:p w14:paraId="666605A3" w14:textId="0AC7E28F" w:rsidR="00E07C61" w:rsidRPr="00B9629C" w:rsidRDefault="00E07C61" w:rsidP="00F7195A">
            <w:pPr>
              <w:pStyle w:val="ListParagraph"/>
              <w:numPr>
                <w:ilvl w:val="0"/>
                <w:numId w:val="10"/>
              </w:numPr>
              <w:ind w:left="175" w:hanging="175"/>
              <w:rPr>
                <w:rFonts w:cs="Arial"/>
                <w:sz w:val="16"/>
                <w:szCs w:val="16"/>
                <w:highlight w:val="darkGray"/>
              </w:rPr>
            </w:pPr>
            <w:r w:rsidRPr="00B9629C">
              <w:rPr>
                <w:rFonts w:cs="Arial"/>
                <w:b/>
                <w:sz w:val="16"/>
                <w:szCs w:val="16"/>
                <w:highlight w:val="darkGray"/>
              </w:rPr>
              <w:t xml:space="preserve">ATV/r or LPV/r regimen for &gt;2 years and </w:t>
            </w:r>
            <w:r w:rsidRPr="00B9629C">
              <w:rPr>
                <w:rFonts w:ascii="Symbol" w:eastAsia="Symbol" w:hAnsi="Symbol" w:cs="Symbol"/>
                <w:b/>
                <w:bCs/>
                <w:spacing w:val="-2"/>
                <w:sz w:val="16"/>
                <w:szCs w:val="16"/>
                <w:highlight w:val="darkGray"/>
              </w:rPr>
              <w:t></w:t>
            </w:r>
            <w:r w:rsidRPr="00B9629C">
              <w:rPr>
                <w:rFonts w:cs="Arial"/>
                <w:b/>
                <w:bCs/>
                <w:spacing w:val="-2"/>
                <w:sz w:val="16"/>
                <w:szCs w:val="16"/>
                <w:highlight w:val="darkGray"/>
              </w:rPr>
              <w:t xml:space="preserve">2 consecutive VL </w:t>
            </w:r>
            <w:r w:rsidRPr="00B9629C">
              <w:rPr>
                <w:rFonts w:ascii="Symbol" w:eastAsia="Symbol" w:hAnsi="Symbol" w:cs="Symbol"/>
                <w:b/>
                <w:bCs/>
                <w:spacing w:val="-2"/>
                <w:sz w:val="16"/>
                <w:szCs w:val="16"/>
                <w:highlight w:val="darkGray"/>
              </w:rPr>
              <w:t></w:t>
            </w:r>
            <w:r w:rsidRPr="00B9629C">
              <w:rPr>
                <w:rFonts w:cs="Arial"/>
                <w:b/>
                <w:bCs/>
                <w:spacing w:val="-2"/>
                <w:sz w:val="16"/>
                <w:szCs w:val="16"/>
                <w:highlight w:val="darkGray"/>
              </w:rPr>
              <w:t xml:space="preserve">1000 copies/mL </w:t>
            </w:r>
          </w:p>
        </w:tc>
        <w:tc>
          <w:tcPr>
            <w:tcW w:w="3200" w:type="pct"/>
            <w:shd w:val="clear" w:color="auto" w:fill="auto"/>
          </w:tcPr>
          <w:p w14:paraId="367DFDD8" w14:textId="6091E90B" w:rsidR="00E07C61" w:rsidRPr="00B9629C" w:rsidRDefault="00E07C61" w:rsidP="00E07C61">
            <w:pPr>
              <w:rPr>
                <w:rFonts w:cs="Arial"/>
                <w:sz w:val="16"/>
                <w:szCs w:val="16"/>
                <w:highlight w:val="darkGray"/>
              </w:rPr>
            </w:pPr>
            <w:r w:rsidRPr="00B9629C">
              <w:rPr>
                <w:rFonts w:cs="Arial"/>
                <w:sz w:val="16"/>
                <w:szCs w:val="16"/>
                <w:highlight w:val="darkGray"/>
              </w:rPr>
              <w:t xml:space="preserve">If adherence &gt;80%, </w:t>
            </w:r>
            <w:r w:rsidRPr="00B9629C">
              <w:rPr>
                <w:rFonts w:cs="Arial"/>
                <w:spacing w:val="-2"/>
                <w:sz w:val="16"/>
                <w:szCs w:val="16"/>
                <w:highlight w:val="darkGray"/>
              </w:rPr>
              <w:t>discuss with an HIV expert to authorise and interpret a resistance test before switching.* Provide individualised regimen as recommended by HIV expert.</w:t>
            </w:r>
          </w:p>
          <w:p w14:paraId="56272331" w14:textId="77777777" w:rsidR="00E07C61" w:rsidRPr="00B9629C" w:rsidRDefault="00E07C61" w:rsidP="00E07C61">
            <w:pPr>
              <w:rPr>
                <w:rFonts w:cs="Arial"/>
                <w:sz w:val="16"/>
                <w:szCs w:val="16"/>
                <w:highlight w:val="darkGray"/>
              </w:rPr>
            </w:pPr>
          </w:p>
          <w:p w14:paraId="72F33666" w14:textId="18202812" w:rsidR="00E07C61" w:rsidRPr="00B9629C" w:rsidRDefault="00E07C61" w:rsidP="00E07C61">
            <w:pPr>
              <w:rPr>
                <w:rFonts w:cs="Arial"/>
                <w:sz w:val="16"/>
                <w:szCs w:val="16"/>
                <w:highlight w:val="darkGray"/>
              </w:rPr>
            </w:pPr>
            <w:r w:rsidRPr="00B9629C">
              <w:rPr>
                <w:rFonts w:cs="Arial"/>
                <w:sz w:val="16"/>
                <w:szCs w:val="16"/>
                <w:highlight w:val="darkGray"/>
              </w:rPr>
              <w:t xml:space="preserve">If adherence </w:t>
            </w:r>
            <w:r w:rsidR="00724290" w:rsidRPr="00B9629C">
              <w:rPr>
                <w:rFonts w:cs="Arial"/>
                <w:sz w:val="16"/>
                <w:szCs w:val="16"/>
                <w:highlight w:val="darkGray"/>
              </w:rPr>
              <w:t>&lt;</w:t>
            </w:r>
            <w:r w:rsidRPr="00B9629C">
              <w:rPr>
                <w:rFonts w:cs="Arial"/>
                <w:sz w:val="16"/>
                <w:szCs w:val="16"/>
                <w:highlight w:val="darkGray"/>
              </w:rPr>
              <w:t>80%</w:t>
            </w:r>
            <w:r w:rsidRPr="00B9629C">
              <w:rPr>
                <w:rFonts w:cs="Arial"/>
                <w:spacing w:val="-2"/>
                <w:sz w:val="16"/>
                <w:szCs w:val="16"/>
                <w:highlight w:val="darkGray"/>
              </w:rPr>
              <w:t>.</w:t>
            </w:r>
            <w:r w:rsidRPr="00B9629C">
              <w:rPr>
                <w:rFonts w:cs="Arial"/>
                <w:sz w:val="16"/>
                <w:szCs w:val="16"/>
                <w:highlight w:val="darkGray"/>
              </w:rPr>
              <w:t xml:space="preserve"> switch to DTG-containing regimen:</w:t>
            </w:r>
          </w:p>
          <w:p w14:paraId="777ACE61" w14:textId="77777777" w:rsidR="00E07C61" w:rsidRPr="00B9629C" w:rsidRDefault="00E07C61" w:rsidP="00E07C61">
            <w:pPr>
              <w:rPr>
                <w:rFonts w:cs="Arial"/>
                <w:sz w:val="16"/>
                <w:szCs w:val="16"/>
                <w:highlight w:val="darkGray"/>
              </w:rPr>
            </w:pPr>
            <w:r w:rsidRPr="00B9629C">
              <w:rPr>
                <w:rFonts w:cs="Arial"/>
                <w:sz w:val="16"/>
                <w:szCs w:val="16"/>
                <w:highlight w:val="darkGray"/>
              </w:rPr>
              <w:t>TDF + 3TC + DTG (“TLD”)</w:t>
            </w:r>
          </w:p>
          <w:p w14:paraId="32FF65F1" w14:textId="70DD7DAF" w:rsidR="00E07C61" w:rsidRPr="00B9629C" w:rsidRDefault="00E07C61" w:rsidP="00E07C61">
            <w:pPr>
              <w:rPr>
                <w:rFonts w:cs="Arial"/>
                <w:sz w:val="16"/>
                <w:szCs w:val="16"/>
                <w:highlight w:val="darkGray"/>
              </w:rPr>
            </w:pPr>
            <w:r w:rsidRPr="00B9629C">
              <w:rPr>
                <w:rFonts w:cs="Arial"/>
                <w:sz w:val="16"/>
                <w:szCs w:val="16"/>
                <w:highlight w:val="darkGray"/>
              </w:rPr>
              <w:t>If contraindications to DTG or TDF, use alternative regimen as per “Initiating ART” section above.</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89"/>
            </w:tblGrid>
            <w:tr w:rsidR="00E07C61" w:rsidRPr="00B9629C" w14:paraId="32894469" w14:textId="77777777" w:rsidTr="00EA2C1C">
              <w:tc>
                <w:tcPr>
                  <w:tcW w:w="789" w:type="dxa"/>
                  <w:shd w:val="clear" w:color="auto" w:fill="auto"/>
                </w:tcPr>
                <w:p w14:paraId="202124B0" w14:textId="7AE844BD" w:rsidR="00E07C61" w:rsidRPr="00B9629C" w:rsidRDefault="00E07C61" w:rsidP="00EA2C1C">
                  <w:pPr>
                    <w:rPr>
                      <w:i/>
                      <w:sz w:val="14"/>
                      <w:highlight w:val="darkGray"/>
                    </w:rPr>
                  </w:pPr>
                  <w:r w:rsidRPr="00B9629C">
                    <w:rPr>
                      <w:i/>
                      <w:sz w:val="14"/>
                      <w:highlight w:val="darkGray"/>
                    </w:rPr>
                    <w:t>LoE:IIb</w:t>
                  </w:r>
                  <w:r w:rsidRPr="00B9629C">
                    <w:rPr>
                      <w:rStyle w:val="EndnoteReference"/>
                      <w:i/>
                      <w:sz w:val="14"/>
                      <w:highlight w:val="darkGray"/>
                    </w:rPr>
                    <w:endnoteReference w:id="18"/>
                  </w:r>
                </w:p>
              </w:tc>
            </w:tr>
          </w:tbl>
          <w:p w14:paraId="57124D21" w14:textId="77777777" w:rsidR="00E07C61" w:rsidRPr="00B9629C" w:rsidRDefault="00E07C61" w:rsidP="00E07C61">
            <w:pPr>
              <w:spacing w:line="276" w:lineRule="auto"/>
              <w:rPr>
                <w:rFonts w:cs="Arial"/>
                <w:sz w:val="16"/>
                <w:szCs w:val="16"/>
                <w:highlight w:val="darkGray"/>
              </w:rPr>
            </w:pPr>
          </w:p>
        </w:tc>
      </w:tr>
      <w:tr w:rsidR="00E07C61" w:rsidRPr="00B9629C" w14:paraId="288EB61D" w14:textId="77777777" w:rsidTr="00E3263A">
        <w:tc>
          <w:tcPr>
            <w:tcW w:w="5000" w:type="pct"/>
            <w:gridSpan w:val="2"/>
            <w:shd w:val="clear" w:color="auto" w:fill="D9D9D9" w:themeFill="background1" w:themeFillShade="D9"/>
          </w:tcPr>
          <w:p w14:paraId="6A610F24" w14:textId="77777777" w:rsidR="00E07C61" w:rsidRPr="00B9629C" w:rsidRDefault="00E07C61" w:rsidP="00E07C61">
            <w:pPr>
              <w:spacing w:line="276" w:lineRule="auto"/>
              <w:jc w:val="center"/>
              <w:rPr>
                <w:rFonts w:cs="Arial"/>
                <w:highlight w:val="darkGray"/>
              </w:rPr>
            </w:pPr>
            <w:r w:rsidRPr="00B9629C">
              <w:rPr>
                <w:rFonts w:cs="Arial"/>
                <w:b/>
                <w:highlight w:val="darkGray"/>
              </w:rPr>
              <w:t>CLIENTS WITH DTG RESISTANCE</w:t>
            </w:r>
          </w:p>
        </w:tc>
      </w:tr>
      <w:tr w:rsidR="00E07C61" w:rsidRPr="00B9629C" w14:paraId="7D388618" w14:textId="77777777" w:rsidTr="00F7195A">
        <w:tc>
          <w:tcPr>
            <w:tcW w:w="1800" w:type="pct"/>
            <w:shd w:val="clear" w:color="auto" w:fill="auto"/>
          </w:tcPr>
          <w:p w14:paraId="05ED4ECE" w14:textId="77777777" w:rsidR="00E07C61" w:rsidRPr="00B9629C" w:rsidRDefault="00E07C61" w:rsidP="00E07C61">
            <w:pPr>
              <w:rPr>
                <w:rFonts w:cs="Arial"/>
                <w:b/>
                <w:sz w:val="16"/>
                <w:szCs w:val="16"/>
                <w:highlight w:val="darkGray"/>
              </w:rPr>
            </w:pPr>
            <w:r w:rsidRPr="00B9629C">
              <w:rPr>
                <w:rFonts w:cs="Arial"/>
                <w:b/>
                <w:sz w:val="16"/>
                <w:szCs w:val="16"/>
                <w:highlight w:val="darkGray"/>
              </w:rPr>
              <w:lastRenderedPageBreak/>
              <w:t>Any DTG resistance shown on genotype authorised by HIV expert</w:t>
            </w:r>
          </w:p>
          <w:p w14:paraId="7BF4E742" w14:textId="77777777" w:rsidR="00E07C61" w:rsidRPr="00B9629C" w:rsidRDefault="00E07C61" w:rsidP="00E07C61">
            <w:pPr>
              <w:rPr>
                <w:rFonts w:cs="Arial"/>
                <w:sz w:val="16"/>
                <w:szCs w:val="16"/>
                <w:highlight w:val="darkGray"/>
              </w:rPr>
            </w:pPr>
          </w:p>
          <w:p w14:paraId="7D58D88B" w14:textId="77777777" w:rsidR="00E07C61" w:rsidRPr="00B9629C" w:rsidRDefault="00E07C61" w:rsidP="00E07C61">
            <w:pPr>
              <w:rPr>
                <w:rFonts w:cs="Arial"/>
                <w:sz w:val="16"/>
                <w:szCs w:val="16"/>
                <w:highlight w:val="darkGray"/>
              </w:rPr>
            </w:pPr>
          </w:p>
        </w:tc>
        <w:tc>
          <w:tcPr>
            <w:tcW w:w="3200" w:type="pct"/>
            <w:shd w:val="clear" w:color="auto" w:fill="auto"/>
          </w:tcPr>
          <w:p w14:paraId="54783937" w14:textId="77777777" w:rsidR="00E07C61" w:rsidRPr="00B9629C" w:rsidRDefault="00E07C61" w:rsidP="00E07C61">
            <w:pPr>
              <w:jc w:val="both"/>
              <w:rPr>
                <w:rFonts w:cs="Arial"/>
                <w:spacing w:val="-2"/>
                <w:sz w:val="16"/>
                <w:szCs w:val="16"/>
                <w:highlight w:val="darkGray"/>
              </w:rPr>
            </w:pPr>
            <w:r w:rsidRPr="00B9629C">
              <w:rPr>
                <w:rFonts w:cs="Arial"/>
                <w:spacing w:val="-2"/>
                <w:sz w:val="16"/>
                <w:szCs w:val="16"/>
                <w:highlight w:val="darkGray"/>
              </w:rPr>
              <w:t>Discuss case with an HIV expert*.</w:t>
            </w:r>
          </w:p>
          <w:p w14:paraId="2337E267" w14:textId="77777777" w:rsidR="00E07C61" w:rsidRPr="00B9629C" w:rsidRDefault="00E07C61" w:rsidP="00E07C61">
            <w:pPr>
              <w:jc w:val="both"/>
              <w:rPr>
                <w:rFonts w:cs="Arial"/>
                <w:spacing w:val="-2"/>
                <w:sz w:val="16"/>
                <w:szCs w:val="16"/>
                <w:highlight w:val="darkGray"/>
              </w:rPr>
            </w:pPr>
            <w:r w:rsidRPr="00B9629C">
              <w:rPr>
                <w:rFonts w:cs="Arial"/>
                <w:color w:val="000000"/>
                <w:sz w:val="16"/>
                <w:szCs w:val="16"/>
                <w:highlight w:val="darkGray"/>
              </w:rPr>
              <w:t>The regimen will be determined by an Expert Committee based on the pattern of resistant mutations and the prior history of antiretroviral exposure.</w:t>
            </w:r>
          </w:p>
          <w:p w14:paraId="31F540B7" w14:textId="77777777" w:rsidR="00E07C61" w:rsidRPr="00B9629C" w:rsidRDefault="00E07C61" w:rsidP="00E07C61">
            <w:pPr>
              <w:jc w:val="both"/>
              <w:rPr>
                <w:rFonts w:cs="Arial"/>
                <w:spacing w:val="-2"/>
                <w:kern w:val="24"/>
                <w:sz w:val="16"/>
                <w:szCs w:val="16"/>
                <w:highlight w:val="darkGray"/>
                <w:lang w:eastAsia="en-GB"/>
              </w:rPr>
            </w:pPr>
          </w:p>
          <w:p w14:paraId="28C08845" w14:textId="3EE748C1" w:rsidR="00E07C61" w:rsidRPr="00B9629C" w:rsidRDefault="00E07C61" w:rsidP="00E07C61">
            <w:pPr>
              <w:autoSpaceDE w:val="0"/>
              <w:autoSpaceDN w:val="0"/>
              <w:adjustRightInd w:val="0"/>
              <w:jc w:val="both"/>
              <w:rPr>
                <w:rFonts w:cs="Arial"/>
                <w:kern w:val="24"/>
                <w:sz w:val="16"/>
                <w:szCs w:val="16"/>
                <w:highlight w:val="darkGray"/>
                <w:lang w:eastAsia="en-GB"/>
              </w:rPr>
            </w:pPr>
            <w:r w:rsidRPr="00B9629C">
              <w:rPr>
                <w:rFonts w:cs="Arial"/>
                <w:color w:val="000000"/>
                <w:sz w:val="16"/>
                <w:szCs w:val="16"/>
                <w:highlight w:val="darkGray"/>
              </w:rPr>
              <w:t>Application for 3</w:t>
            </w:r>
            <w:r w:rsidRPr="00B9629C">
              <w:rPr>
                <w:rFonts w:cs="Arial"/>
                <w:color w:val="000000"/>
                <w:sz w:val="16"/>
                <w:szCs w:val="16"/>
                <w:highlight w:val="darkGray"/>
                <w:vertAlign w:val="superscript"/>
              </w:rPr>
              <w:t>rd</w:t>
            </w:r>
            <w:r w:rsidRPr="00B9629C">
              <w:rPr>
                <w:rFonts w:cs="Arial"/>
                <w:color w:val="000000"/>
                <w:sz w:val="16"/>
                <w:szCs w:val="16"/>
                <w:highlight w:val="darkGray"/>
              </w:rPr>
              <w:t xml:space="preserve"> line using </w:t>
            </w:r>
            <w:r w:rsidR="00724290" w:rsidRPr="00B9629C">
              <w:rPr>
                <w:highlight w:val="darkGray"/>
              </w:rPr>
              <w:t>the standard motivation form</w:t>
            </w:r>
            <w:r w:rsidRPr="00B9629C">
              <w:rPr>
                <w:rFonts w:cs="Arial"/>
                <w:color w:val="000000"/>
                <w:sz w:val="16"/>
                <w:szCs w:val="16"/>
                <w:highlight w:val="darkGray"/>
              </w:rPr>
              <w:t xml:space="preserve"> may be required (available from </w:t>
            </w:r>
            <w:hyperlink r:id="rId11" w:history="1">
              <w:r w:rsidRPr="00B9629C">
                <w:rPr>
                  <w:rStyle w:val="Hyperlink"/>
                  <w:rFonts w:cs="Arial"/>
                  <w:sz w:val="16"/>
                  <w:szCs w:val="16"/>
                  <w:highlight w:val="darkGray"/>
                </w:rPr>
                <w:t>TLART@health.gov.za</w:t>
              </w:r>
            </w:hyperlink>
            <w:r w:rsidRPr="00B9629C">
              <w:rPr>
                <w:rFonts w:cs="Arial"/>
                <w:sz w:val="16"/>
                <w:szCs w:val="16"/>
                <w:highlight w:val="darkGray"/>
              </w:rPr>
              <w:t xml:space="preserve"> or f</w:t>
            </w:r>
            <w:r w:rsidRPr="00B9629C">
              <w:rPr>
                <w:rFonts w:cs="Arial"/>
                <w:color w:val="000000"/>
                <w:sz w:val="16"/>
                <w:szCs w:val="16"/>
                <w:highlight w:val="darkGray"/>
              </w:rPr>
              <w:t xml:space="preserve">rom </w:t>
            </w:r>
            <w:hyperlink r:id="rId12" w:history="1">
              <w:r w:rsidR="00724290" w:rsidRPr="00B9629C">
                <w:rPr>
                  <w:rStyle w:val="Hyperlink"/>
                  <w:rFonts w:cs="Arial"/>
                  <w:sz w:val="16"/>
                  <w:szCs w:val="16"/>
                  <w:highlight w:val="darkGray"/>
                </w:rPr>
                <w:t>https://knowledgehub.health.gov.za/elibrary/third-line-antiretrovirals</w:t>
              </w:r>
            </w:hyperlink>
            <w:r w:rsidRPr="00B9629C">
              <w:rPr>
                <w:rFonts w:cs="Arial"/>
                <w:color w:val="000000"/>
                <w:sz w:val="16"/>
                <w:szCs w:val="16"/>
                <w:highlight w:val="darkGray"/>
              </w:rPr>
              <w:t>)</w:t>
            </w:r>
            <w:r w:rsidRPr="00B9629C">
              <w:rPr>
                <w:rFonts w:cs="Arial"/>
                <w:color w:val="0000FF"/>
                <w:sz w:val="16"/>
                <w:szCs w:val="16"/>
                <w:highlight w:val="darkGray"/>
              </w:rPr>
              <w:t xml:space="preserve"> </w:t>
            </w:r>
          </w:p>
        </w:tc>
      </w:tr>
      <w:tr w:rsidR="00E07C61" w:rsidRPr="00B9629C" w14:paraId="6E36108C" w14:textId="77777777" w:rsidTr="00E3263A">
        <w:tc>
          <w:tcPr>
            <w:tcW w:w="5000" w:type="pct"/>
            <w:gridSpan w:val="2"/>
            <w:shd w:val="clear" w:color="auto" w:fill="D9D9D9" w:themeFill="background1" w:themeFillShade="D9"/>
          </w:tcPr>
          <w:p w14:paraId="7C7D4E69" w14:textId="77777777" w:rsidR="00E07C61" w:rsidRPr="00B9629C" w:rsidDel="00CF34F3" w:rsidRDefault="00E07C61" w:rsidP="00E07C61">
            <w:pPr>
              <w:jc w:val="center"/>
              <w:rPr>
                <w:rFonts w:cs="Arial"/>
                <w:b/>
                <w:bCs/>
                <w:spacing w:val="-2"/>
                <w:sz w:val="16"/>
                <w:szCs w:val="16"/>
                <w:highlight w:val="darkGray"/>
              </w:rPr>
            </w:pPr>
            <w:r w:rsidRPr="00B9629C">
              <w:rPr>
                <w:rFonts w:cs="Arial"/>
                <w:b/>
                <w:bCs/>
                <w:spacing w:val="-2"/>
                <w:sz w:val="16"/>
                <w:szCs w:val="16"/>
                <w:highlight w:val="darkGray"/>
              </w:rPr>
              <w:t>RIFAMPICIN-BASED TB TREATMENT</w:t>
            </w:r>
          </w:p>
        </w:tc>
      </w:tr>
      <w:tr w:rsidR="00E07C61" w:rsidRPr="00B9629C" w14:paraId="56DA1F4F" w14:textId="77777777" w:rsidTr="00F7195A">
        <w:trPr>
          <w:trHeight w:val="929"/>
        </w:trPr>
        <w:tc>
          <w:tcPr>
            <w:tcW w:w="1800" w:type="pct"/>
            <w:shd w:val="clear" w:color="auto" w:fill="auto"/>
          </w:tcPr>
          <w:p w14:paraId="2B25B52F" w14:textId="77777777" w:rsidR="00E07C61" w:rsidRPr="00B9629C" w:rsidDel="00011C84" w:rsidRDefault="00E07C61" w:rsidP="00E07C61">
            <w:pPr>
              <w:rPr>
                <w:rFonts w:cs="Arial"/>
                <w:b/>
                <w:sz w:val="16"/>
                <w:szCs w:val="16"/>
                <w:highlight w:val="darkGray"/>
              </w:rPr>
            </w:pPr>
            <w:r w:rsidRPr="00B9629C">
              <w:rPr>
                <w:rFonts w:cs="Arial"/>
                <w:b/>
                <w:sz w:val="16"/>
                <w:szCs w:val="16"/>
                <w:highlight w:val="darkGray"/>
              </w:rPr>
              <w:t>Rifampicin-based TB treatment</w:t>
            </w:r>
          </w:p>
        </w:tc>
        <w:tc>
          <w:tcPr>
            <w:tcW w:w="3200" w:type="pct"/>
            <w:shd w:val="clear" w:color="auto" w:fill="auto"/>
          </w:tcPr>
          <w:p w14:paraId="60A49C52" w14:textId="77777777" w:rsidR="00E07C61" w:rsidRPr="00B9629C" w:rsidRDefault="00E07C61" w:rsidP="00E07C61">
            <w:pPr>
              <w:pStyle w:val="Default"/>
              <w:jc w:val="both"/>
              <w:rPr>
                <w:rFonts w:ascii="Arial" w:hAnsi="Arial" w:cs="Arial"/>
                <w:sz w:val="16"/>
                <w:szCs w:val="16"/>
                <w:highlight w:val="darkGray"/>
              </w:rPr>
            </w:pPr>
            <w:r w:rsidRPr="00B9629C">
              <w:rPr>
                <w:rFonts w:ascii="Arial" w:hAnsi="Arial" w:cs="Arial"/>
                <w:sz w:val="16"/>
                <w:szCs w:val="16"/>
                <w:highlight w:val="darkGray"/>
                <w:u w:val="single"/>
              </w:rPr>
              <w:t>If on DTG:</w:t>
            </w:r>
            <w:r w:rsidRPr="00B9629C">
              <w:rPr>
                <w:rFonts w:ascii="Arial" w:hAnsi="Arial" w:cs="Arial"/>
                <w:sz w:val="16"/>
                <w:szCs w:val="16"/>
                <w:highlight w:val="darkGray"/>
              </w:rPr>
              <w:t xml:space="preserve"> </w:t>
            </w:r>
          </w:p>
          <w:p w14:paraId="260DE43C" w14:textId="77777777" w:rsidR="00E07C61" w:rsidRPr="00B9629C" w:rsidRDefault="00E07C61" w:rsidP="00E07C61">
            <w:pPr>
              <w:pStyle w:val="Default"/>
              <w:jc w:val="both"/>
              <w:rPr>
                <w:rFonts w:ascii="Arial" w:hAnsi="Arial" w:cs="Arial"/>
                <w:sz w:val="16"/>
                <w:szCs w:val="16"/>
                <w:highlight w:val="darkGray"/>
              </w:rPr>
            </w:pPr>
            <w:r w:rsidRPr="00B9629C">
              <w:rPr>
                <w:rFonts w:ascii="Arial" w:hAnsi="Arial" w:cs="Arial"/>
                <w:sz w:val="16"/>
                <w:szCs w:val="16"/>
                <w:highlight w:val="darkGray"/>
              </w:rPr>
              <w:t>Add DTG 50 mg 12 hours after TLD dose.</w:t>
            </w:r>
          </w:p>
          <w:p w14:paraId="7DF9A198" w14:textId="77777777" w:rsidR="00E07C61" w:rsidRPr="00B9629C" w:rsidRDefault="00E07C61" w:rsidP="00E07C61">
            <w:pPr>
              <w:pStyle w:val="Default"/>
              <w:jc w:val="both"/>
              <w:rPr>
                <w:rFonts w:ascii="Arial" w:hAnsi="Arial" w:cs="Arial"/>
                <w:sz w:val="16"/>
                <w:szCs w:val="16"/>
                <w:highlight w:val="darkGray"/>
              </w:rPr>
            </w:pP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134"/>
            </w:tblGrid>
            <w:tr w:rsidR="00E07C61" w:rsidRPr="00B9629C" w14:paraId="3B8BF2B0" w14:textId="77777777" w:rsidTr="00E3263A">
              <w:tc>
                <w:tcPr>
                  <w:tcW w:w="1134" w:type="dxa"/>
                  <w:shd w:val="clear" w:color="auto" w:fill="auto"/>
                </w:tcPr>
                <w:p w14:paraId="17553982" w14:textId="77777777" w:rsidR="00E07C61" w:rsidRPr="00B9629C" w:rsidRDefault="00E07C61" w:rsidP="00E07C61">
                  <w:pPr>
                    <w:jc w:val="right"/>
                    <w:rPr>
                      <w:i/>
                      <w:sz w:val="14"/>
                      <w:highlight w:val="darkGray"/>
                    </w:rPr>
                  </w:pPr>
                  <w:r w:rsidRPr="00B9629C">
                    <w:rPr>
                      <w:i/>
                      <w:sz w:val="14"/>
                      <w:highlight w:val="darkGray"/>
                    </w:rPr>
                    <w:t>LoE:IIIb</w:t>
                  </w:r>
                  <w:r w:rsidRPr="00B9629C">
                    <w:rPr>
                      <w:rStyle w:val="EndnoteReference"/>
                      <w:i/>
                      <w:sz w:val="14"/>
                      <w:highlight w:val="darkGray"/>
                    </w:rPr>
                    <w:endnoteReference w:id="19"/>
                  </w:r>
                </w:p>
              </w:tc>
            </w:tr>
          </w:tbl>
          <w:p w14:paraId="02EA2834" w14:textId="77777777" w:rsidR="00E07C61" w:rsidRPr="00B9629C" w:rsidRDefault="00E07C61" w:rsidP="00E07C61">
            <w:pPr>
              <w:pStyle w:val="Default"/>
              <w:jc w:val="both"/>
              <w:rPr>
                <w:rFonts w:ascii="Arial" w:hAnsi="Arial" w:cs="Arial"/>
                <w:sz w:val="10"/>
                <w:szCs w:val="16"/>
                <w:highlight w:val="darkGray"/>
              </w:rPr>
            </w:pPr>
          </w:p>
          <w:p w14:paraId="6C14F355" w14:textId="77777777" w:rsidR="00E07C61" w:rsidRPr="00B9629C" w:rsidRDefault="00E07C61" w:rsidP="00E07C61">
            <w:pPr>
              <w:pStyle w:val="Default"/>
              <w:jc w:val="both"/>
              <w:rPr>
                <w:rFonts w:ascii="Arial" w:hAnsi="Arial" w:cs="Arial"/>
                <w:sz w:val="16"/>
                <w:szCs w:val="16"/>
                <w:highlight w:val="darkGray"/>
              </w:rPr>
            </w:pPr>
            <w:r w:rsidRPr="00B9629C">
              <w:rPr>
                <w:rFonts w:ascii="Arial" w:hAnsi="Arial" w:cs="Arial"/>
                <w:sz w:val="16"/>
                <w:szCs w:val="16"/>
                <w:highlight w:val="darkGray"/>
                <w:u w:val="single"/>
              </w:rPr>
              <w:t>If on ATV/r</w:t>
            </w:r>
            <w:r w:rsidRPr="00B9629C">
              <w:rPr>
                <w:rFonts w:ascii="Arial" w:hAnsi="Arial" w:cs="Arial"/>
                <w:sz w:val="16"/>
                <w:szCs w:val="16"/>
                <w:highlight w:val="darkGray"/>
              </w:rPr>
              <w:t xml:space="preserve">: </w:t>
            </w:r>
          </w:p>
          <w:p w14:paraId="7AC7F6AB" w14:textId="77777777" w:rsidR="00E07C61" w:rsidRPr="00B9629C" w:rsidRDefault="00E07C61" w:rsidP="00E07C61">
            <w:pPr>
              <w:pStyle w:val="Default"/>
              <w:jc w:val="both"/>
              <w:rPr>
                <w:rFonts w:ascii="Arial" w:hAnsi="Arial" w:cs="Arial"/>
                <w:sz w:val="16"/>
                <w:szCs w:val="16"/>
                <w:highlight w:val="darkGray"/>
              </w:rPr>
            </w:pPr>
            <w:r w:rsidRPr="00B9629C">
              <w:rPr>
                <w:rFonts w:ascii="Arial" w:hAnsi="Arial" w:cs="Arial"/>
                <w:sz w:val="16"/>
                <w:szCs w:val="16"/>
                <w:highlight w:val="darkGray"/>
              </w:rPr>
              <w:t xml:space="preserve">Switch ATV/r to LPV/r 800/200 mg 12 hourly (i.e. double dose). </w:t>
            </w:r>
          </w:p>
          <w:p w14:paraId="644EF960" w14:textId="77777777" w:rsidR="00E07C61" w:rsidRPr="00B9629C" w:rsidRDefault="00E07C61" w:rsidP="00E07C61">
            <w:pPr>
              <w:pStyle w:val="Default"/>
              <w:jc w:val="both"/>
              <w:rPr>
                <w:rFonts w:ascii="Arial" w:hAnsi="Arial" w:cs="Arial"/>
                <w:sz w:val="10"/>
                <w:szCs w:val="16"/>
                <w:highlight w:val="darkGray"/>
              </w:rPr>
            </w:pPr>
          </w:p>
          <w:p w14:paraId="44C1D06F" w14:textId="77777777" w:rsidR="00E07C61" w:rsidRPr="00B9629C" w:rsidRDefault="00E07C61" w:rsidP="00E07C61">
            <w:pPr>
              <w:jc w:val="both"/>
              <w:rPr>
                <w:rFonts w:cs="Arial"/>
                <w:b/>
                <w:spacing w:val="-2"/>
                <w:sz w:val="16"/>
                <w:szCs w:val="16"/>
                <w:highlight w:val="darkGray"/>
              </w:rPr>
            </w:pPr>
            <w:r w:rsidRPr="00B9629C">
              <w:rPr>
                <w:rFonts w:cs="Arial"/>
                <w:b/>
                <w:spacing w:val="-2"/>
                <w:sz w:val="16"/>
                <w:szCs w:val="16"/>
                <w:highlight w:val="darkGray"/>
              </w:rPr>
              <w:t xml:space="preserve">Note: </w:t>
            </w:r>
            <w:r w:rsidRPr="00B9629C">
              <w:rPr>
                <w:rFonts w:cs="Arial"/>
                <w:spacing w:val="-2"/>
                <w:sz w:val="16"/>
                <w:szCs w:val="16"/>
                <w:highlight w:val="darkGray"/>
              </w:rPr>
              <w:t>There is an increased risk of ALT/AST elevations and gastrointestinal disorders. LPV/r dose should be gradually titrated upward over 1-2 weeks.</w:t>
            </w:r>
            <w:r w:rsidRPr="00B9629C">
              <w:rPr>
                <w:rFonts w:cs="Arial"/>
                <w:b/>
                <w:spacing w:val="-2"/>
                <w:sz w:val="16"/>
                <w:szCs w:val="16"/>
                <w:highlight w:val="darkGray"/>
              </w:rPr>
              <w:t xml:space="preserve">   </w:t>
            </w:r>
          </w:p>
          <w:p w14:paraId="5A661621" w14:textId="77777777" w:rsidR="00E07C61" w:rsidRPr="00B9629C" w:rsidRDefault="00E07C61" w:rsidP="00E07C61">
            <w:pPr>
              <w:jc w:val="both"/>
              <w:rPr>
                <w:rFonts w:cs="Arial"/>
                <w:b/>
                <w:spacing w:val="-2"/>
                <w:sz w:val="16"/>
                <w:szCs w:val="16"/>
                <w:highlight w:val="darkGray"/>
              </w:rPr>
            </w:pPr>
          </w:p>
          <w:p w14:paraId="196BC7BB" w14:textId="5E6EFE31" w:rsidR="00E07C61" w:rsidRPr="00B9629C" w:rsidDel="00CF34F3" w:rsidRDefault="00E07C61" w:rsidP="00E07C61">
            <w:pPr>
              <w:pStyle w:val="Default"/>
              <w:jc w:val="both"/>
              <w:rPr>
                <w:rFonts w:cs="Arial"/>
                <w:sz w:val="16"/>
                <w:szCs w:val="16"/>
                <w:highlight w:val="darkGray"/>
              </w:rPr>
            </w:pPr>
            <w:r w:rsidRPr="00B9629C">
              <w:rPr>
                <w:rFonts w:ascii="Arial" w:hAnsi="Arial" w:cs="Arial"/>
                <w:sz w:val="16"/>
                <w:szCs w:val="16"/>
                <w:highlight w:val="darkGray"/>
              </w:rPr>
              <w:t>The LPV/r can be switched back to ATV/r two weeks after completion of TB therapy.</w:t>
            </w:r>
          </w:p>
        </w:tc>
      </w:tr>
    </w:tbl>
    <w:p w14:paraId="08EFF364" w14:textId="77777777" w:rsidR="00CF3767" w:rsidRPr="00B9629C" w:rsidRDefault="00CF3767" w:rsidP="00CF3767">
      <w:pPr>
        <w:pStyle w:val="MediumGrid1-Accent21"/>
        <w:ind w:left="0"/>
        <w:contextualSpacing/>
        <w:jc w:val="both"/>
        <w:rPr>
          <w:i/>
          <w:sz w:val="14"/>
          <w:highlight w:val="darkGray"/>
          <w:lang w:val="en-ZA"/>
        </w:rPr>
      </w:pPr>
      <w:r w:rsidRPr="00B9629C">
        <w:rPr>
          <w:i/>
          <w:sz w:val="14"/>
          <w:highlight w:val="darkGray"/>
          <w:lang w:val="en-ZA"/>
        </w:rPr>
        <w:t>ABC=Abacavir, ATV/r=Atazanavir/ritonavir, AZT=Zidovudine, 3TC=Lamivudine, DTG= Dolutegravir, EFV=Efavirenz FTC=Emtricitabine, LPV/r=Lopinavir/ritonavir, TDF=Tenofovir disoproxil fumarate</w:t>
      </w:r>
    </w:p>
    <w:p w14:paraId="1AE975AE" w14:textId="77777777" w:rsidR="00FC0C4D" w:rsidRPr="00B9629C" w:rsidRDefault="00FC0C4D" w:rsidP="00FC0C4D">
      <w:pPr>
        <w:spacing w:before="0" w:after="0"/>
        <w:contextualSpacing/>
        <w:jc w:val="both"/>
        <w:rPr>
          <w:rFonts w:eastAsia="Times New Roman" w:cs="Times New Roman"/>
          <w:i/>
          <w:spacing w:val="0"/>
          <w:sz w:val="14"/>
          <w:szCs w:val="24"/>
          <w:highlight w:val="darkGray"/>
        </w:rPr>
      </w:pPr>
      <w:r w:rsidRPr="00B9629C">
        <w:rPr>
          <w:rFonts w:eastAsia="Times New Roman" w:cs="Times New Roman"/>
          <w:i/>
          <w:spacing w:val="0"/>
          <w:sz w:val="14"/>
          <w:szCs w:val="24"/>
          <w:highlight w:val="darkGray"/>
        </w:rPr>
        <w:t>TAF= Tenofovir alafenamide</w:t>
      </w:r>
    </w:p>
    <w:p w14:paraId="7859070F" w14:textId="40E81724" w:rsidR="00CF3767" w:rsidRPr="00B9629C" w:rsidRDefault="00CF3767" w:rsidP="00CF3767">
      <w:pPr>
        <w:pStyle w:val="MediumGrid1-Accent21"/>
        <w:ind w:left="0"/>
        <w:contextualSpacing/>
        <w:jc w:val="both"/>
        <w:rPr>
          <w:sz w:val="16"/>
          <w:highlight w:val="darkGray"/>
          <w:lang w:val="en-ZA"/>
        </w:rPr>
      </w:pPr>
      <w:r w:rsidRPr="00B9629C">
        <w:rPr>
          <w:b/>
          <w:sz w:val="16"/>
          <w:highlight w:val="darkGray"/>
          <w:lang w:val="en-ZA"/>
        </w:rPr>
        <w:t>Table 11.1:</w:t>
      </w:r>
      <w:r w:rsidRPr="00B9629C">
        <w:rPr>
          <w:sz w:val="16"/>
          <w:highlight w:val="darkGray"/>
          <w:lang w:val="en-ZA"/>
        </w:rPr>
        <w:t xml:space="preserve"> ART regimens</w:t>
      </w:r>
    </w:p>
    <w:p w14:paraId="25462CF8" w14:textId="77777777" w:rsidR="00CF3767" w:rsidRPr="00B9629C" w:rsidRDefault="00CF3767" w:rsidP="00D63CF8">
      <w:pPr>
        <w:autoSpaceDE w:val="0"/>
        <w:autoSpaceDN w:val="0"/>
        <w:adjustRightInd w:val="0"/>
        <w:spacing w:before="0" w:after="0"/>
        <w:jc w:val="both"/>
        <w:rPr>
          <w:rFonts w:cs="Arial"/>
          <w:sz w:val="16"/>
          <w:szCs w:val="16"/>
          <w:highlight w:val="darkGray"/>
        </w:rPr>
      </w:pPr>
      <w:r w:rsidRPr="00B9629C">
        <w:rPr>
          <w:rFonts w:cs="Arial"/>
          <w:sz w:val="16"/>
          <w:szCs w:val="16"/>
          <w:highlight w:val="darkGray"/>
        </w:rPr>
        <w:t>*For advice from an HIV expert, approach an HIV Hotline, an infectious disease specialist, or the Third Line ART committee.</w:t>
      </w:r>
    </w:p>
    <w:p w14:paraId="1037D97F" w14:textId="77777777" w:rsidR="00CF3767" w:rsidRPr="00B9629C" w:rsidRDefault="00CF3767" w:rsidP="00D63CF8">
      <w:pPr>
        <w:autoSpaceDE w:val="0"/>
        <w:autoSpaceDN w:val="0"/>
        <w:adjustRightInd w:val="0"/>
        <w:spacing w:before="0" w:after="0"/>
        <w:jc w:val="both"/>
        <w:rPr>
          <w:rFonts w:cs="Arial"/>
          <w:sz w:val="16"/>
          <w:szCs w:val="16"/>
          <w:highlight w:val="darkGray"/>
        </w:rPr>
      </w:pPr>
      <w:r w:rsidRPr="00B9629C">
        <w:rPr>
          <w:rFonts w:cs="Arial"/>
          <w:sz w:val="16"/>
          <w:szCs w:val="16"/>
          <w:highlight w:val="darkGray"/>
        </w:rPr>
        <w:t>HIV Hotlines:</w:t>
      </w:r>
    </w:p>
    <w:p w14:paraId="499FA7D7" w14:textId="77777777" w:rsidR="00CF3767" w:rsidRPr="00B9629C" w:rsidRDefault="00CF3767" w:rsidP="009750A0">
      <w:pPr>
        <w:pStyle w:val="ListParagraph"/>
        <w:numPr>
          <w:ilvl w:val="0"/>
          <w:numId w:val="10"/>
        </w:numPr>
        <w:autoSpaceDE w:val="0"/>
        <w:autoSpaceDN w:val="0"/>
        <w:adjustRightInd w:val="0"/>
        <w:jc w:val="both"/>
        <w:rPr>
          <w:rFonts w:eastAsia="Calibri" w:cs="Arial"/>
          <w:b/>
          <w:bCs/>
          <w:sz w:val="16"/>
          <w:szCs w:val="16"/>
          <w:highlight w:val="darkGray"/>
        </w:rPr>
      </w:pPr>
      <w:r w:rsidRPr="00B9629C">
        <w:rPr>
          <w:rFonts w:cs="Arial"/>
          <w:sz w:val="16"/>
          <w:szCs w:val="16"/>
          <w:highlight w:val="darkGray"/>
        </w:rPr>
        <w:t xml:space="preserve">National HIV &amp; TB Health Care Worker Hotline: </w:t>
      </w:r>
      <w:r w:rsidRPr="00B9629C">
        <w:rPr>
          <w:rFonts w:cs="Arial"/>
          <w:b/>
          <w:bCs/>
          <w:sz w:val="16"/>
          <w:szCs w:val="16"/>
          <w:highlight w:val="darkGray"/>
        </w:rPr>
        <w:t>0800 212 506</w:t>
      </w:r>
    </w:p>
    <w:p w14:paraId="0CF6C09F" w14:textId="77777777" w:rsidR="00CF3767" w:rsidRPr="00B9629C" w:rsidRDefault="00CF3767" w:rsidP="009750A0">
      <w:pPr>
        <w:pStyle w:val="ListParagraph"/>
        <w:numPr>
          <w:ilvl w:val="0"/>
          <w:numId w:val="10"/>
        </w:numPr>
        <w:autoSpaceDE w:val="0"/>
        <w:autoSpaceDN w:val="0"/>
        <w:adjustRightInd w:val="0"/>
        <w:jc w:val="both"/>
        <w:rPr>
          <w:rFonts w:eastAsia="Calibri" w:cs="Arial"/>
          <w:b/>
          <w:bCs/>
          <w:sz w:val="16"/>
          <w:szCs w:val="16"/>
          <w:highlight w:val="darkGray"/>
        </w:rPr>
      </w:pPr>
      <w:r w:rsidRPr="00B9629C">
        <w:rPr>
          <w:rFonts w:eastAsia="Calibri" w:cs="Arial"/>
          <w:sz w:val="16"/>
          <w:szCs w:val="16"/>
          <w:highlight w:val="darkGray"/>
        </w:rPr>
        <w:t xml:space="preserve">Right to Care Paediatric, Adolescent and Adult HIV Helpline: </w:t>
      </w:r>
      <w:r w:rsidRPr="00B9629C">
        <w:rPr>
          <w:rFonts w:eastAsia="Calibri" w:cs="Arial"/>
          <w:b/>
          <w:bCs/>
          <w:sz w:val="16"/>
          <w:szCs w:val="16"/>
          <w:highlight w:val="darkGray"/>
        </w:rPr>
        <w:t xml:space="preserve">082 352 6642 </w:t>
      </w:r>
    </w:p>
    <w:p w14:paraId="71483B3F" w14:textId="77777777" w:rsidR="00CF3767" w:rsidRPr="00B9629C" w:rsidRDefault="00CF3767" w:rsidP="009750A0">
      <w:pPr>
        <w:pStyle w:val="ListParagraph"/>
        <w:numPr>
          <w:ilvl w:val="0"/>
          <w:numId w:val="10"/>
        </w:numPr>
        <w:autoSpaceDE w:val="0"/>
        <w:autoSpaceDN w:val="0"/>
        <w:adjustRightInd w:val="0"/>
        <w:jc w:val="both"/>
        <w:rPr>
          <w:rFonts w:eastAsia="Calibri" w:cs="Arial"/>
          <w:sz w:val="16"/>
          <w:szCs w:val="16"/>
          <w:highlight w:val="darkGray"/>
        </w:rPr>
      </w:pPr>
      <w:r w:rsidRPr="00B9629C">
        <w:rPr>
          <w:rFonts w:eastAsia="Calibri" w:cs="Arial"/>
          <w:sz w:val="16"/>
          <w:szCs w:val="16"/>
          <w:highlight w:val="darkGray"/>
        </w:rPr>
        <w:t xml:space="preserve">KZN Paediatric Hotline: </w:t>
      </w:r>
      <w:r w:rsidRPr="00B9629C">
        <w:rPr>
          <w:rFonts w:eastAsia="Calibri" w:cs="Arial"/>
          <w:b/>
          <w:bCs/>
          <w:sz w:val="16"/>
          <w:szCs w:val="16"/>
          <w:highlight w:val="darkGray"/>
        </w:rPr>
        <w:t>0800 006 603</w:t>
      </w:r>
    </w:p>
    <w:p w14:paraId="3BE85DF7" w14:textId="77777777" w:rsidR="00D63CF8" w:rsidRPr="00B9629C" w:rsidRDefault="00D63CF8" w:rsidP="00D63CF8">
      <w:pPr>
        <w:autoSpaceDE w:val="0"/>
        <w:autoSpaceDN w:val="0"/>
        <w:adjustRightInd w:val="0"/>
        <w:spacing w:before="0" w:after="0"/>
        <w:rPr>
          <w:rFonts w:cs="Arial"/>
          <w:b/>
          <w:bCs/>
          <w:iCs/>
          <w:spacing w:val="-2"/>
          <w:sz w:val="16"/>
          <w:szCs w:val="16"/>
          <w:highlight w:val="darkGray"/>
          <w:lang w:eastAsia="en-ZA"/>
        </w:rPr>
      </w:pPr>
    </w:p>
    <w:p w14:paraId="2193E1B0" w14:textId="77777777" w:rsidR="002E7F99" w:rsidRPr="00B9629C" w:rsidRDefault="002E7F99" w:rsidP="00D63CF8">
      <w:pPr>
        <w:autoSpaceDE w:val="0"/>
        <w:autoSpaceDN w:val="0"/>
        <w:adjustRightInd w:val="0"/>
        <w:spacing w:before="0" w:after="0"/>
        <w:rPr>
          <w:rFonts w:cs="Arial"/>
          <w:b/>
          <w:bCs/>
          <w:iCs/>
          <w:spacing w:val="-2"/>
          <w:sz w:val="16"/>
          <w:szCs w:val="16"/>
          <w:highlight w:val="darkGray"/>
          <w:lang w:eastAsia="en-ZA"/>
        </w:rPr>
      </w:pPr>
    </w:p>
    <w:p w14:paraId="0FAD5644" w14:textId="061FC837" w:rsidR="00CF3767" w:rsidRPr="00B9629C" w:rsidRDefault="00CF3767" w:rsidP="00724290">
      <w:pPr>
        <w:autoSpaceDE w:val="0"/>
        <w:autoSpaceDN w:val="0"/>
        <w:adjustRightInd w:val="0"/>
        <w:spacing w:before="0" w:after="0"/>
        <w:jc w:val="both"/>
        <w:rPr>
          <w:rFonts w:cs="Arial"/>
          <w:bCs/>
          <w:iCs/>
          <w:spacing w:val="-2"/>
          <w:highlight w:val="darkGray"/>
          <w:lang w:eastAsia="en-ZA"/>
        </w:rPr>
      </w:pPr>
      <w:r w:rsidRPr="00B9629C">
        <w:rPr>
          <w:rFonts w:cs="Arial"/>
          <w:b/>
          <w:bCs/>
          <w:iCs/>
          <w:spacing w:val="-2"/>
          <w:highlight w:val="darkGray"/>
          <w:lang w:eastAsia="en-ZA"/>
        </w:rPr>
        <w:t>Note:</w:t>
      </w:r>
      <w:r w:rsidRPr="00B9629C">
        <w:rPr>
          <w:rFonts w:cs="Arial"/>
          <w:bCs/>
          <w:iCs/>
          <w:spacing w:val="-2"/>
          <w:highlight w:val="darkGray"/>
          <w:lang w:eastAsia="en-ZA"/>
        </w:rPr>
        <w:t xml:space="preserve"> Always check hepatitis B surface antigen (HBsAg) before stopping T</w:t>
      </w:r>
      <w:r w:rsidR="00724290" w:rsidRPr="00B9629C">
        <w:rPr>
          <w:rFonts w:cs="Arial"/>
          <w:bCs/>
          <w:iCs/>
          <w:spacing w:val="-2"/>
          <w:highlight w:val="darkGray"/>
          <w:lang w:eastAsia="en-ZA"/>
        </w:rPr>
        <w:t>DF:</w:t>
      </w:r>
    </w:p>
    <w:p w14:paraId="07D3276D" w14:textId="77777777" w:rsidR="00CF3767" w:rsidRPr="00B9629C" w:rsidRDefault="00CF3767" w:rsidP="009750A0">
      <w:pPr>
        <w:numPr>
          <w:ilvl w:val="0"/>
          <w:numId w:val="22"/>
        </w:numPr>
        <w:autoSpaceDE w:val="0"/>
        <w:autoSpaceDN w:val="0"/>
        <w:adjustRightInd w:val="0"/>
        <w:spacing w:before="0" w:after="0"/>
        <w:ind w:left="180" w:hanging="180"/>
        <w:jc w:val="both"/>
        <w:rPr>
          <w:rFonts w:cs="Arial"/>
          <w:bCs/>
          <w:iCs/>
          <w:spacing w:val="-2"/>
          <w:highlight w:val="darkGray"/>
          <w:lang w:eastAsia="en-ZA"/>
        </w:rPr>
      </w:pPr>
      <w:r w:rsidRPr="00B9629C">
        <w:rPr>
          <w:rFonts w:cs="Arial"/>
          <w:bCs/>
          <w:iCs/>
          <w:spacing w:val="-2"/>
          <w:highlight w:val="darkGray"/>
          <w:lang w:eastAsia="en-ZA"/>
        </w:rPr>
        <w:t xml:space="preserve">If patient has chronic hepatitis B, stopping TDF may lead to a fatal hepatitis flare. </w:t>
      </w:r>
    </w:p>
    <w:p w14:paraId="4A9C4754" w14:textId="4B88DA7D" w:rsidR="00CF3767" w:rsidRPr="00B9629C" w:rsidRDefault="00CF3767" w:rsidP="009750A0">
      <w:pPr>
        <w:numPr>
          <w:ilvl w:val="0"/>
          <w:numId w:val="22"/>
        </w:numPr>
        <w:autoSpaceDE w:val="0"/>
        <w:autoSpaceDN w:val="0"/>
        <w:adjustRightInd w:val="0"/>
        <w:spacing w:before="0" w:after="0"/>
        <w:ind w:left="180" w:hanging="180"/>
        <w:jc w:val="both"/>
        <w:rPr>
          <w:rFonts w:cs="Arial"/>
          <w:bCs/>
          <w:iCs/>
          <w:spacing w:val="-2"/>
          <w:highlight w:val="darkGray"/>
          <w:lang w:eastAsia="en-ZA"/>
        </w:rPr>
      </w:pPr>
      <w:r w:rsidRPr="00B9629C">
        <w:rPr>
          <w:rFonts w:cs="Arial"/>
          <w:bCs/>
          <w:iCs/>
          <w:spacing w:val="-2"/>
          <w:highlight w:val="darkGray"/>
          <w:lang w:eastAsia="en-ZA"/>
        </w:rPr>
        <w:t>If HBsAg</w:t>
      </w:r>
      <w:r w:rsidRPr="00B9629C" w:rsidDel="00937312">
        <w:rPr>
          <w:rFonts w:cs="Arial"/>
          <w:bCs/>
          <w:iCs/>
          <w:spacing w:val="-2"/>
          <w:highlight w:val="darkGray"/>
          <w:lang w:eastAsia="en-ZA"/>
        </w:rPr>
        <w:t xml:space="preserve"> </w:t>
      </w:r>
      <w:r w:rsidRPr="00B9629C">
        <w:rPr>
          <w:rFonts w:cs="Arial"/>
          <w:bCs/>
          <w:iCs/>
          <w:spacing w:val="-2"/>
          <w:highlight w:val="darkGray"/>
          <w:lang w:eastAsia="en-ZA"/>
        </w:rPr>
        <w:t xml:space="preserve">positive, TDF should be </w:t>
      </w:r>
      <w:r w:rsidR="00CF7997" w:rsidRPr="00B9629C">
        <w:rPr>
          <w:rFonts w:cs="Arial"/>
          <w:bCs/>
          <w:iCs/>
          <w:spacing w:val="-2"/>
          <w:highlight w:val="darkGray"/>
          <w:lang w:eastAsia="en-ZA"/>
        </w:rPr>
        <w:t>incorporated as part of the ART regimen</w:t>
      </w:r>
      <w:r w:rsidRPr="00B9629C">
        <w:rPr>
          <w:rFonts w:cs="Arial"/>
          <w:bCs/>
          <w:iCs/>
          <w:spacing w:val="-2"/>
          <w:highlight w:val="darkGray"/>
          <w:lang w:eastAsia="en-ZA"/>
        </w:rPr>
        <w:t>.</w:t>
      </w:r>
    </w:p>
    <w:p w14:paraId="68871EC6" w14:textId="77777777" w:rsidR="00912423" w:rsidRPr="00B9629C" w:rsidRDefault="00912423" w:rsidP="00CF3767">
      <w:pPr>
        <w:jc w:val="both"/>
        <w:rPr>
          <w:spacing w:val="-2"/>
          <w:highlight w:val="darkGray"/>
        </w:rPr>
      </w:pPr>
    </w:p>
    <w:p w14:paraId="2AC8C4B2" w14:textId="2AA5CB90" w:rsidR="00CF3767" w:rsidRPr="00B9629C" w:rsidRDefault="00CF3767" w:rsidP="00CF3767">
      <w:pPr>
        <w:jc w:val="both"/>
        <w:rPr>
          <w:spacing w:val="-2"/>
          <w:highlight w:val="darkGray"/>
        </w:rPr>
      </w:pPr>
      <w:r w:rsidRPr="00B9629C">
        <w:rPr>
          <w:spacing w:val="-2"/>
          <w:highlight w:val="darkGray"/>
        </w:rPr>
        <w:t>Currently available ARV FDC preparations on contract:</w:t>
      </w:r>
    </w:p>
    <w:p w14:paraId="732E9C14" w14:textId="77777777" w:rsidR="00CF3767" w:rsidRPr="00B9629C" w:rsidRDefault="00CF3767" w:rsidP="009750A0">
      <w:pPr>
        <w:pStyle w:val="ListParagraph"/>
        <w:numPr>
          <w:ilvl w:val="0"/>
          <w:numId w:val="11"/>
        </w:numPr>
        <w:ind w:left="283" w:hanging="283"/>
        <w:rPr>
          <w:rFonts w:cs="Arial"/>
          <w:highlight w:val="darkGray"/>
        </w:rPr>
      </w:pPr>
      <w:r w:rsidRPr="00B9629C">
        <w:rPr>
          <w:rFonts w:cs="Arial"/>
          <w:highlight w:val="darkGray"/>
        </w:rPr>
        <w:t xml:space="preserve">ABC 600 mg + 3TC 300 mg </w:t>
      </w:r>
    </w:p>
    <w:p w14:paraId="5E26AD0A" w14:textId="77777777" w:rsidR="00CF3767" w:rsidRPr="00B9629C" w:rsidRDefault="00CF3767" w:rsidP="009750A0">
      <w:pPr>
        <w:pStyle w:val="ListParagraph"/>
        <w:numPr>
          <w:ilvl w:val="0"/>
          <w:numId w:val="11"/>
        </w:numPr>
        <w:ind w:left="283" w:hanging="283"/>
        <w:rPr>
          <w:rFonts w:cs="Arial"/>
          <w:highlight w:val="darkGray"/>
        </w:rPr>
      </w:pPr>
      <w:r w:rsidRPr="00B9629C">
        <w:rPr>
          <w:rFonts w:cs="Arial"/>
          <w:highlight w:val="darkGray"/>
        </w:rPr>
        <w:t>TDF 300 mg + FTC 200 mg</w:t>
      </w:r>
    </w:p>
    <w:p w14:paraId="0CC9498E" w14:textId="77777777" w:rsidR="00CF3767" w:rsidRPr="00B9629C" w:rsidRDefault="00CF3767" w:rsidP="009750A0">
      <w:pPr>
        <w:pStyle w:val="ListParagraph"/>
        <w:numPr>
          <w:ilvl w:val="0"/>
          <w:numId w:val="11"/>
        </w:numPr>
        <w:ind w:left="283" w:hanging="283"/>
        <w:rPr>
          <w:rFonts w:cs="Arial"/>
          <w:highlight w:val="darkGray"/>
        </w:rPr>
      </w:pPr>
      <w:r w:rsidRPr="00B9629C">
        <w:rPr>
          <w:rFonts w:cs="Arial"/>
          <w:highlight w:val="darkGray"/>
        </w:rPr>
        <w:t>AZT 300 mg + 3TC 150 mg</w:t>
      </w:r>
    </w:p>
    <w:p w14:paraId="211775CC" w14:textId="77777777" w:rsidR="00CF3767" w:rsidRPr="00B9629C" w:rsidRDefault="00CF3767" w:rsidP="009750A0">
      <w:pPr>
        <w:pStyle w:val="ListParagraph"/>
        <w:numPr>
          <w:ilvl w:val="0"/>
          <w:numId w:val="11"/>
        </w:numPr>
        <w:ind w:left="283" w:hanging="283"/>
        <w:rPr>
          <w:rFonts w:cs="Arial"/>
          <w:highlight w:val="darkGray"/>
        </w:rPr>
      </w:pPr>
      <w:r w:rsidRPr="00B9629C">
        <w:rPr>
          <w:rFonts w:cs="Arial"/>
          <w:highlight w:val="darkGray"/>
        </w:rPr>
        <w:t xml:space="preserve">LPV 100 mg + ritonavir 25 mg </w:t>
      </w:r>
    </w:p>
    <w:p w14:paraId="1C0EE934" w14:textId="77777777" w:rsidR="00CF3767" w:rsidRPr="00B9629C" w:rsidRDefault="00CF3767" w:rsidP="009750A0">
      <w:pPr>
        <w:pStyle w:val="ListParagraph"/>
        <w:numPr>
          <w:ilvl w:val="0"/>
          <w:numId w:val="11"/>
        </w:numPr>
        <w:ind w:left="283" w:hanging="283"/>
        <w:rPr>
          <w:rFonts w:cs="Arial"/>
          <w:highlight w:val="darkGray"/>
        </w:rPr>
      </w:pPr>
      <w:r w:rsidRPr="00B9629C">
        <w:rPr>
          <w:rFonts w:cs="Arial"/>
          <w:highlight w:val="darkGray"/>
        </w:rPr>
        <w:t xml:space="preserve">LPV 200 mg + ritonavir 50 mg </w:t>
      </w:r>
    </w:p>
    <w:p w14:paraId="03153E6B" w14:textId="77777777" w:rsidR="00CF3767" w:rsidRPr="00B9629C" w:rsidRDefault="00CF3767" w:rsidP="009750A0">
      <w:pPr>
        <w:pStyle w:val="ListParagraph"/>
        <w:numPr>
          <w:ilvl w:val="0"/>
          <w:numId w:val="12"/>
        </w:numPr>
        <w:ind w:left="283" w:hanging="283"/>
        <w:rPr>
          <w:rFonts w:cs="Arial"/>
          <w:highlight w:val="darkGray"/>
        </w:rPr>
      </w:pPr>
      <w:r w:rsidRPr="00B9629C">
        <w:rPr>
          <w:rFonts w:cs="Arial"/>
          <w:highlight w:val="darkGray"/>
        </w:rPr>
        <w:t xml:space="preserve">TDF 300 mg + FTC 200 mg + EFV 600 mg </w:t>
      </w:r>
    </w:p>
    <w:p w14:paraId="61085022" w14:textId="4D4D0265" w:rsidR="00CF3767" w:rsidRPr="00B9629C" w:rsidRDefault="00CF3767" w:rsidP="009750A0">
      <w:pPr>
        <w:pStyle w:val="ListParagraph"/>
        <w:numPr>
          <w:ilvl w:val="0"/>
          <w:numId w:val="12"/>
        </w:numPr>
        <w:ind w:left="283" w:hanging="283"/>
        <w:rPr>
          <w:rFonts w:cs="Arial"/>
          <w:highlight w:val="darkGray"/>
        </w:rPr>
      </w:pPr>
      <w:r w:rsidRPr="00B9629C">
        <w:rPr>
          <w:rFonts w:cs="Arial"/>
          <w:highlight w:val="darkGray"/>
        </w:rPr>
        <w:lastRenderedPageBreak/>
        <w:t>TDF 300</w:t>
      </w:r>
      <w:r w:rsidR="007121FB" w:rsidRPr="00B9629C">
        <w:rPr>
          <w:rFonts w:cs="Arial"/>
          <w:highlight w:val="darkGray"/>
        </w:rPr>
        <w:t xml:space="preserve"> </w:t>
      </w:r>
      <w:r w:rsidRPr="00B9629C">
        <w:rPr>
          <w:rFonts w:cs="Arial"/>
          <w:highlight w:val="darkGray"/>
        </w:rPr>
        <w:t xml:space="preserve">mg + DTG 50 mg + 3TC 300 mg </w:t>
      </w:r>
    </w:p>
    <w:p w14:paraId="16F70A37" w14:textId="7AEAFEB2" w:rsidR="00CF3767" w:rsidRPr="00B9629C" w:rsidRDefault="00CF3767" w:rsidP="009750A0">
      <w:pPr>
        <w:pStyle w:val="ListParagraph"/>
        <w:numPr>
          <w:ilvl w:val="0"/>
          <w:numId w:val="12"/>
        </w:numPr>
        <w:ind w:left="283" w:hanging="283"/>
        <w:rPr>
          <w:rFonts w:cs="Arial"/>
          <w:highlight w:val="darkGray"/>
        </w:rPr>
      </w:pPr>
      <w:r w:rsidRPr="00B9629C">
        <w:rPr>
          <w:rFonts w:cs="Arial"/>
          <w:highlight w:val="darkGray"/>
        </w:rPr>
        <w:t>ATV 300</w:t>
      </w:r>
      <w:r w:rsidR="007121FB" w:rsidRPr="00B9629C">
        <w:rPr>
          <w:rFonts w:cs="Arial"/>
          <w:highlight w:val="darkGray"/>
        </w:rPr>
        <w:t xml:space="preserve"> </w:t>
      </w:r>
      <w:r w:rsidRPr="00B9629C">
        <w:rPr>
          <w:rFonts w:cs="Arial"/>
          <w:highlight w:val="darkGray"/>
        </w:rPr>
        <w:t>mg + ritonavir 100</w:t>
      </w:r>
      <w:r w:rsidR="007121FB" w:rsidRPr="00B9629C">
        <w:rPr>
          <w:rFonts w:cs="Arial"/>
          <w:highlight w:val="darkGray"/>
        </w:rPr>
        <w:t xml:space="preserve"> </w:t>
      </w:r>
      <w:r w:rsidRPr="00B9629C">
        <w:rPr>
          <w:rFonts w:cs="Arial"/>
          <w:highlight w:val="darkGray"/>
        </w:rPr>
        <w:t>mg</w:t>
      </w:r>
    </w:p>
    <w:p w14:paraId="1E4F8CA4" w14:textId="20C0B096" w:rsidR="00CF3767" w:rsidRPr="00B9629C" w:rsidRDefault="00CF3767" w:rsidP="009750A0">
      <w:pPr>
        <w:pStyle w:val="ListParagraph"/>
        <w:numPr>
          <w:ilvl w:val="0"/>
          <w:numId w:val="12"/>
        </w:numPr>
        <w:ind w:left="283" w:hanging="283"/>
        <w:rPr>
          <w:rFonts w:cs="Arial"/>
          <w:highlight w:val="darkGray"/>
        </w:rPr>
      </w:pPr>
      <w:r w:rsidRPr="00B9629C">
        <w:rPr>
          <w:rFonts w:cs="Arial"/>
          <w:highlight w:val="darkGray"/>
        </w:rPr>
        <w:t>ABC 600</w:t>
      </w:r>
      <w:r w:rsidR="007121FB" w:rsidRPr="00B9629C">
        <w:rPr>
          <w:rFonts w:cs="Arial"/>
          <w:highlight w:val="darkGray"/>
        </w:rPr>
        <w:t xml:space="preserve"> </w:t>
      </w:r>
      <w:r w:rsidRPr="00B9629C">
        <w:rPr>
          <w:rFonts w:cs="Arial"/>
          <w:highlight w:val="darkGray"/>
        </w:rPr>
        <w:t>mg + 3TC 300</w:t>
      </w:r>
      <w:r w:rsidR="007121FB" w:rsidRPr="00B9629C">
        <w:rPr>
          <w:rFonts w:cs="Arial"/>
          <w:highlight w:val="darkGray"/>
        </w:rPr>
        <w:t xml:space="preserve"> </w:t>
      </w:r>
      <w:r w:rsidRPr="00B9629C">
        <w:rPr>
          <w:rFonts w:cs="Arial"/>
          <w:highlight w:val="darkGray"/>
        </w:rPr>
        <w:t>mg + DTG 50</w:t>
      </w:r>
      <w:r w:rsidR="002F4B94" w:rsidRPr="00B9629C">
        <w:rPr>
          <w:rFonts w:cs="Arial"/>
          <w:highlight w:val="darkGray"/>
        </w:rPr>
        <w:t xml:space="preserve"> </w:t>
      </w:r>
      <w:r w:rsidRPr="00B9629C">
        <w:rPr>
          <w:rFonts w:cs="Arial"/>
          <w:highlight w:val="darkGray"/>
        </w:rPr>
        <w:t>mg</w:t>
      </w:r>
    </w:p>
    <w:p w14:paraId="6CD32CF1" w14:textId="77777777" w:rsidR="00CF3767" w:rsidRPr="00B9629C" w:rsidRDefault="00CF3767" w:rsidP="006C69CE">
      <w:pPr>
        <w:pStyle w:val="ListParagraph"/>
        <w:numPr>
          <w:ilvl w:val="0"/>
          <w:numId w:val="0"/>
        </w:numPr>
        <w:jc w:val="both"/>
        <w:rPr>
          <w:rFonts w:cs="Arial"/>
          <w:i/>
          <w:sz w:val="14"/>
          <w:highlight w:val="darkGray"/>
        </w:rPr>
      </w:pPr>
      <w:r w:rsidRPr="00B9629C">
        <w:rPr>
          <w:rFonts w:cs="Arial"/>
          <w:i/>
          <w:sz w:val="14"/>
          <w:highlight w:val="darkGray"/>
        </w:rPr>
        <w:t xml:space="preserve">Source: Contract circular HP13-2022ARV </w:t>
      </w:r>
      <w:hyperlink r:id="rId13" w:history="1">
        <w:r w:rsidRPr="00B9629C">
          <w:rPr>
            <w:rStyle w:val="Hyperlink"/>
            <w:rFonts w:cs="Arial"/>
            <w:i/>
            <w:sz w:val="14"/>
            <w:highlight w:val="darkGray"/>
          </w:rPr>
          <w:t>http://www.health.gov.za/</w:t>
        </w:r>
      </w:hyperlink>
      <w:r w:rsidRPr="00B9629C">
        <w:rPr>
          <w:rFonts w:cs="Arial"/>
          <w:i/>
          <w:sz w:val="14"/>
          <w:highlight w:val="darkGray"/>
        </w:rPr>
        <w:t xml:space="preserve"> </w:t>
      </w:r>
    </w:p>
    <w:p w14:paraId="29A73E29" w14:textId="77777777" w:rsidR="005B5A35" w:rsidRPr="00B9629C" w:rsidRDefault="005B5A35" w:rsidP="00CF3767">
      <w:pPr>
        <w:rPr>
          <w:rFonts w:ascii="Arial Bold" w:eastAsia="Calibri" w:hAnsi="Arial Bold"/>
          <w:b/>
          <w:bCs/>
          <w:spacing w:val="-6"/>
          <w:highlight w:val="darkGray"/>
        </w:rPr>
      </w:pPr>
    </w:p>
    <w:p w14:paraId="77AED4AA" w14:textId="77777777" w:rsidR="008B10D2" w:rsidRPr="00B9629C" w:rsidRDefault="008B10D2" w:rsidP="00CF3767">
      <w:pPr>
        <w:rPr>
          <w:rFonts w:ascii="Arial Bold" w:eastAsia="Calibri" w:hAnsi="Arial Bold"/>
          <w:b/>
          <w:bCs/>
          <w:spacing w:val="-6"/>
          <w:highlight w:val="darkGray"/>
        </w:rPr>
      </w:pPr>
    </w:p>
    <w:p w14:paraId="09216649" w14:textId="77777777" w:rsidR="008B10D2" w:rsidRPr="00B9629C" w:rsidRDefault="008B10D2" w:rsidP="00CF3767">
      <w:pPr>
        <w:rPr>
          <w:rFonts w:ascii="Arial Bold" w:eastAsia="Calibri" w:hAnsi="Arial Bold"/>
          <w:b/>
          <w:bCs/>
          <w:spacing w:val="-6"/>
          <w:highlight w:val="darkGray"/>
        </w:rPr>
      </w:pPr>
    </w:p>
    <w:p w14:paraId="615DC0FB" w14:textId="77777777" w:rsidR="008B10D2" w:rsidRPr="00B9629C" w:rsidRDefault="008B10D2" w:rsidP="00CF3767">
      <w:pPr>
        <w:rPr>
          <w:rFonts w:ascii="Arial Bold" w:eastAsia="Calibri" w:hAnsi="Arial Bold"/>
          <w:b/>
          <w:bCs/>
          <w:spacing w:val="-6"/>
          <w:highlight w:val="darkGray"/>
        </w:rPr>
      </w:pPr>
    </w:p>
    <w:p w14:paraId="64C13B71" w14:textId="77777777" w:rsidR="008B10D2" w:rsidRPr="00B9629C" w:rsidRDefault="008B10D2" w:rsidP="00CF3767">
      <w:pPr>
        <w:rPr>
          <w:rFonts w:ascii="Arial Bold" w:eastAsia="Calibri" w:hAnsi="Arial Bold"/>
          <w:b/>
          <w:bCs/>
          <w:spacing w:val="-6"/>
          <w:highlight w:val="darkGray"/>
        </w:rPr>
      </w:pPr>
    </w:p>
    <w:p w14:paraId="64124B38" w14:textId="77777777" w:rsidR="008B10D2" w:rsidRPr="00B9629C" w:rsidRDefault="008B10D2" w:rsidP="00CF3767">
      <w:pPr>
        <w:rPr>
          <w:rFonts w:ascii="Arial Bold" w:eastAsia="Calibri" w:hAnsi="Arial Bold"/>
          <w:b/>
          <w:bCs/>
          <w:spacing w:val="-6"/>
          <w:highlight w:val="darkGray"/>
        </w:rPr>
      </w:pPr>
    </w:p>
    <w:p w14:paraId="2CDC9623" w14:textId="77777777" w:rsidR="008B10D2" w:rsidRPr="00B9629C" w:rsidRDefault="008B10D2" w:rsidP="00CF3767">
      <w:pPr>
        <w:rPr>
          <w:rFonts w:ascii="Arial Bold" w:eastAsia="Calibri" w:hAnsi="Arial Bold"/>
          <w:b/>
          <w:bCs/>
          <w:spacing w:val="-6"/>
          <w:highlight w:val="darkGray"/>
        </w:rPr>
      </w:pPr>
    </w:p>
    <w:p w14:paraId="25787AAF" w14:textId="77777777" w:rsidR="008B10D2" w:rsidRPr="00B9629C" w:rsidRDefault="008B10D2" w:rsidP="00CF3767">
      <w:pPr>
        <w:rPr>
          <w:rFonts w:ascii="Arial Bold" w:eastAsia="Calibri" w:hAnsi="Arial Bold"/>
          <w:b/>
          <w:bCs/>
          <w:spacing w:val="-6"/>
          <w:highlight w:val="darkGray"/>
        </w:rPr>
      </w:pPr>
    </w:p>
    <w:p w14:paraId="1A07475F" w14:textId="77777777" w:rsidR="008B10D2" w:rsidRPr="00B9629C" w:rsidRDefault="008B10D2" w:rsidP="00CF3767">
      <w:pPr>
        <w:rPr>
          <w:rFonts w:ascii="Arial Bold" w:eastAsia="Calibri" w:hAnsi="Arial Bold"/>
          <w:b/>
          <w:bCs/>
          <w:spacing w:val="-6"/>
          <w:highlight w:val="darkGray"/>
        </w:rPr>
      </w:pPr>
    </w:p>
    <w:p w14:paraId="2449B90B" w14:textId="77777777" w:rsidR="008B10D2" w:rsidRPr="00B9629C" w:rsidRDefault="008B10D2" w:rsidP="00CF3767">
      <w:pPr>
        <w:rPr>
          <w:rFonts w:ascii="Arial Bold" w:eastAsia="Calibri" w:hAnsi="Arial Bold"/>
          <w:b/>
          <w:bCs/>
          <w:spacing w:val="-6"/>
          <w:highlight w:val="darkGray"/>
        </w:rPr>
      </w:pPr>
    </w:p>
    <w:tbl>
      <w:tblPr>
        <w:tblStyle w:val="TableGrid"/>
        <w:tblW w:w="6705" w:type="dxa"/>
        <w:tblLook w:val="04A0" w:firstRow="1" w:lastRow="0" w:firstColumn="1" w:lastColumn="0" w:noHBand="0" w:noVBand="1"/>
      </w:tblPr>
      <w:tblGrid>
        <w:gridCol w:w="6705"/>
      </w:tblGrid>
      <w:tr w:rsidR="008B10D2" w:rsidRPr="00B9629C" w14:paraId="56F172FD" w14:textId="77777777" w:rsidTr="00EA2C1C">
        <w:trPr>
          <w:trHeight w:val="8777"/>
        </w:trPr>
        <w:tc>
          <w:tcPr>
            <w:tcW w:w="6705" w:type="dxa"/>
          </w:tcPr>
          <w:p w14:paraId="1B652C9A" w14:textId="6873EB1D" w:rsidR="008B10D2" w:rsidRPr="00B9629C" w:rsidRDefault="008B10D2" w:rsidP="00EA2C1C">
            <w:pPr>
              <w:jc w:val="center"/>
              <w:rPr>
                <w:rFonts w:ascii="Arial Bold" w:eastAsia="Calibri" w:hAnsi="Arial Bold"/>
                <w:b/>
                <w:bCs/>
                <w:spacing w:val="-6"/>
                <w:highlight w:val="darkGray"/>
              </w:rPr>
            </w:pPr>
            <w:r w:rsidRPr="00B9629C">
              <w:rPr>
                <w:rFonts w:eastAsia="Calibri" w:cs="Times New Roman"/>
                <w:b/>
                <w:highlight w:val="darkGray"/>
              </w:rPr>
              <w:lastRenderedPageBreak/>
              <w:t>Switching existing clients to DTG-containing regimens</w:t>
            </w:r>
          </w:p>
          <w:p w14:paraId="715845A6" w14:textId="77777777" w:rsidR="008B10D2" w:rsidRPr="00B9629C" w:rsidRDefault="008B10D2" w:rsidP="00CF3767">
            <w:pPr>
              <w:rPr>
                <w:rFonts w:ascii="Arial Bold" w:eastAsia="Calibri" w:hAnsi="Arial Bold"/>
                <w:b/>
                <w:bCs/>
                <w:spacing w:val="-6"/>
                <w:highlight w:val="darkGray"/>
              </w:rPr>
            </w:pPr>
            <w:r w:rsidRPr="00B9629C">
              <w:rPr>
                <w:noProof/>
                <w:highlight w:val="darkGray"/>
                <w:lang w:eastAsia="en-ZA"/>
              </w:rPr>
              <w:drawing>
                <wp:inline distT="0" distB="0" distL="0" distR="0" wp14:anchorId="4FE7E884" wp14:editId="5F1E6805">
                  <wp:extent cx="4000500" cy="5410541"/>
                  <wp:effectExtent l="19050" t="19050" r="1905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8465" cy="5421314"/>
                          </a:xfrm>
                          <a:prstGeom prst="rect">
                            <a:avLst/>
                          </a:prstGeom>
                          <a:ln w="3175">
                            <a:solidFill>
                              <a:schemeClr val="tx1"/>
                            </a:solidFill>
                          </a:ln>
                        </pic:spPr>
                      </pic:pic>
                    </a:graphicData>
                  </a:graphic>
                </wp:inline>
              </w:drawing>
            </w:r>
          </w:p>
          <w:p w14:paraId="1B9FA7B4" w14:textId="3BD4AEBD" w:rsidR="008B10D2" w:rsidRPr="00B9629C" w:rsidRDefault="00241A4E" w:rsidP="008B10D2">
            <w:pPr>
              <w:pStyle w:val="NoSpacing"/>
              <w:rPr>
                <w:rFonts w:ascii="Arial Bold" w:eastAsia="Calibri" w:hAnsi="Arial Bold"/>
                <w:b/>
                <w:bCs/>
                <w:spacing w:val="-6"/>
                <w:highlight w:val="darkGray"/>
              </w:rPr>
            </w:pPr>
            <w:r w:rsidRPr="00B9629C">
              <w:rPr>
                <w:b/>
                <w:sz w:val="16"/>
                <w:szCs w:val="16"/>
                <w:highlight w:val="darkGray"/>
              </w:rPr>
              <w:t>Figure 11.1</w:t>
            </w:r>
            <w:r w:rsidR="008B10D2" w:rsidRPr="00B9629C">
              <w:rPr>
                <w:b/>
                <w:sz w:val="16"/>
                <w:szCs w:val="16"/>
                <w:highlight w:val="darkGray"/>
              </w:rPr>
              <w:t>:</w:t>
            </w:r>
            <w:r w:rsidR="008B10D2" w:rsidRPr="00B9629C">
              <w:rPr>
                <w:sz w:val="16"/>
                <w:szCs w:val="16"/>
                <w:highlight w:val="darkGray"/>
              </w:rPr>
              <w:t xml:space="preserve"> Switching existing clients to DTG-containing regimens (adopted from the NDoH </w:t>
            </w:r>
            <w:r w:rsidR="008B10D2" w:rsidRPr="00B9629C">
              <w:rPr>
                <w:rFonts w:eastAsia="Calibri" w:cs="Times New Roman"/>
                <w:sz w:val="16"/>
                <w:szCs w:val="16"/>
                <w:highlight w:val="darkGray"/>
              </w:rPr>
              <w:t>2023 ART Clinical Guidelines for the Management of HIV in Adults, Pregnancy and Breastfeeding, Adolescents, Children, Infants and Neonates.</w:t>
            </w:r>
          </w:p>
        </w:tc>
      </w:tr>
    </w:tbl>
    <w:p w14:paraId="548BE2A7" w14:textId="77777777" w:rsidR="008B10D2" w:rsidRPr="00B9629C" w:rsidRDefault="008B10D2" w:rsidP="00CF3767">
      <w:pPr>
        <w:rPr>
          <w:rFonts w:ascii="Arial Bold" w:eastAsia="Calibri" w:hAnsi="Arial Bold"/>
          <w:b/>
          <w:bCs/>
          <w:spacing w:val="-6"/>
          <w:highlight w:val="darkGray"/>
        </w:rPr>
      </w:pPr>
    </w:p>
    <w:p w14:paraId="158311AA" w14:textId="77777777" w:rsidR="008B10D2" w:rsidRPr="00B9629C" w:rsidRDefault="008B10D2" w:rsidP="00CF3767">
      <w:pPr>
        <w:rPr>
          <w:rFonts w:ascii="Arial Bold" w:eastAsia="Calibri" w:hAnsi="Arial Bold"/>
          <w:b/>
          <w:bCs/>
          <w:spacing w:val="-6"/>
          <w:highlight w:val="darkGray"/>
        </w:rPr>
        <w:sectPr w:rsidR="008B10D2" w:rsidRPr="00B9629C" w:rsidSect="00017245">
          <w:headerReference w:type="default" r:id="rId15"/>
          <w:footerReference w:type="default" r:id="rId16"/>
          <w:endnotePr>
            <w:numFmt w:val="decimal"/>
          </w:endnotePr>
          <w:pgSz w:w="8391" w:h="11906" w:code="11"/>
          <w:pgMar w:top="850" w:right="850" w:bottom="850" w:left="850" w:header="709" w:footer="709" w:gutter="0"/>
          <w:pgNumType w:chapStyle="1" w:chapSep="period"/>
          <w:cols w:space="708"/>
          <w:docGrid w:linePitch="360"/>
        </w:sectPr>
      </w:pPr>
    </w:p>
    <w:p w14:paraId="723D026E" w14:textId="076412CB" w:rsidR="00CF3767" w:rsidRPr="00B9629C" w:rsidRDefault="00CF3767" w:rsidP="00481078">
      <w:pPr>
        <w:jc w:val="center"/>
        <w:rPr>
          <w:rFonts w:eastAsia="Calibri" w:cs="Times New Roman"/>
          <w:b/>
          <w:highlight w:val="darkGray"/>
        </w:rPr>
      </w:pPr>
      <w:r w:rsidRPr="00B9629C">
        <w:rPr>
          <w:rFonts w:eastAsia="Calibri" w:cs="Times New Roman"/>
          <w:b/>
          <w:highlight w:val="darkGray"/>
        </w:rPr>
        <w:lastRenderedPageBreak/>
        <w:t>R</w:t>
      </w:r>
      <w:r w:rsidR="00481078" w:rsidRPr="00B9629C">
        <w:rPr>
          <w:rFonts w:eastAsia="Calibri" w:cs="Times New Roman"/>
          <w:b/>
          <w:highlight w:val="darkGray"/>
        </w:rPr>
        <w:t>e-initating A</w:t>
      </w:r>
      <w:r w:rsidRPr="00B9629C">
        <w:rPr>
          <w:rFonts w:eastAsia="Calibri" w:cs="Times New Roman"/>
          <w:b/>
          <w:highlight w:val="darkGray"/>
        </w:rPr>
        <w:t xml:space="preserve">RT </w:t>
      </w:r>
      <w:r w:rsidR="00481078" w:rsidRPr="00B9629C">
        <w:rPr>
          <w:rFonts w:eastAsia="Calibri" w:cs="Times New Roman"/>
          <w:b/>
          <w:highlight w:val="darkGray"/>
        </w:rPr>
        <w:t>in patients who have interrupted treatment</w:t>
      </w:r>
    </w:p>
    <w:p w14:paraId="7F6A87A5" w14:textId="4E6FEF33" w:rsidR="005B5A35" w:rsidRPr="00B9629C" w:rsidRDefault="005B5A35" w:rsidP="005B5A35">
      <w:pPr>
        <w:pStyle w:val="Textbullet"/>
        <w:numPr>
          <w:ilvl w:val="0"/>
          <w:numId w:val="0"/>
        </w:numPr>
        <w:ind w:left="360" w:hanging="360"/>
        <w:rPr>
          <w:rFonts w:eastAsia="Calibri"/>
          <w:spacing w:val="-4"/>
          <w:highlight w:val="darkGray"/>
        </w:rPr>
      </w:pPr>
      <w:r w:rsidRPr="00B9629C">
        <w:rPr>
          <w:rFonts w:eastAsia="Calibri"/>
          <w:spacing w:val="-4"/>
          <w:highlight w:val="darkGray"/>
          <w:lang w:eastAsia="en-ZA"/>
        </w:rPr>
        <w:drawing>
          <wp:inline distT="0" distB="0" distL="0" distR="0" wp14:anchorId="2B5EC674" wp14:editId="004D1B49">
            <wp:extent cx="6030837" cy="3544866"/>
            <wp:effectExtent l="19050" t="19050" r="2730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9387" cy="3573403"/>
                    </a:xfrm>
                    <a:prstGeom prst="rect">
                      <a:avLst/>
                    </a:prstGeom>
                    <a:ln w="3175">
                      <a:solidFill>
                        <a:schemeClr val="tx1"/>
                      </a:solidFill>
                    </a:ln>
                  </pic:spPr>
                </pic:pic>
              </a:graphicData>
            </a:graphic>
          </wp:inline>
        </w:drawing>
      </w:r>
    </w:p>
    <w:p w14:paraId="266DC8AE" w14:textId="3487FA87" w:rsidR="005B5A35" w:rsidRPr="00B9629C" w:rsidRDefault="006E6BFE" w:rsidP="006E6BFE">
      <w:pPr>
        <w:pStyle w:val="NoSpacing"/>
        <w:rPr>
          <w:rFonts w:eastAsia="Calibri"/>
          <w:sz w:val="16"/>
          <w:szCs w:val="16"/>
          <w:highlight w:val="darkGray"/>
        </w:rPr>
      </w:pPr>
      <w:r w:rsidRPr="00B9629C">
        <w:rPr>
          <w:b/>
          <w:sz w:val="16"/>
          <w:szCs w:val="16"/>
          <w:highlight w:val="darkGray"/>
        </w:rPr>
        <w:t>Figure 11.</w:t>
      </w:r>
      <w:r w:rsidR="00EF0E5D" w:rsidRPr="00B9629C">
        <w:rPr>
          <w:b/>
          <w:sz w:val="16"/>
          <w:szCs w:val="16"/>
          <w:highlight w:val="darkGray"/>
        </w:rPr>
        <w:t>2</w:t>
      </w:r>
      <w:r w:rsidRPr="00B9629C">
        <w:rPr>
          <w:b/>
          <w:sz w:val="16"/>
          <w:szCs w:val="16"/>
          <w:highlight w:val="darkGray"/>
        </w:rPr>
        <w:t>:</w:t>
      </w:r>
      <w:r w:rsidRPr="00B9629C">
        <w:rPr>
          <w:sz w:val="16"/>
          <w:szCs w:val="16"/>
          <w:highlight w:val="darkGray"/>
        </w:rPr>
        <w:t xml:space="preserve"> </w:t>
      </w:r>
      <w:r w:rsidR="00747EE5" w:rsidRPr="00B9629C">
        <w:rPr>
          <w:rFonts w:eastAsia="Calibri"/>
          <w:sz w:val="16"/>
          <w:szCs w:val="16"/>
          <w:highlight w:val="darkGray"/>
        </w:rPr>
        <w:t xml:space="preserve">Management algorithm of a patient who returns to care after interrupting treatment. </w:t>
      </w:r>
      <w:r w:rsidRPr="00B9629C">
        <w:rPr>
          <w:sz w:val="16"/>
          <w:szCs w:val="16"/>
          <w:highlight w:val="darkGray"/>
        </w:rPr>
        <w:t>Incorporated from the NDoH 2023 ART Clinical Guidelines for the Management of HIV in Adults, Pregnancy and Breastfeeding, Adolescents,</w:t>
      </w:r>
      <w:r w:rsidR="00747EE5" w:rsidRPr="00B9629C">
        <w:rPr>
          <w:sz w:val="16"/>
          <w:szCs w:val="16"/>
          <w:highlight w:val="darkGray"/>
        </w:rPr>
        <w:t xml:space="preserve"> Children, Infants and Neonates.</w:t>
      </w:r>
    </w:p>
    <w:p w14:paraId="602594C5" w14:textId="77777777" w:rsidR="005B5A35" w:rsidRPr="00B9629C" w:rsidRDefault="005B5A35" w:rsidP="005B5A35">
      <w:pPr>
        <w:pStyle w:val="Textbullet"/>
        <w:numPr>
          <w:ilvl w:val="0"/>
          <w:numId w:val="0"/>
        </w:numPr>
        <w:ind w:left="360" w:hanging="360"/>
        <w:rPr>
          <w:rFonts w:eastAsia="Calibri"/>
          <w:spacing w:val="-4"/>
          <w:sz w:val="16"/>
          <w:szCs w:val="16"/>
          <w:highlight w:val="darkGray"/>
        </w:rPr>
        <w:sectPr w:rsidR="005B5A35" w:rsidRPr="00B9629C" w:rsidSect="00017245">
          <w:endnotePr>
            <w:numFmt w:val="decimal"/>
          </w:endnotePr>
          <w:pgSz w:w="11906" w:h="8391" w:orient="landscape" w:code="11"/>
          <w:pgMar w:top="850" w:right="850" w:bottom="850" w:left="850" w:header="709" w:footer="709" w:gutter="0"/>
          <w:pgNumType w:chapStyle="1" w:chapSep="period"/>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5246"/>
      </w:tblGrid>
      <w:tr w:rsidR="00CF3767" w:rsidRPr="00B9629C" w14:paraId="58AE5A11" w14:textId="77777777" w:rsidTr="00E3263A">
        <w:tc>
          <w:tcPr>
            <w:tcW w:w="5000" w:type="pct"/>
            <w:gridSpan w:val="2"/>
            <w:shd w:val="clear" w:color="auto" w:fill="BFBFBF" w:themeFill="background1" w:themeFillShade="BF"/>
          </w:tcPr>
          <w:p w14:paraId="76782498" w14:textId="77777777" w:rsidR="00CF3767" w:rsidRPr="00B9629C" w:rsidRDefault="00CF3767" w:rsidP="00EF0E5D">
            <w:pPr>
              <w:rPr>
                <w:rFonts w:ascii="Arial Bold" w:eastAsia="Calibri" w:hAnsi="Arial Bold"/>
                <w:b/>
                <w:bCs/>
                <w:spacing w:val="-6"/>
                <w:highlight w:val="darkGray"/>
              </w:rPr>
            </w:pPr>
            <w:bookmarkStart w:id="8" w:name="_Hlk50405574"/>
            <w:r w:rsidRPr="00B9629C">
              <w:rPr>
                <w:rFonts w:ascii="Arial Bold" w:eastAsia="Calibri" w:hAnsi="Arial Bold"/>
                <w:b/>
                <w:bCs/>
                <w:spacing w:val="-6"/>
                <w:highlight w:val="darkGray"/>
              </w:rPr>
              <w:lastRenderedPageBreak/>
              <w:t>MONITORING ON ART</w:t>
            </w:r>
          </w:p>
          <w:p w14:paraId="7A20D593" w14:textId="77777777" w:rsidR="00CF3767" w:rsidRPr="00B9629C" w:rsidRDefault="00CF3767" w:rsidP="00E3263A">
            <w:pPr>
              <w:pStyle w:val="MediumGrid1-Accent21"/>
              <w:ind w:left="167"/>
              <w:contextualSpacing/>
              <w:rPr>
                <w:rFonts w:cs="Arial"/>
                <w:sz w:val="16"/>
                <w:szCs w:val="16"/>
                <w:highlight w:val="darkGray"/>
                <w:lang w:val="en-ZA"/>
              </w:rPr>
            </w:pPr>
          </w:p>
        </w:tc>
      </w:tr>
      <w:tr w:rsidR="00CF3767" w:rsidRPr="00B9629C" w14:paraId="116FEC29" w14:textId="77777777" w:rsidTr="008A612F">
        <w:trPr>
          <w:trHeight w:val="3218"/>
        </w:trPr>
        <w:tc>
          <w:tcPr>
            <w:tcW w:w="1074" w:type="pct"/>
            <w:shd w:val="clear" w:color="auto" w:fill="auto"/>
          </w:tcPr>
          <w:p w14:paraId="33C22D25" w14:textId="77777777" w:rsidR="00CF3767" w:rsidRPr="00B9629C" w:rsidRDefault="00CF3767" w:rsidP="00E3263A">
            <w:pPr>
              <w:rPr>
                <w:b/>
                <w:sz w:val="16"/>
                <w:szCs w:val="16"/>
                <w:highlight w:val="darkGray"/>
              </w:rPr>
            </w:pPr>
            <w:r w:rsidRPr="00B9629C">
              <w:rPr>
                <w:b/>
                <w:sz w:val="16"/>
                <w:szCs w:val="16"/>
                <w:highlight w:val="darkGray"/>
              </w:rPr>
              <w:t>Baseline evaluation</w:t>
            </w:r>
          </w:p>
          <w:p w14:paraId="3B4ABEA8" w14:textId="77777777" w:rsidR="00CF3767" w:rsidRPr="00B9629C" w:rsidRDefault="00CF3767" w:rsidP="00E3263A">
            <w:pPr>
              <w:rPr>
                <w:sz w:val="16"/>
                <w:szCs w:val="16"/>
                <w:highlight w:val="darkGray"/>
              </w:rPr>
            </w:pPr>
          </w:p>
          <w:p w14:paraId="3D81012F" w14:textId="77777777" w:rsidR="00CF3767" w:rsidRPr="00B9629C" w:rsidRDefault="00CF3767" w:rsidP="00E3263A">
            <w:pPr>
              <w:rPr>
                <w:sz w:val="16"/>
                <w:szCs w:val="16"/>
                <w:highlight w:val="darkGray"/>
              </w:rPr>
            </w:pPr>
          </w:p>
          <w:p w14:paraId="19172CDC" w14:textId="77777777" w:rsidR="00CF3767" w:rsidRPr="00B9629C" w:rsidRDefault="00CF3767" w:rsidP="00E3263A">
            <w:pPr>
              <w:rPr>
                <w:sz w:val="16"/>
                <w:szCs w:val="16"/>
                <w:highlight w:val="darkGray"/>
              </w:rPr>
            </w:pPr>
          </w:p>
          <w:p w14:paraId="2920C406" w14:textId="77777777" w:rsidR="00CF3767" w:rsidRPr="00B9629C" w:rsidRDefault="00CF3767" w:rsidP="00E3263A">
            <w:pPr>
              <w:rPr>
                <w:sz w:val="16"/>
                <w:szCs w:val="16"/>
                <w:highlight w:val="darkGray"/>
              </w:rPr>
            </w:pPr>
          </w:p>
        </w:tc>
        <w:tc>
          <w:tcPr>
            <w:tcW w:w="3926" w:type="pct"/>
            <w:shd w:val="clear" w:color="auto" w:fill="auto"/>
          </w:tcPr>
          <w:p w14:paraId="2C3A4C32" w14:textId="64D5A0A6" w:rsidR="00CF3767" w:rsidRPr="00B9629C" w:rsidRDefault="00CF3767" w:rsidP="009750A0">
            <w:pPr>
              <w:pStyle w:val="MediumGrid1-Accent21"/>
              <w:numPr>
                <w:ilvl w:val="0"/>
                <w:numId w:val="25"/>
              </w:numPr>
              <w:contextualSpacing/>
              <w:rPr>
                <w:rFonts w:cs="Arial"/>
                <w:sz w:val="16"/>
                <w:szCs w:val="16"/>
                <w:highlight w:val="darkGray"/>
                <w:u w:val="single"/>
                <w:lang w:val="en-ZA"/>
              </w:rPr>
            </w:pPr>
            <w:r w:rsidRPr="00B9629C">
              <w:rPr>
                <w:rFonts w:cs="Arial"/>
                <w:sz w:val="16"/>
                <w:szCs w:val="16"/>
                <w:highlight w:val="darkGray"/>
                <w:lang w:val="en-ZA"/>
              </w:rPr>
              <w:t>WHO staging</w:t>
            </w:r>
            <w:r w:rsidR="004F178D" w:rsidRPr="00B9629C">
              <w:rPr>
                <w:rFonts w:cs="Arial"/>
                <w:sz w:val="16"/>
                <w:szCs w:val="16"/>
                <w:highlight w:val="darkGray"/>
                <w:lang w:val="en-ZA"/>
              </w:rPr>
              <w:t xml:space="preserve"> (See table above)</w:t>
            </w:r>
            <w:r w:rsidRPr="00B9629C">
              <w:rPr>
                <w:rFonts w:cs="Arial"/>
                <w:sz w:val="16"/>
                <w:szCs w:val="16"/>
                <w:highlight w:val="darkGray"/>
                <w:lang w:val="en-ZA"/>
              </w:rPr>
              <w:t>.</w:t>
            </w:r>
          </w:p>
          <w:p w14:paraId="5389DE0C" w14:textId="77777777" w:rsidR="00CF3767" w:rsidRPr="00B9629C" w:rsidRDefault="00CF3767" w:rsidP="009750A0">
            <w:pPr>
              <w:pStyle w:val="MediumGrid1-Accent21"/>
              <w:numPr>
                <w:ilvl w:val="0"/>
                <w:numId w:val="25"/>
              </w:numPr>
              <w:contextualSpacing/>
              <w:rPr>
                <w:rFonts w:cs="Arial"/>
                <w:sz w:val="16"/>
                <w:szCs w:val="16"/>
                <w:highlight w:val="darkGray"/>
                <w:u w:val="single"/>
                <w:lang w:val="en-ZA"/>
              </w:rPr>
            </w:pPr>
            <w:r w:rsidRPr="00B9629C">
              <w:rPr>
                <w:rFonts w:cs="Arial"/>
                <w:sz w:val="16"/>
                <w:szCs w:val="16"/>
                <w:highlight w:val="darkGray"/>
                <w:lang w:val="en-ZA"/>
              </w:rPr>
              <w:t>Check CD4 count.</w:t>
            </w:r>
          </w:p>
          <w:p w14:paraId="14F6CF3A" w14:textId="1F751447" w:rsidR="00F87B1D" w:rsidRPr="00B9629C" w:rsidRDefault="004F178D" w:rsidP="009750A0">
            <w:pPr>
              <w:pStyle w:val="MediumGrid1-Accent21"/>
              <w:numPr>
                <w:ilvl w:val="0"/>
                <w:numId w:val="25"/>
              </w:numPr>
              <w:contextualSpacing/>
              <w:jc w:val="both"/>
              <w:rPr>
                <w:rFonts w:cs="Arial"/>
                <w:spacing w:val="-2"/>
                <w:sz w:val="16"/>
                <w:szCs w:val="16"/>
                <w:highlight w:val="darkGray"/>
                <w:lang w:val="en-ZA"/>
              </w:rPr>
            </w:pPr>
            <w:r w:rsidRPr="00B9629C">
              <w:rPr>
                <w:rFonts w:cs="Arial"/>
                <w:spacing w:val="-2"/>
                <w:sz w:val="16"/>
                <w:szCs w:val="16"/>
                <w:highlight w:val="darkGray"/>
                <w:u w:val="single"/>
                <w:lang w:val="en-ZA"/>
              </w:rPr>
              <w:t xml:space="preserve">If </w:t>
            </w:r>
            <w:r w:rsidR="00CF3767" w:rsidRPr="00B9629C">
              <w:rPr>
                <w:rFonts w:cs="Arial"/>
                <w:spacing w:val="-2"/>
                <w:sz w:val="16"/>
                <w:szCs w:val="16"/>
                <w:highlight w:val="darkGray"/>
                <w:u w:val="single"/>
                <w:lang w:val="en-ZA"/>
              </w:rPr>
              <w:t>CD4 &lt;</w:t>
            </w:r>
            <w:r w:rsidR="00326302" w:rsidRPr="00B9629C">
              <w:rPr>
                <w:rFonts w:cs="Arial"/>
                <w:spacing w:val="-2"/>
                <w:sz w:val="16"/>
                <w:szCs w:val="16"/>
                <w:highlight w:val="darkGray"/>
                <w:u w:val="single"/>
                <w:lang w:val="en-ZA"/>
              </w:rPr>
              <w:t>2</w:t>
            </w:r>
            <w:r w:rsidR="00CF3767" w:rsidRPr="00B9629C">
              <w:rPr>
                <w:rFonts w:cs="Arial"/>
                <w:spacing w:val="-2"/>
                <w:sz w:val="16"/>
                <w:szCs w:val="16"/>
                <w:highlight w:val="darkGray"/>
                <w:u w:val="single"/>
                <w:lang w:val="en-ZA"/>
              </w:rPr>
              <w:t>00 cells/mm</w:t>
            </w:r>
            <w:r w:rsidR="00CF3767" w:rsidRPr="00B9629C">
              <w:rPr>
                <w:rFonts w:cs="Arial"/>
                <w:spacing w:val="-2"/>
                <w:sz w:val="16"/>
                <w:szCs w:val="16"/>
                <w:highlight w:val="darkGray"/>
                <w:u w:val="single"/>
                <w:vertAlign w:val="superscript"/>
                <w:lang w:val="en-ZA"/>
              </w:rPr>
              <w:t>3</w:t>
            </w:r>
            <w:r w:rsidRPr="00B9629C">
              <w:rPr>
                <w:rFonts w:cs="Arial"/>
                <w:spacing w:val="-2"/>
                <w:sz w:val="16"/>
                <w:szCs w:val="16"/>
                <w:highlight w:val="darkGray"/>
                <w:u w:val="single"/>
                <w:lang w:val="en-ZA"/>
              </w:rPr>
              <w:t>:</w:t>
            </w:r>
            <w:r w:rsidR="00CF3767" w:rsidRPr="00B9629C">
              <w:rPr>
                <w:rFonts w:cs="Arial"/>
                <w:spacing w:val="-2"/>
                <w:sz w:val="16"/>
                <w:szCs w:val="16"/>
                <w:highlight w:val="darkGray"/>
                <w:u w:val="single"/>
                <w:lang w:val="en-ZA"/>
              </w:rPr>
              <w:t xml:space="preserve"> </w:t>
            </w:r>
          </w:p>
          <w:p w14:paraId="2171ACB2" w14:textId="69979EA3" w:rsidR="00CF3767" w:rsidRPr="00B9629C" w:rsidRDefault="00CF3767" w:rsidP="009750A0">
            <w:pPr>
              <w:pStyle w:val="MediumGrid1-Accent21"/>
              <w:numPr>
                <w:ilvl w:val="0"/>
                <w:numId w:val="25"/>
              </w:numPr>
              <w:ind w:left="724"/>
              <w:contextualSpacing/>
              <w:jc w:val="both"/>
              <w:rPr>
                <w:rFonts w:cs="Arial"/>
                <w:spacing w:val="-2"/>
                <w:sz w:val="16"/>
                <w:szCs w:val="16"/>
                <w:highlight w:val="darkGray"/>
                <w:lang w:val="en-ZA"/>
              </w:rPr>
            </w:pPr>
            <w:r w:rsidRPr="00B9629C">
              <w:rPr>
                <w:rFonts w:cs="Arial"/>
                <w:spacing w:val="-2"/>
                <w:sz w:val="16"/>
                <w:szCs w:val="16"/>
                <w:highlight w:val="darkGray"/>
                <w:lang w:val="en-ZA"/>
              </w:rPr>
              <w:t>Check cryptococcal antigen (If positive, perform LP regardless of whether symptoms are present or not).</w:t>
            </w:r>
            <w:r w:rsidR="00326302" w:rsidRPr="00B9629C">
              <w:rPr>
                <w:rFonts w:cs="Arial"/>
                <w:spacing w:val="-2"/>
                <w:sz w:val="16"/>
                <w:szCs w:val="16"/>
                <w:highlight w:val="darkGray"/>
                <w:lang w:val="en-ZA"/>
              </w:rPr>
              <w:t xml:space="preserve"> </w:t>
            </w:r>
            <w:r w:rsidR="00326302" w:rsidRPr="00B9629C">
              <w:rPr>
                <w:rFonts w:cs="Arial"/>
                <w:sz w:val="16"/>
                <w:szCs w:val="16"/>
                <w:highlight w:val="darkGray"/>
                <w:lang w:val="en-ZA"/>
              </w:rPr>
              <w:t>CrAg testing is done reflexly on the CD4 sample if CD4 &lt;100 cells/mm</w:t>
            </w:r>
            <w:r w:rsidR="00326302" w:rsidRPr="00B9629C">
              <w:rPr>
                <w:rFonts w:cs="Arial"/>
                <w:sz w:val="16"/>
                <w:szCs w:val="16"/>
                <w:highlight w:val="darkGray"/>
                <w:vertAlign w:val="superscript"/>
                <w:lang w:val="en-ZA"/>
              </w:rPr>
              <w:t>3</w:t>
            </w:r>
            <w:r w:rsidR="00326302" w:rsidRPr="00B9629C">
              <w:rPr>
                <w:rFonts w:cs="Arial"/>
                <w:sz w:val="16"/>
                <w:szCs w:val="16"/>
                <w:highlight w:val="darkGray"/>
                <w:lang w:val="en-ZA"/>
              </w:rPr>
              <w:t>. If patient’s CD4 is 100</w:t>
            </w:r>
            <w:r w:rsidR="00535232" w:rsidRPr="00B9629C">
              <w:rPr>
                <w:rFonts w:cs="Arial"/>
                <w:sz w:val="16"/>
                <w:szCs w:val="16"/>
                <w:highlight w:val="darkGray"/>
                <w:lang w:val="en-ZA"/>
              </w:rPr>
              <w:noBreakHyphen/>
            </w:r>
            <w:r w:rsidR="00326302" w:rsidRPr="00B9629C">
              <w:rPr>
                <w:rFonts w:cs="Arial"/>
                <w:sz w:val="16"/>
                <w:szCs w:val="16"/>
                <w:highlight w:val="darkGray"/>
                <w:lang w:val="en-ZA"/>
              </w:rPr>
              <w:t>199, a serum CrAg test must be ordered separately.</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7"/>
            </w:tblGrid>
            <w:tr w:rsidR="00CF3767" w:rsidRPr="00B9629C" w14:paraId="57AA6B66" w14:textId="77777777" w:rsidTr="00EF0E5D">
              <w:tc>
                <w:tcPr>
                  <w:tcW w:w="699" w:type="dxa"/>
                  <w:shd w:val="clear" w:color="auto" w:fill="auto"/>
                </w:tcPr>
                <w:p w14:paraId="20FAFC36" w14:textId="77777777" w:rsidR="00CF3767" w:rsidRPr="00B9629C" w:rsidRDefault="00CF3767" w:rsidP="00EF0E5D">
                  <w:pPr>
                    <w:keepLines/>
                    <w:outlineLvl w:val="0"/>
                    <w:rPr>
                      <w:rFonts w:eastAsiaTheme="majorEastAsia" w:cs="Arial"/>
                      <w:bCs/>
                      <w:i/>
                      <w:sz w:val="14"/>
                      <w:highlight w:val="darkGray"/>
                    </w:rPr>
                  </w:pPr>
                  <w:r w:rsidRPr="00B9629C">
                    <w:rPr>
                      <w:rFonts w:eastAsiaTheme="majorEastAsia" w:cs="Arial"/>
                      <w:bCs/>
                      <w:i/>
                      <w:sz w:val="14"/>
                      <w:highlight w:val="darkGray"/>
                    </w:rPr>
                    <w:t>LoE:IVb</w:t>
                  </w:r>
                  <w:r w:rsidRPr="00B9629C">
                    <w:rPr>
                      <w:rFonts w:eastAsiaTheme="majorEastAsia" w:cs="Arial"/>
                      <w:bCs/>
                      <w:i/>
                      <w:sz w:val="14"/>
                      <w:highlight w:val="darkGray"/>
                      <w:vertAlign w:val="superscript"/>
                    </w:rPr>
                    <w:endnoteReference w:id="20"/>
                  </w:r>
                </w:p>
              </w:tc>
            </w:tr>
          </w:tbl>
          <w:p w14:paraId="1C51BF17" w14:textId="2B045841" w:rsidR="00CF3767" w:rsidRPr="00B9629C" w:rsidRDefault="00CF3767" w:rsidP="009750A0">
            <w:pPr>
              <w:pStyle w:val="MediumGrid1-Accent21"/>
              <w:numPr>
                <w:ilvl w:val="0"/>
                <w:numId w:val="25"/>
              </w:numPr>
              <w:ind w:left="724"/>
              <w:contextualSpacing/>
              <w:jc w:val="both"/>
              <w:rPr>
                <w:rFonts w:cs="Arial"/>
                <w:sz w:val="16"/>
                <w:szCs w:val="16"/>
                <w:highlight w:val="darkGray"/>
                <w:lang w:val="en-ZA"/>
              </w:rPr>
            </w:pPr>
            <w:r w:rsidRPr="00B9629C">
              <w:rPr>
                <w:rFonts w:cs="Arial"/>
                <w:sz w:val="16"/>
                <w:szCs w:val="16"/>
                <w:highlight w:val="darkGray"/>
                <w:lang w:val="en-ZA"/>
              </w:rPr>
              <w:t>Initiate cotrimoxazole prophylaxis</w:t>
            </w:r>
            <w:r w:rsidR="00535232" w:rsidRPr="00B9629C">
              <w:rPr>
                <w:rFonts w:cs="Arial"/>
                <w:sz w:val="16"/>
                <w:szCs w:val="16"/>
                <w:highlight w:val="darkGray"/>
                <w:lang w:val="en-ZA"/>
              </w:rPr>
              <w:t xml:space="preserve"> (See </w:t>
            </w:r>
            <w:r w:rsidR="00E819E6" w:rsidRPr="00B9629C">
              <w:rPr>
                <w:rFonts w:cs="Arial"/>
                <w:sz w:val="16"/>
                <w:szCs w:val="16"/>
                <w:highlight w:val="darkGray"/>
                <w:lang w:val="en-ZA"/>
              </w:rPr>
              <w:t>S</w:t>
            </w:r>
            <w:r w:rsidR="00535232" w:rsidRPr="00B9629C">
              <w:rPr>
                <w:rFonts w:cs="Arial"/>
                <w:sz w:val="16"/>
                <w:szCs w:val="16"/>
                <w:highlight w:val="darkGray"/>
                <w:lang w:val="en-ZA"/>
              </w:rPr>
              <w:t>ection</w:t>
            </w:r>
            <w:r w:rsidR="0050763A" w:rsidRPr="00B9629C">
              <w:rPr>
                <w:rFonts w:cs="Arial"/>
                <w:sz w:val="16"/>
                <w:szCs w:val="16"/>
                <w:highlight w:val="darkGray"/>
                <w:lang w:val="en-ZA"/>
              </w:rPr>
              <w:t xml:space="preserve"> 11.2.1: Cotrimoxazole prophylaxis)</w:t>
            </w:r>
            <w:r w:rsidRPr="00B9629C">
              <w:rPr>
                <w:rFonts w:cs="Arial"/>
                <w:sz w:val="16"/>
                <w:szCs w:val="16"/>
                <w:highlight w:val="darkGray"/>
                <w:lang w:val="en-ZA"/>
              </w:rPr>
              <w:t>.</w:t>
            </w:r>
          </w:p>
          <w:p w14:paraId="071C9606" w14:textId="77777777" w:rsidR="00CF3767" w:rsidRPr="00B9629C" w:rsidRDefault="00CF3767" w:rsidP="009750A0">
            <w:pPr>
              <w:pStyle w:val="MediumGrid1-Accent21"/>
              <w:numPr>
                <w:ilvl w:val="0"/>
                <w:numId w:val="25"/>
              </w:numPr>
              <w:contextualSpacing/>
              <w:rPr>
                <w:rFonts w:cs="Arial"/>
                <w:sz w:val="16"/>
                <w:szCs w:val="16"/>
                <w:highlight w:val="darkGray"/>
                <w:lang w:val="en-ZA"/>
              </w:rPr>
            </w:pPr>
            <w:r w:rsidRPr="00B9629C">
              <w:rPr>
                <w:rFonts w:cs="Arial"/>
                <w:sz w:val="16"/>
                <w:szCs w:val="16"/>
                <w:highlight w:val="darkGray"/>
                <w:lang w:val="en-ZA"/>
              </w:rPr>
              <w:t>Screen for pregnancy or ask if planning to conceive.</w:t>
            </w:r>
          </w:p>
          <w:p w14:paraId="6EB40E49" w14:textId="77777777" w:rsidR="00CF3767" w:rsidRPr="00B9629C" w:rsidRDefault="00CF3767" w:rsidP="009750A0">
            <w:pPr>
              <w:pStyle w:val="MediumGrid1-Accent21"/>
              <w:numPr>
                <w:ilvl w:val="0"/>
                <w:numId w:val="25"/>
              </w:numPr>
              <w:contextualSpacing/>
              <w:rPr>
                <w:rFonts w:cs="Arial"/>
                <w:sz w:val="16"/>
                <w:szCs w:val="16"/>
                <w:highlight w:val="darkGray"/>
                <w:lang w:val="en-ZA"/>
              </w:rPr>
            </w:pPr>
            <w:r w:rsidRPr="00B9629C">
              <w:rPr>
                <w:rFonts w:cs="Arial"/>
                <w:sz w:val="16"/>
                <w:szCs w:val="16"/>
                <w:highlight w:val="darkGray"/>
                <w:lang w:val="en-ZA"/>
              </w:rPr>
              <w:t>Screen for mental health, STIs and NCDs.</w:t>
            </w:r>
          </w:p>
          <w:p w14:paraId="0C9509DF" w14:textId="77777777" w:rsidR="00CF3767" w:rsidRPr="00B9629C" w:rsidRDefault="00CF3767" w:rsidP="009750A0">
            <w:pPr>
              <w:pStyle w:val="MediumGrid1-Accent21"/>
              <w:numPr>
                <w:ilvl w:val="0"/>
                <w:numId w:val="25"/>
              </w:numPr>
              <w:contextualSpacing/>
              <w:rPr>
                <w:rFonts w:cs="Arial"/>
                <w:spacing w:val="-4"/>
                <w:sz w:val="16"/>
                <w:szCs w:val="16"/>
                <w:highlight w:val="darkGray"/>
                <w:lang w:val="en-ZA"/>
              </w:rPr>
            </w:pPr>
            <w:r w:rsidRPr="00B9629C">
              <w:rPr>
                <w:rFonts w:cs="Arial"/>
                <w:spacing w:val="-4"/>
                <w:sz w:val="16"/>
                <w:szCs w:val="16"/>
                <w:highlight w:val="darkGray"/>
                <w:lang w:val="en-ZA"/>
              </w:rPr>
              <w:t xml:space="preserve">Screen for TB using the WHO screening questionnaire (any one of cough, fever, night sweats, or weight loss). </w:t>
            </w:r>
          </w:p>
          <w:p w14:paraId="4CA87386" w14:textId="6FC5ACA6" w:rsidR="00CF3767" w:rsidRPr="00B9629C" w:rsidRDefault="00CF3767" w:rsidP="009750A0">
            <w:pPr>
              <w:pStyle w:val="MediumGrid1-Accent21"/>
              <w:numPr>
                <w:ilvl w:val="0"/>
                <w:numId w:val="25"/>
              </w:numPr>
              <w:contextualSpacing/>
              <w:rPr>
                <w:sz w:val="16"/>
                <w:highlight w:val="darkGray"/>
                <w:lang w:val="en-ZA"/>
              </w:rPr>
            </w:pPr>
            <w:r w:rsidRPr="00B9629C">
              <w:rPr>
                <w:rFonts w:cs="Arial"/>
                <w:spacing w:val="-4"/>
                <w:sz w:val="16"/>
                <w:szCs w:val="16"/>
                <w:highlight w:val="darkGray"/>
                <w:lang w:val="en-ZA"/>
              </w:rPr>
              <w:t xml:space="preserve">Sputum </w:t>
            </w:r>
            <w:r w:rsidR="002E7EC9" w:rsidRPr="00B9629C">
              <w:rPr>
                <w:rFonts w:cs="Arial"/>
                <w:spacing w:val="-4"/>
                <w:sz w:val="16"/>
                <w:szCs w:val="16"/>
                <w:highlight w:val="darkGray"/>
                <w:lang w:val="en-ZA"/>
              </w:rPr>
              <w:t>TB-NAAT</w:t>
            </w:r>
            <w:r w:rsidR="00BB21D1" w:rsidRPr="00B9629C">
              <w:rPr>
                <w:rFonts w:cs="Arial"/>
                <w:spacing w:val="-4"/>
                <w:sz w:val="16"/>
                <w:szCs w:val="16"/>
                <w:highlight w:val="darkGray"/>
                <w:lang w:val="en-ZA"/>
              </w:rPr>
              <w:t>*</w:t>
            </w:r>
            <w:r w:rsidRPr="00B9629C">
              <w:rPr>
                <w:rFonts w:cs="Arial"/>
                <w:spacing w:val="-4"/>
                <w:sz w:val="16"/>
                <w:szCs w:val="16"/>
                <w:highlight w:val="darkGray"/>
                <w:lang w:val="en-ZA"/>
              </w:rPr>
              <w:t xml:space="preserve"> in all</w:t>
            </w:r>
            <w:r w:rsidR="00CF7997" w:rsidRPr="00B9629C">
              <w:rPr>
                <w:rFonts w:cs="Arial"/>
                <w:spacing w:val="-4"/>
                <w:sz w:val="16"/>
                <w:szCs w:val="16"/>
                <w:highlight w:val="darkGray"/>
                <w:lang w:val="en-ZA"/>
              </w:rPr>
              <w:t xml:space="preserve"> who can produce sputum</w:t>
            </w:r>
            <w:r w:rsidRPr="00B9629C">
              <w:rPr>
                <w:rFonts w:cs="Arial"/>
                <w:spacing w:val="-4"/>
                <w:sz w:val="16"/>
                <w:szCs w:val="16"/>
                <w:highlight w:val="darkGray"/>
                <w:lang w:val="en-ZA"/>
              </w:rPr>
              <w:t>, regardless of symptoms.</w:t>
            </w:r>
          </w:p>
          <w:p w14:paraId="7564A867" w14:textId="77777777" w:rsidR="00CF3767" w:rsidRPr="00B9629C" w:rsidRDefault="00CF3767" w:rsidP="009750A0">
            <w:pPr>
              <w:pStyle w:val="MediumGrid1-Accent21"/>
              <w:numPr>
                <w:ilvl w:val="0"/>
                <w:numId w:val="25"/>
              </w:numPr>
              <w:contextualSpacing/>
              <w:rPr>
                <w:sz w:val="16"/>
                <w:highlight w:val="darkGray"/>
                <w:lang w:val="en-ZA"/>
              </w:rPr>
            </w:pPr>
            <w:r w:rsidRPr="00B9629C">
              <w:rPr>
                <w:rFonts w:cs="Arial"/>
                <w:spacing w:val="-4"/>
                <w:sz w:val="16"/>
                <w:szCs w:val="16"/>
                <w:highlight w:val="darkGray"/>
                <w:lang w:val="en-ZA"/>
              </w:rPr>
              <w:t xml:space="preserve">Urine LAM for inpatients, or outpatients who are symptomatic if CD4 &lt;200 or advanced HIV disease or current serious illness.  </w:t>
            </w:r>
          </w:p>
          <w:p w14:paraId="319D779F" w14:textId="77777777" w:rsidR="00CF3767" w:rsidRPr="00B9629C" w:rsidRDefault="00CF3767" w:rsidP="009750A0">
            <w:pPr>
              <w:pStyle w:val="MediumGrid1-Accent21"/>
              <w:numPr>
                <w:ilvl w:val="0"/>
                <w:numId w:val="25"/>
              </w:numPr>
              <w:contextualSpacing/>
              <w:rPr>
                <w:rFonts w:cs="Arial"/>
                <w:sz w:val="16"/>
                <w:szCs w:val="16"/>
                <w:highlight w:val="darkGray"/>
                <w:lang w:val="en-ZA"/>
              </w:rPr>
            </w:pPr>
            <w:r w:rsidRPr="00B9629C">
              <w:rPr>
                <w:rFonts w:cs="Arial"/>
                <w:sz w:val="16"/>
                <w:szCs w:val="16"/>
                <w:highlight w:val="darkGray"/>
                <w:lang w:val="en-ZA"/>
              </w:rPr>
              <w:t>If planning to use TDF: check creatinine (avoid TDF if eGFR &lt;50 mL/minute).</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9"/>
            </w:tblGrid>
            <w:tr w:rsidR="00CF3767" w:rsidRPr="00B9629C" w14:paraId="666BBB95" w14:textId="77777777" w:rsidTr="00EF0E5D">
              <w:tc>
                <w:tcPr>
                  <w:tcW w:w="789" w:type="dxa"/>
                  <w:shd w:val="clear" w:color="auto" w:fill="auto"/>
                </w:tcPr>
                <w:p w14:paraId="0102E083" w14:textId="77777777" w:rsidR="00CF3767" w:rsidRPr="00B9629C" w:rsidRDefault="00CF3767" w:rsidP="00EF0E5D">
                  <w:pPr>
                    <w:keepLines/>
                    <w:outlineLvl w:val="0"/>
                    <w:rPr>
                      <w:rFonts w:eastAsiaTheme="majorEastAsia" w:cs="Arial"/>
                      <w:bCs/>
                      <w:i/>
                      <w:sz w:val="14"/>
                      <w:highlight w:val="darkGray"/>
                    </w:rPr>
                  </w:pPr>
                  <w:r w:rsidRPr="00B9629C">
                    <w:rPr>
                      <w:rFonts w:eastAsiaTheme="majorEastAsia" w:cs="Arial"/>
                      <w:bCs/>
                      <w:i/>
                      <w:sz w:val="14"/>
                      <w:highlight w:val="darkGray"/>
                    </w:rPr>
                    <w:t>LoE:IIIb</w:t>
                  </w:r>
                  <w:r w:rsidRPr="00B9629C">
                    <w:rPr>
                      <w:rFonts w:eastAsiaTheme="majorEastAsia" w:cs="Arial"/>
                      <w:bCs/>
                      <w:i/>
                      <w:sz w:val="14"/>
                      <w:highlight w:val="darkGray"/>
                      <w:vertAlign w:val="superscript"/>
                    </w:rPr>
                    <w:endnoteReference w:id="21"/>
                  </w:r>
                </w:p>
              </w:tc>
            </w:tr>
          </w:tbl>
          <w:p w14:paraId="4E083399" w14:textId="77777777" w:rsidR="00CF3767" w:rsidRPr="00B9629C" w:rsidRDefault="00CF3767" w:rsidP="00E3263A">
            <w:pPr>
              <w:pStyle w:val="MediumGrid1-Accent21"/>
              <w:ind w:left="167"/>
              <w:contextualSpacing/>
              <w:rPr>
                <w:rFonts w:cs="Arial"/>
                <w:sz w:val="4"/>
                <w:szCs w:val="16"/>
                <w:highlight w:val="darkGray"/>
                <w:lang w:val="en-ZA"/>
              </w:rPr>
            </w:pPr>
          </w:p>
          <w:p w14:paraId="2BB04C2D" w14:textId="77777777" w:rsidR="00CF3767" w:rsidRPr="00B9629C" w:rsidRDefault="00CF3767" w:rsidP="009750A0">
            <w:pPr>
              <w:pStyle w:val="MediumGrid1-Accent21"/>
              <w:numPr>
                <w:ilvl w:val="0"/>
                <w:numId w:val="25"/>
              </w:numPr>
              <w:contextualSpacing/>
              <w:rPr>
                <w:rFonts w:cs="Arial"/>
                <w:sz w:val="16"/>
                <w:szCs w:val="16"/>
                <w:highlight w:val="darkGray"/>
                <w:lang w:val="en-ZA"/>
              </w:rPr>
            </w:pPr>
            <w:r w:rsidRPr="00B9629C">
              <w:rPr>
                <w:rFonts w:cs="Arial"/>
                <w:sz w:val="16"/>
                <w:szCs w:val="16"/>
                <w:highlight w:val="darkGray"/>
                <w:lang w:val="en-ZA"/>
              </w:rPr>
              <w:t xml:space="preserve">Haemoglobin </w:t>
            </w:r>
          </w:p>
          <w:tbl>
            <w:tblPr>
              <w:tblStyle w:val="TableGrid"/>
              <w:tblpPr w:leftFromText="180" w:rightFromText="180" w:vertAnchor="text" w:horzAnchor="margin" w:tblpXSpec="right" w:tblpY="34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9"/>
            </w:tblGrid>
            <w:tr w:rsidR="00EF0E5D" w:rsidRPr="00B9629C" w14:paraId="787A1405" w14:textId="77777777" w:rsidTr="00EF0E5D">
              <w:tc>
                <w:tcPr>
                  <w:tcW w:w="789" w:type="dxa"/>
                  <w:shd w:val="clear" w:color="auto" w:fill="auto"/>
                </w:tcPr>
                <w:p w14:paraId="708D516F" w14:textId="77777777" w:rsidR="00EF0E5D" w:rsidRPr="00B9629C" w:rsidRDefault="00EF0E5D" w:rsidP="00EF0E5D">
                  <w:pPr>
                    <w:widowControl w:val="0"/>
                    <w:outlineLvl w:val="0"/>
                    <w:rPr>
                      <w:bCs/>
                      <w:i/>
                      <w:sz w:val="14"/>
                      <w:highlight w:val="darkGray"/>
                    </w:rPr>
                  </w:pPr>
                  <w:r w:rsidRPr="00B9629C">
                    <w:rPr>
                      <w:i/>
                      <w:sz w:val="14"/>
                      <w:highlight w:val="darkGray"/>
                    </w:rPr>
                    <w:t>LoE:IIb</w:t>
                  </w:r>
                  <w:r w:rsidRPr="00B9629C">
                    <w:rPr>
                      <w:rStyle w:val="EndnoteReference"/>
                      <w:i/>
                      <w:sz w:val="14"/>
                      <w:highlight w:val="darkGray"/>
                    </w:rPr>
                    <w:endnoteReference w:id="22"/>
                  </w:r>
                </w:p>
              </w:tc>
            </w:tr>
          </w:tbl>
          <w:p w14:paraId="25671ACA" w14:textId="77777777" w:rsidR="00CF3767" w:rsidRPr="00B9629C" w:rsidRDefault="00CF3767" w:rsidP="009750A0">
            <w:pPr>
              <w:pStyle w:val="MediumGrid1-Accent21"/>
              <w:numPr>
                <w:ilvl w:val="0"/>
                <w:numId w:val="25"/>
              </w:numPr>
              <w:contextualSpacing/>
              <w:rPr>
                <w:sz w:val="16"/>
                <w:highlight w:val="darkGray"/>
                <w:lang w:val="en-ZA"/>
              </w:rPr>
            </w:pPr>
            <w:r w:rsidRPr="00B9629C">
              <w:rPr>
                <w:rFonts w:cs="Arial"/>
                <w:spacing w:val="-2"/>
                <w:sz w:val="16"/>
                <w:szCs w:val="16"/>
                <w:highlight w:val="darkGray"/>
                <w:lang w:val="en-ZA"/>
              </w:rPr>
              <w:t xml:space="preserve">Check </w:t>
            </w:r>
            <w:r w:rsidRPr="00B9629C">
              <w:rPr>
                <w:rFonts w:cs="Arial"/>
                <w:bCs/>
                <w:iCs/>
                <w:spacing w:val="-2"/>
                <w:sz w:val="16"/>
                <w:szCs w:val="16"/>
                <w:highlight w:val="darkGray"/>
                <w:lang w:val="en-ZA" w:eastAsia="en-ZA"/>
              </w:rPr>
              <w:t xml:space="preserve">HBsAg </w:t>
            </w:r>
            <w:r w:rsidRPr="00B9629C">
              <w:rPr>
                <w:rFonts w:cs="Arial"/>
                <w:spacing w:val="-2"/>
                <w:sz w:val="16"/>
                <w:szCs w:val="16"/>
                <w:highlight w:val="darkGray"/>
                <w:lang w:val="en-ZA"/>
              </w:rPr>
              <w:t>(if positive, TDF should form part of the regimen).</w:t>
            </w:r>
          </w:p>
          <w:p w14:paraId="7F7B72F2" w14:textId="77777777" w:rsidR="00CF3767" w:rsidRPr="00B9629C" w:rsidRDefault="00CF3767" w:rsidP="009750A0">
            <w:pPr>
              <w:pStyle w:val="MediumGrid1-Accent21"/>
              <w:numPr>
                <w:ilvl w:val="0"/>
                <w:numId w:val="25"/>
              </w:numPr>
              <w:contextualSpacing/>
              <w:rPr>
                <w:sz w:val="16"/>
                <w:highlight w:val="darkGray"/>
                <w:lang w:val="en-ZA"/>
              </w:rPr>
            </w:pPr>
            <w:r w:rsidRPr="00B9629C">
              <w:rPr>
                <w:spacing w:val="-2"/>
                <w:sz w:val="16"/>
                <w:highlight w:val="darkGray"/>
                <w:lang w:val="en-ZA"/>
              </w:rPr>
              <w:t>Cervical cancer screening</w:t>
            </w:r>
          </w:p>
          <w:p w14:paraId="65C9F6EF" w14:textId="77777777" w:rsidR="00CF3767" w:rsidRPr="00B9629C" w:rsidRDefault="00CF3767" w:rsidP="00E3263A">
            <w:pPr>
              <w:pStyle w:val="MediumGrid1-Accent21"/>
              <w:ind w:left="0"/>
              <w:contextualSpacing/>
              <w:rPr>
                <w:rFonts w:cs="Arial"/>
                <w:spacing w:val="-4"/>
                <w:sz w:val="16"/>
                <w:szCs w:val="16"/>
                <w:highlight w:val="darkGray"/>
                <w:lang w:val="en-ZA"/>
              </w:rPr>
            </w:pPr>
          </w:p>
          <w:p w14:paraId="101324D7" w14:textId="77777777" w:rsidR="00BB21D1" w:rsidRPr="00B9629C" w:rsidRDefault="00BB21D1" w:rsidP="00E3263A">
            <w:pPr>
              <w:pStyle w:val="MediumGrid1-Accent21"/>
              <w:ind w:left="0"/>
              <w:contextualSpacing/>
              <w:rPr>
                <w:rFonts w:cs="Arial"/>
                <w:spacing w:val="-4"/>
                <w:sz w:val="16"/>
                <w:szCs w:val="16"/>
                <w:highlight w:val="darkGray"/>
                <w:lang w:val="en-ZA"/>
              </w:rPr>
            </w:pPr>
          </w:p>
          <w:p w14:paraId="069807CD" w14:textId="7406F1FB" w:rsidR="00BB21D1" w:rsidRPr="00B9629C" w:rsidRDefault="00BB21D1" w:rsidP="00E3263A">
            <w:pPr>
              <w:pStyle w:val="MediumGrid1-Accent21"/>
              <w:ind w:left="0"/>
              <w:contextualSpacing/>
              <w:rPr>
                <w:rFonts w:cs="Arial"/>
                <w:spacing w:val="-4"/>
                <w:sz w:val="16"/>
                <w:szCs w:val="16"/>
                <w:highlight w:val="darkGray"/>
                <w:lang w:val="en-ZA"/>
              </w:rPr>
            </w:pPr>
            <w:r w:rsidRPr="00B9629C">
              <w:rPr>
                <w:rFonts w:cs="Arial"/>
                <w:spacing w:val="-4"/>
                <w:sz w:val="16"/>
                <w:szCs w:val="16"/>
                <w:highlight w:val="darkGray"/>
                <w:lang w:val="en-ZA"/>
              </w:rPr>
              <w:t>*TB-NAAT: TB Nucleic Acid Amplification Test</w:t>
            </w:r>
            <w:r w:rsidR="00221208" w:rsidRPr="00B9629C">
              <w:rPr>
                <w:rFonts w:cs="Arial"/>
                <w:spacing w:val="-4"/>
                <w:sz w:val="16"/>
                <w:szCs w:val="16"/>
                <w:highlight w:val="darkGray"/>
                <w:lang w:val="en-ZA"/>
              </w:rPr>
              <w:t xml:space="preserve"> (e.g. GeneXpert  Ultra MTB/RIF)</w:t>
            </w:r>
          </w:p>
        </w:tc>
      </w:tr>
      <w:tr w:rsidR="00CF3767" w:rsidRPr="00B9629C" w14:paraId="6E782CDE" w14:textId="77777777" w:rsidTr="008A612F">
        <w:trPr>
          <w:trHeight w:val="362"/>
        </w:trPr>
        <w:tc>
          <w:tcPr>
            <w:tcW w:w="1074" w:type="pct"/>
            <w:shd w:val="clear" w:color="auto" w:fill="auto"/>
          </w:tcPr>
          <w:p w14:paraId="0DC3AC93" w14:textId="77777777" w:rsidR="00CF3767" w:rsidRPr="00B9629C" w:rsidRDefault="00CF3767" w:rsidP="00E3263A">
            <w:pPr>
              <w:rPr>
                <w:b/>
                <w:sz w:val="16"/>
                <w:szCs w:val="16"/>
                <w:highlight w:val="darkGray"/>
              </w:rPr>
            </w:pPr>
            <w:r w:rsidRPr="00B9629C">
              <w:rPr>
                <w:b/>
                <w:sz w:val="16"/>
                <w:szCs w:val="16"/>
                <w:highlight w:val="darkGray"/>
              </w:rPr>
              <w:t>On ART</w:t>
            </w:r>
          </w:p>
          <w:p w14:paraId="26C0486A" w14:textId="77777777" w:rsidR="00CF3767" w:rsidRPr="00B9629C" w:rsidRDefault="00CF3767" w:rsidP="00E3263A">
            <w:pPr>
              <w:rPr>
                <w:sz w:val="16"/>
                <w:szCs w:val="16"/>
                <w:highlight w:val="darkGray"/>
              </w:rPr>
            </w:pPr>
          </w:p>
        </w:tc>
        <w:tc>
          <w:tcPr>
            <w:tcW w:w="3926" w:type="pct"/>
            <w:shd w:val="clear" w:color="auto" w:fill="auto"/>
          </w:tcPr>
          <w:p w14:paraId="1A738713" w14:textId="75D25EA5" w:rsidR="001144C0" w:rsidRPr="00B9629C" w:rsidRDefault="001144C0" w:rsidP="009750A0">
            <w:pPr>
              <w:pStyle w:val="PlainText"/>
              <w:numPr>
                <w:ilvl w:val="0"/>
                <w:numId w:val="26"/>
              </w:numPr>
              <w:spacing w:before="100" w:beforeAutospacing="1" w:after="100" w:afterAutospacing="1" w:line="24" w:lineRule="atLeast"/>
              <w:ind w:left="167" w:hanging="167"/>
              <w:jc w:val="both"/>
              <w:rPr>
                <w:rFonts w:ascii="Arial" w:hAnsi="Arial" w:cs="Arial"/>
                <w:sz w:val="16"/>
                <w:szCs w:val="16"/>
                <w:highlight w:val="darkGray"/>
                <w:lang w:val="en-ZA"/>
              </w:rPr>
            </w:pPr>
            <w:r w:rsidRPr="00B9629C">
              <w:rPr>
                <w:rFonts w:ascii="Arial" w:hAnsi="Arial" w:cs="Arial"/>
                <w:sz w:val="16"/>
                <w:szCs w:val="16"/>
                <w:highlight w:val="darkGray"/>
                <w:lang w:val="en-ZA"/>
              </w:rPr>
              <w:t>Monitoring schedule has been adapted to minimise the number of visits required per annum</w:t>
            </w:r>
            <w:r w:rsidR="00856290" w:rsidRPr="00B9629C">
              <w:rPr>
                <w:rFonts w:ascii="Arial" w:hAnsi="Arial" w:cs="Arial"/>
                <w:sz w:val="16"/>
                <w:szCs w:val="16"/>
                <w:highlight w:val="darkGray"/>
                <w:lang w:val="en-ZA"/>
              </w:rPr>
              <w:t>.</w:t>
            </w:r>
          </w:p>
          <w:p w14:paraId="39A6C926" w14:textId="78ADD1EA" w:rsidR="00CF3767" w:rsidRPr="00B9629C" w:rsidRDefault="00CF3767" w:rsidP="009750A0">
            <w:pPr>
              <w:pStyle w:val="PlainText"/>
              <w:numPr>
                <w:ilvl w:val="0"/>
                <w:numId w:val="26"/>
              </w:numPr>
              <w:spacing w:before="100" w:beforeAutospacing="1" w:after="100" w:afterAutospacing="1" w:line="24" w:lineRule="atLeast"/>
              <w:ind w:left="167" w:hanging="167"/>
              <w:jc w:val="both"/>
              <w:rPr>
                <w:rFonts w:ascii="Arial" w:hAnsi="Arial" w:cs="Arial"/>
                <w:sz w:val="16"/>
                <w:szCs w:val="16"/>
                <w:highlight w:val="darkGray"/>
                <w:lang w:val="en-ZA"/>
              </w:rPr>
            </w:pPr>
            <w:r w:rsidRPr="00B9629C">
              <w:rPr>
                <w:rFonts w:ascii="Arial" w:hAnsi="Arial" w:cs="Arial"/>
                <w:sz w:val="16"/>
                <w:szCs w:val="16"/>
                <w:highlight w:val="darkGray"/>
                <w:lang w:val="en-ZA"/>
              </w:rPr>
              <w:t>VL at 3 and 10 months after initiating ART and every 12 months thereafter, if virologically suppressed. Align timing with client’s scripting cycle.</w:t>
            </w:r>
          </w:p>
          <w:p w14:paraId="4E7F8AF3" w14:textId="0C508FF2" w:rsidR="00CF3767" w:rsidRPr="00B9629C" w:rsidRDefault="00CF3767" w:rsidP="009750A0">
            <w:pPr>
              <w:pStyle w:val="PlainText"/>
              <w:numPr>
                <w:ilvl w:val="0"/>
                <w:numId w:val="26"/>
              </w:numPr>
              <w:spacing w:before="100" w:beforeAutospacing="1" w:after="100" w:afterAutospacing="1" w:line="24" w:lineRule="atLeast"/>
              <w:ind w:left="167" w:hanging="167"/>
              <w:jc w:val="both"/>
              <w:rPr>
                <w:rFonts w:ascii="Arial" w:hAnsi="Arial" w:cs="Arial"/>
                <w:sz w:val="16"/>
                <w:szCs w:val="16"/>
                <w:highlight w:val="darkGray"/>
                <w:lang w:val="en-ZA"/>
              </w:rPr>
            </w:pPr>
            <w:r w:rsidRPr="00B9629C">
              <w:rPr>
                <w:rFonts w:ascii="Arial" w:hAnsi="Arial" w:cs="Arial"/>
                <w:sz w:val="16"/>
                <w:szCs w:val="16"/>
                <w:highlight w:val="darkGray"/>
                <w:lang w:val="en-ZA"/>
              </w:rPr>
              <w:t>CD4 at 10 months after initiating ART (align with VL). Stop CD4 count monitoring when &gt;200 cells/mm</w:t>
            </w:r>
            <w:r w:rsidRPr="00B9629C">
              <w:rPr>
                <w:rFonts w:ascii="Arial" w:hAnsi="Arial" w:cs="Arial"/>
                <w:sz w:val="16"/>
                <w:szCs w:val="16"/>
                <w:highlight w:val="darkGray"/>
                <w:vertAlign w:val="superscript"/>
                <w:lang w:val="en-ZA"/>
              </w:rPr>
              <w:t>3</w:t>
            </w:r>
            <w:r w:rsidRPr="00B9629C">
              <w:rPr>
                <w:rFonts w:ascii="Arial" w:hAnsi="Arial" w:cs="Arial"/>
                <w:sz w:val="16"/>
                <w:szCs w:val="16"/>
                <w:highlight w:val="darkGray"/>
                <w:lang w:val="en-ZA"/>
              </w:rPr>
              <w:t xml:space="preserve"> and virologically suppressed. If virological or clinical failure occurs, or if client returns &gt;90 days after missing an appointment, then a CD4 count should be done as cotrimoxazole may need to be commenced/re</w:t>
            </w:r>
            <w:r w:rsidR="00367F15" w:rsidRPr="00B9629C">
              <w:rPr>
                <w:rFonts w:ascii="Arial" w:hAnsi="Arial" w:cs="Arial"/>
                <w:sz w:val="16"/>
                <w:szCs w:val="16"/>
                <w:highlight w:val="darkGray"/>
                <w:lang w:val="en-ZA"/>
              </w:rPr>
              <w:t>-</w:t>
            </w:r>
            <w:r w:rsidRPr="00B9629C">
              <w:rPr>
                <w:rFonts w:ascii="Arial" w:hAnsi="Arial" w:cs="Arial"/>
                <w:sz w:val="16"/>
                <w:szCs w:val="16"/>
                <w:highlight w:val="darkGray"/>
                <w:lang w:val="en-ZA"/>
              </w:rPr>
              <w:t>commenced. Repeat CD4 count every 6 months if VL remains ≥1000 copies/mL</w:t>
            </w:r>
          </w:p>
          <w:p w14:paraId="0E026572" w14:textId="77777777" w:rsidR="00CF3767" w:rsidRPr="00B9629C" w:rsidRDefault="00CF3767" w:rsidP="009750A0">
            <w:pPr>
              <w:pStyle w:val="PlainText"/>
              <w:numPr>
                <w:ilvl w:val="0"/>
                <w:numId w:val="26"/>
              </w:numPr>
              <w:spacing w:before="100" w:beforeAutospacing="1" w:after="100" w:afterAutospacing="1" w:line="24" w:lineRule="atLeast"/>
              <w:ind w:left="167" w:hanging="167"/>
              <w:jc w:val="both"/>
              <w:rPr>
                <w:rFonts w:ascii="Arial" w:hAnsi="Arial" w:cs="Arial"/>
                <w:sz w:val="16"/>
                <w:szCs w:val="16"/>
                <w:highlight w:val="darkGray"/>
                <w:lang w:val="en-ZA"/>
              </w:rPr>
            </w:pPr>
            <w:r w:rsidRPr="00B9629C">
              <w:rPr>
                <w:rFonts w:ascii="Arial" w:hAnsi="Arial" w:cs="Arial"/>
                <w:sz w:val="16"/>
                <w:szCs w:val="16"/>
                <w:highlight w:val="darkGray"/>
                <w:lang w:val="en-ZA"/>
              </w:rPr>
              <w:t>If on TDF: creatinine at month 3, month 10, and every 12 months thereafter. Align with VL monitoring schedule.</w:t>
            </w:r>
          </w:p>
          <w:p w14:paraId="0CFA7FBD" w14:textId="77777777" w:rsidR="00CF3767" w:rsidRPr="00B9629C" w:rsidRDefault="00CF3767" w:rsidP="009750A0">
            <w:pPr>
              <w:pStyle w:val="PlainText"/>
              <w:numPr>
                <w:ilvl w:val="0"/>
                <w:numId w:val="26"/>
              </w:numPr>
              <w:spacing w:line="24" w:lineRule="atLeast"/>
              <w:ind w:left="167" w:hanging="167"/>
              <w:jc w:val="both"/>
              <w:rPr>
                <w:rFonts w:ascii="Arial" w:hAnsi="Arial" w:cs="Arial"/>
                <w:sz w:val="16"/>
                <w:szCs w:val="16"/>
                <w:highlight w:val="darkGray"/>
                <w:lang w:val="en-ZA"/>
              </w:rPr>
            </w:pPr>
            <w:r w:rsidRPr="00B9629C">
              <w:rPr>
                <w:rFonts w:ascii="Arial" w:hAnsi="Arial" w:cs="Arial"/>
                <w:sz w:val="16"/>
                <w:szCs w:val="16"/>
                <w:highlight w:val="darkGray"/>
                <w:lang w:val="en-ZA"/>
              </w:rPr>
              <w:t>If on AZT: FBC and differential count at 1 and 3 months after initiating AZT, then only if clinically indicated.</w:t>
            </w:r>
          </w:p>
          <w:p w14:paraId="0103276B" w14:textId="77777777" w:rsidR="00CF3767" w:rsidRPr="00B9629C" w:rsidRDefault="00CF3767" w:rsidP="009750A0">
            <w:pPr>
              <w:pStyle w:val="PlainText"/>
              <w:numPr>
                <w:ilvl w:val="0"/>
                <w:numId w:val="26"/>
              </w:numPr>
              <w:spacing w:before="100" w:beforeAutospacing="1" w:after="100" w:afterAutospacing="1" w:line="24" w:lineRule="atLeast"/>
              <w:ind w:left="167" w:hanging="167"/>
              <w:jc w:val="both"/>
              <w:rPr>
                <w:rFonts w:ascii="Arial" w:hAnsi="Arial" w:cs="Arial"/>
                <w:sz w:val="16"/>
                <w:szCs w:val="16"/>
                <w:highlight w:val="darkGray"/>
                <w:lang w:val="en-ZA"/>
              </w:rPr>
            </w:pPr>
            <w:r w:rsidRPr="00B9629C">
              <w:rPr>
                <w:rFonts w:ascii="Arial" w:hAnsi="Arial" w:cs="Arial"/>
                <w:sz w:val="16"/>
                <w:szCs w:val="16"/>
                <w:highlight w:val="darkGray"/>
                <w:lang w:val="en-ZA"/>
              </w:rPr>
              <w:t>ALT if symptoms of hepatitis develop.</w:t>
            </w:r>
          </w:p>
          <w:p w14:paraId="710BD85C" w14:textId="77777777" w:rsidR="00CF3767" w:rsidRPr="00B9629C" w:rsidRDefault="00CF3767" w:rsidP="009750A0">
            <w:pPr>
              <w:pStyle w:val="PlainText"/>
              <w:numPr>
                <w:ilvl w:val="0"/>
                <w:numId w:val="26"/>
              </w:numPr>
              <w:ind w:left="167" w:hanging="167"/>
              <w:jc w:val="both"/>
              <w:rPr>
                <w:rFonts w:ascii="Arial" w:hAnsi="Arial" w:cs="Arial"/>
                <w:sz w:val="16"/>
                <w:szCs w:val="16"/>
                <w:highlight w:val="darkGray"/>
                <w:lang w:val="en-ZA"/>
              </w:rPr>
            </w:pPr>
            <w:r w:rsidRPr="00B9629C">
              <w:rPr>
                <w:rFonts w:ascii="Arial" w:hAnsi="Arial" w:cs="Arial"/>
                <w:sz w:val="16"/>
                <w:szCs w:val="16"/>
                <w:highlight w:val="darkGray"/>
                <w:lang w:val="en-ZA"/>
              </w:rPr>
              <w:t>If on a protease inhibitor (PI): cholesterol and triglycerides at 3 months after initiating PI. If above acceptable range, do fasting cholesterol and TGs and if still above acceptable range, obtain expert advice.</w:t>
            </w:r>
          </w:p>
        </w:tc>
      </w:tr>
    </w:tbl>
    <w:p w14:paraId="135E382A" w14:textId="79A6C393" w:rsidR="00CF3767" w:rsidRPr="00B9629C" w:rsidRDefault="00CF3767" w:rsidP="00CF3767">
      <w:pPr>
        <w:pStyle w:val="Medicinebullet1"/>
        <w:jc w:val="both"/>
        <w:rPr>
          <w:rFonts w:cs="Arial"/>
          <w:color w:val="000000"/>
          <w:sz w:val="16"/>
          <w:highlight w:val="darkGray"/>
        </w:rPr>
      </w:pPr>
      <w:r w:rsidRPr="00B9629C">
        <w:rPr>
          <w:rFonts w:cs="Arial"/>
          <w:b/>
          <w:color w:val="000000"/>
          <w:sz w:val="16"/>
          <w:highlight w:val="darkGray"/>
        </w:rPr>
        <w:t>Table 11.2:</w:t>
      </w:r>
      <w:r w:rsidRPr="00B9629C">
        <w:rPr>
          <w:rFonts w:cs="Arial"/>
          <w:color w:val="000000"/>
          <w:sz w:val="16"/>
          <w:highlight w:val="darkGray"/>
        </w:rPr>
        <w:t xml:space="preserve"> Monitoring on ART</w:t>
      </w:r>
    </w:p>
    <w:p w14:paraId="4E87B7B0" w14:textId="77777777" w:rsidR="00C6478B" w:rsidRPr="00B9629C" w:rsidRDefault="00C6478B" w:rsidP="00C6478B">
      <w:pPr>
        <w:pStyle w:val="NoSpacing"/>
        <w:jc w:val="center"/>
        <w:rPr>
          <w:b/>
          <w:highlight w:val="darkGray"/>
        </w:rPr>
      </w:pPr>
      <w:r w:rsidRPr="00B9629C">
        <w:rPr>
          <w:b/>
          <w:highlight w:val="darkGray"/>
        </w:rPr>
        <w:lastRenderedPageBreak/>
        <w:t>HIV VIRAL LOAD MONITORING SCHEDULE</w:t>
      </w:r>
    </w:p>
    <w:p w14:paraId="479EC423" w14:textId="77777777" w:rsidR="00C6478B" w:rsidRPr="00B9629C" w:rsidRDefault="00C6478B" w:rsidP="00C6478B">
      <w:pPr>
        <w:pStyle w:val="NoSpacing"/>
        <w:rPr>
          <w:highlight w:val="darkGray"/>
        </w:rPr>
      </w:pPr>
    </w:p>
    <w:p w14:paraId="30D74D74" w14:textId="77777777" w:rsidR="00C6478B" w:rsidRPr="00B9629C" w:rsidRDefault="00C6478B" w:rsidP="00C6478B">
      <w:pPr>
        <w:pStyle w:val="NoSpacing"/>
        <w:rPr>
          <w:highlight w:val="darkGray"/>
        </w:rPr>
      </w:pPr>
      <w:r w:rsidRPr="00B9629C">
        <w:rPr>
          <w:noProof/>
          <w:highlight w:val="darkGray"/>
          <w:lang w:eastAsia="en-ZA"/>
        </w:rPr>
        <w:drawing>
          <wp:inline distT="0" distB="0" distL="0" distR="0" wp14:anchorId="31A3750E" wp14:editId="4EE4E289">
            <wp:extent cx="4107180" cy="54934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2643" cy="5500737"/>
                    </a:xfrm>
                    <a:prstGeom prst="rect">
                      <a:avLst/>
                    </a:prstGeom>
                  </pic:spPr>
                </pic:pic>
              </a:graphicData>
            </a:graphic>
          </wp:inline>
        </w:drawing>
      </w:r>
    </w:p>
    <w:p w14:paraId="690073A9" w14:textId="49103815" w:rsidR="00766DA8" w:rsidRPr="00B9629C" w:rsidRDefault="00C6478B" w:rsidP="00D63CF8">
      <w:pPr>
        <w:pStyle w:val="NoSpacing"/>
        <w:jc w:val="both"/>
        <w:rPr>
          <w:sz w:val="16"/>
          <w:szCs w:val="16"/>
          <w:highlight w:val="darkGray"/>
        </w:rPr>
      </w:pPr>
      <w:r w:rsidRPr="00B9629C">
        <w:rPr>
          <w:b/>
          <w:sz w:val="16"/>
          <w:szCs w:val="16"/>
          <w:highlight w:val="darkGray"/>
        </w:rPr>
        <w:t>Figure 11.</w:t>
      </w:r>
      <w:r w:rsidR="004A6630" w:rsidRPr="00B9629C">
        <w:rPr>
          <w:b/>
          <w:sz w:val="16"/>
          <w:szCs w:val="16"/>
          <w:highlight w:val="darkGray"/>
        </w:rPr>
        <w:t>3</w:t>
      </w:r>
      <w:r w:rsidRPr="00B9629C">
        <w:rPr>
          <w:sz w:val="16"/>
          <w:szCs w:val="16"/>
          <w:highlight w:val="darkGray"/>
        </w:rPr>
        <w:t>: Incorporated from the NDoH 2023 ART Clinical Guidelines for the Management of HIV in Adults, Pregnancy and Breastfeeding, Adolescents, Children, Infants and Neonates.</w:t>
      </w:r>
      <w:r w:rsidR="000D2E09" w:rsidRPr="00B9629C">
        <w:rPr>
          <w:sz w:val="16"/>
          <w:szCs w:val="16"/>
          <w:highlight w:val="darkGray"/>
        </w:rPr>
        <w:t xml:space="preserve"> </w:t>
      </w:r>
    </w:p>
    <w:p w14:paraId="0BDFEDFD" w14:textId="7F20246B" w:rsidR="00E5138C" w:rsidRPr="00B9629C" w:rsidRDefault="000D2E09" w:rsidP="00F7195A">
      <w:pPr>
        <w:pStyle w:val="NoSpacing"/>
        <w:rPr>
          <w:sz w:val="16"/>
          <w:szCs w:val="16"/>
          <w:highlight w:val="darkGray"/>
        </w:rPr>
      </w:pPr>
      <w:r w:rsidRPr="00B9629C">
        <w:rPr>
          <w:sz w:val="16"/>
          <w:szCs w:val="16"/>
          <w:highlight w:val="darkGray"/>
        </w:rPr>
        <w:t>DC:  Dispensing cycle</w:t>
      </w:r>
      <w:r w:rsidR="00766DA8" w:rsidRPr="00B9629C">
        <w:rPr>
          <w:sz w:val="16"/>
          <w:szCs w:val="16"/>
          <w:highlight w:val="darkGray"/>
        </w:rPr>
        <w:t xml:space="preserve">; </w:t>
      </w:r>
      <w:r w:rsidRPr="00B9629C">
        <w:rPr>
          <w:sz w:val="16"/>
          <w:szCs w:val="16"/>
          <w:highlight w:val="darkGray"/>
        </w:rPr>
        <w:t>MMD</w:t>
      </w:r>
      <w:r w:rsidR="006746DF" w:rsidRPr="00B9629C">
        <w:rPr>
          <w:sz w:val="16"/>
          <w:szCs w:val="16"/>
          <w:highlight w:val="darkGray"/>
        </w:rPr>
        <w:t xml:space="preserve">: </w:t>
      </w:r>
      <w:r w:rsidR="003E4128" w:rsidRPr="00B9629C">
        <w:rPr>
          <w:sz w:val="16"/>
          <w:szCs w:val="16"/>
          <w:highlight w:val="darkGray"/>
        </w:rPr>
        <w:t>Multi-month dispensing</w:t>
      </w:r>
      <w:r w:rsidR="00766DA8" w:rsidRPr="00B9629C">
        <w:rPr>
          <w:sz w:val="16"/>
          <w:szCs w:val="16"/>
          <w:highlight w:val="darkGray"/>
        </w:rPr>
        <w:t>; RPCs</w:t>
      </w:r>
      <w:r w:rsidR="006746DF" w:rsidRPr="00B9629C">
        <w:rPr>
          <w:sz w:val="16"/>
          <w:szCs w:val="16"/>
          <w:highlight w:val="darkGray"/>
        </w:rPr>
        <w:t>:</w:t>
      </w:r>
      <w:r w:rsidR="00766DA8" w:rsidRPr="00B9629C">
        <w:rPr>
          <w:sz w:val="16"/>
          <w:szCs w:val="16"/>
          <w:highlight w:val="darkGray"/>
        </w:rPr>
        <w:t xml:space="preserve"> Repeat prescription collection strategies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
        <w:gridCol w:w="687"/>
        <w:gridCol w:w="970"/>
        <w:gridCol w:w="1477"/>
        <w:gridCol w:w="2536"/>
      </w:tblGrid>
      <w:tr w:rsidR="00B94698" w:rsidRPr="00B9629C" w14:paraId="3E039195" w14:textId="77777777" w:rsidTr="00D0226E">
        <w:tc>
          <w:tcPr>
            <w:tcW w:w="5000" w:type="pct"/>
            <w:gridSpan w:val="5"/>
            <w:shd w:val="clear" w:color="auto" w:fill="D9D9D9" w:themeFill="background1" w:themeFillShade="D9"/>
          </w:tcPr>
          <w:p w14:paraId="0D598302" w14:textId="34EAF62F" w:rsidR="00B94698" w:rsidRPr="00B9629C" w:rsidRDefault="00B94698" w:rsidP="00B94698">
            <w:pPr>
              <w:keepNext/>
              <w:ind w:left="720"/>
              <w:jc w:val="center"/>
              <w:outlineLvl w:val="2"/>
              <w:rPr>
                <w:rFonts w:cs="Arial"/>
                <w:b/>
                <w:highlight w:val="darkGray"/>
              </w:rPr>
            </w:pPr>
            <w:bookmarkStart w:id="9" w:name="_Hlk24377336"/>
            <w:bookmarkEnd w:id="8"/>
            <w:r w:rsidRPr="00B9629C">
              <w:rPr>
                <w:rFonts w:cs="Arial"/>
                <w:b/>
                <w:highlight w:val="darkGray"/>
              </w:rPr>
              <w:lastRenderedPageBreak/>
              <w:t>ART: DOSING AND IMPORTANT ADVERSE EFFECTS</w:t>
            </w:r>
            <w:bookmarkEnd w:id="9"/>
          </w:p>
        </w:tc>
      </w:tr>
      <w:tr w:rsidR="00B94698" w:rsidRPr="00B9629C" w14:paraId="13F6C0BE" w14:textId="77777777" w:rsidTr="00D0226E">
        <w:tc>
          <w:tcPr>
            <w:tcW w:w="757" w:type="pct"/>
            <w:shd w:val="clear" w:color="auto" w:fill="auto"/>
          </w:tcPr>
          <w:p w14:paraId="29F4E143" w14:textId="77777777" w:rsidR="00B94698" w:rsidRPr="00B9629C" w:rsidRDefault="00B94698" w:rsidP="0010117D">
            <w:pPr>
              <w:ind w:right="-108"/>
              <w:rPr>
                <w:rFonts w:cs="Arial"/>
                <w:b/>
                <w:sz w:val="14"/>
                <w:szCs w:val="16"/>
                <w:highlight w:val="darkGray"/>
              </w:rPr>
            </w:pPr>
            <w:r w:rsidRPr="00B9629C">
              <w:rPr>
                <w:rFonts w:cs="Arial"/>
                <w:b/>
                <w:sz w:val="14"/>
                <w:szCs w:val="16"/>
                <w:highlight w:val="darkGray"/>
              </w:rPr>
              <w:t>Generic name</w:t>
            </w:r>
          </w:p>
        </w:tc>
        <w:tc>
          <w:tcPr>
            <w:tcW w:w="514" w:type="pct"/>
            <w:shd w:val="clear" w:color="auto" w:fill="auto"/>
          </w:tcPr>
          <w:p w14:paraId="3272A2E7" w14:textId="77777777" w:rsidR="00B94698" w:rsidRPr="00B9629C" w:rsidRDefault="00B94698" w:rsidP="0010117D">
            <w:pPr>
              <w:jc w:val="center"/>
              <w:rPr>
                <w:rFonts w:ascii="Arial Bold" w:hAnsi="Arial Bold" w:cs="Arial"/>
                <w:b/>
                <w:spacing w:val="-8"/>
                <w:sz w:val="14"/>
                <w:szCs w:val="16"/>
                <w:highlight w:val="darkGray"/>
              </w:rPr>
            </w:pPr>
            <w:r w:rsidRPr="00B9629C">
              <w:rPr>
                <w:rFonts w:ascii="Arial Bold" w:hAnsi="Arial Bold" w:cs="Arial"/>
                <w:b/>
                <w:spacing w:val="-8"/>
                <w:sz w:val="14"/>
                <w:szCs w:val="16"/>
                <w:highlight w:val="darkGray"/>
              </w:rPr>
              <w:t xml:space="preserve">Class </w:t>
            </w:r>
          </w:p>
        </w:tc>
        <w:tc>
          <w:tcPr>
            <w:tcW w:w="726" w:type="pct"/>
            <w:shd w:val="clear" w:color="auto" w:fill="auto"/>
          </w:tcPr>
          <w:p w14:paraId="72E05068" w14:textId="77777777" w:rsidR="00B94698" w:rsidRPr="00B9629C" w:rsidRDefault="00B94698" w:rsidP="0010117D">
            <w:pPr>
              <w:jc w:val="center"/>
              <w:rPr>
                <w:rFonts w:cs="Arial"/>
                <w:b/>
                <w:sz w:val="14"/>
                <w:szCs w:val="16"/>
                <w:highlight w:val="darkGray"/>
              </w:rPr>
            </w:pPr>
            <w:r w:rsidRPr="00B9629C">
              <w:rPr>
                <w:rFonts w:cs="Arial"/>
                <w:b/>
                <w:sz w:val="14"/>
                <w:szCs w:val="16"/>
                <w:highlight w:val="darkGray"/>
              </w:rPr>
              <w:t>Usual dose</w:t>
            </w:r>
          </w:p>
        </w:tc>
        <w:tc>
          <w:tcPr>
            <w:tcW w:w="1105" w:type="pct"/>
          </w:tcPr>
          <w:p w14:paraId="2279937A" w14:textId="77777777" w:rsidR="00B94698" w:rsidRPr="00B9629C" w:rsidRDefault="00B94698" w:rsidP="0010117D">
            <w:pPr>
              <w:jc w:val="center"/>
              <w:rPr>
                <w:rFonts w:cs="Arial"/>
                <w:b/>
                <w:sz w:val="14"/>
                <w:szCs w:val="16"/>
                <w:highlight w:val="darkGray"/>
              </w:rPr>
            </w:pPr>
            <w:r w:rsidRPr="00B9629C">
              <w:rPr>
                <w:rFonts w:cs="Arial"/>
                <w:b/>
                <w:sz w:val="14"/>
                <w:szCs w:val="16"/>
                <w:highlight w:val="darkGray"/>
              </w:rPr>
              <w:t>Renal adjusted dose</w:t>
            </w:r>
          </w:p>
        </w:tc>
        <w:tc>
          <w:tcPr>
            <w:tcW w:w="1898" w:type="pct"/>
            <w:shd w:val="clear" w:color="auto" w:fill="auto"/>
          </w:tcPr>
          <w:p w14:paraId="2D1B862A" w14:textId="77777777" w:rsidR="00B94698" w:rsidRPr="00B9629C" w:rsidRDefault="00B94698" w:rsidP="0010117D">
            <w:pPr>
              <w:jc w:val="center"/>
              <w:rPr>
                <w:rFonts w:cs="Arial"/>
                <w:b/>
                <w:sz w:val="14"/>
                <w:szCs w:val="16"/>
                <w:highlight w:val="darkGray"/>
              </w:rPr>
            </w:pPr>
            <w:r w:rsidRPr="00B9629C">
              <w:rPr>
                <w:rFonts w:cs="Arial"/>
                <w:b/>
                <w:sz w:val="14"/>
                <w:szCs w:val="16"/>
                <w:highlight w:val="darkGray"/>
              </w:rPr>
              <w:t>Important adverse drug reactions and timing</w:t>
            </w:r>
          </w:p>
        </w:tc>
      </w:tr>
      <w:tr w:rsidR="00923928" w:rsidRPr="00B9629C" w14:paraId="425DFC33" w14:textId="77777777" w:rsidTr="00D0226E">
        <w:tc>
          <w:tcPr>
            <w:tcW w:w="757" w:type="pct"/>
            <w:shd w:val="clear" w:color="auto" w:fill="auto"/>
          </w:tcPr>
          <w:p w14:paraId="6BC96844" w14:textId="46730529" w:rsidR="002E7EC9" w:rsidRPr="00B9629C" w:rsidRDefault="002E7EC9" w:rsidP="002E7EC9">
            <w:pPr>
              <w:rPr>
                <w:rFonts w:cs="Arial"/>
                <w:sz w:val="14"/>
                <w:szCs w:val="14"/>
                <w:highlight w:val="darkGray"/>
              </w:rPr>
            </w:pPr>
            <w:r w:rsidRPr="00B9629C">
              <w:rPr>
                <w:rFonts w:cs="Arial"/>
                <w:sz w:val="14"/>
                <w:szCs w:val="14"/>
                <w:highlight w:val="darkGray"/>
              </w:rPr>
              <w:t>Dolutegravir (DTG)</w:t>
            </w:r>
          </w:p>
        </w:tc>
        <w:tc>
          <w:tcPr>
            <w:tcW w:w="514" w:type="pct"/>
            <w:shd w:val="clear" w:color="auto" w:fill="auto"/>
          </w:tcPr>
          <w:p w14:paraId="28B1FC94" w14:textId="2F3BB3D5" w:rsidR="002E7EC9" w:rsidRPr="00B9629C" w:rsidRDefault="002E7EC9" w:rsidP="002E7EC9">
            <w:pPr>
              <w:rPr>
                <w:rFonts w:cs="Arial"/>
                <w:sz w:val="14"/>
                <w:szCs w:val="14"/>
                <w:highlight w:val="darkGray"/>
              </w:rPr>
            </w:pPr>
            <w:r w:rsidRPr="00B9629C">
              <w:rPr>
                <w:rFonts w:cs="Arial"/>
                <w:spacing w:val="-10"/>
                <w:sz w:val="14"/>
                <w:szCs w:val="14"/>
                <w:highlight w:val="darkGray"/>
              </w:rPr>
              <w:t>InSTIs</w:t>
            </w:r>
          </w:p>
        </w:tc>
        <w:tc>
          <w:tcPr>
            <w:tcW w:w="726" w:type="pct"/>
            <w:shd w:val="clear" w:color="auto" w:fill="auto"/>
          </w:tcPr>
          <w:p w14:paraId="4F33879E" w14:textId="206EB957" w:rsidR="002E7EC9" w:rsidRPr="00B9629C" w:rsidRDefault="002E7EC9" w:rsidP="002E7EC9">
            <w:pPr>
              <w:rPr>
                <w:rFonts w:cs="Arial"/>
                <w:sz w:val="14"/>
                <w:szCs w:val="14"/>
                <w:highlight w:val="darkGray"/>
              </w:rPr>
            </w:pPr>
            <w:r w:rsidRPr="00B9629C">
              <w:rPr>
                <w:rFonts w:cs="Arial"/>
                <w:spacing w:val="-2"/>
                <w:sz w:val="14"/>
                <w:szCs w:val="14"/>
                <w:highlight w:val="darkGray"/>
              </w:rPr>
              <w:t>50 mg once daily</w:t>
            </w:r>
          </w:p>
        </w:tc>
        <w:tc>
          <w:tcPr>
            <w:tcW w:w="1105" w:type="pct"/>
          </w:tcPr>
          <w:p w14:paraId="06E687AD" w14:textId="02BF6DC9" w:rsidR="002E7EC9" w:rsidRPr="00B9629C" w:rsidRDefault="002E7EC9" w:rsidP="002E7EC9">
            <w:pPr>
              <w:rPr>
                <w:rFonts w:cs="Arial"/>
                <w:sz w:val="14"/>
                <w:szCs w:val="14"/>
                <w:highlight w:val="darkGray"/>
              </w:rPr>
            </w:pPr>
            <w:r w:rsidRPr="00B9629C">
              <w:rPr>
                <w:rFonts w:cs="Arial"/>
                <w:spacing w:val="-2"/>
                <w:sz w:val="14"/>
                <w:szCs w:val="14"/>
                <w:highlight w:val="darkGray"/>
              </w:rPr>
              <w:t>Dose adjustment not required</w:t>
            </w:r>
            <w:r w:rsidR="00724290" w:rsidRPr="00B9629C">
              <w:rPr>
                <w:rFonts w:cs="Arial"/>
                <w:spacing w:val="-2"/>
                <w:sz w:val="14"/>
                <w:szCs w:val="14"/>
                <w:highlight w:val="darkGray"/>
              </w:rPr>
              <w:t>.</w:t>
            </w:r>
          </w:p>
        </w:tc>
        <w:tc>
          <w:tcPr>
            <w:tcW w:w="1898" w:type="pct"/>
            <w:shd w:val="clear" w:color="auto" w:fill="auto"/>
          </w:tcPr>
          <w:p w14:paraId="02100066" w14:textId="013BC336" w:rsidR="002E7EC9" w:rsidRPr="00B9629C" w:rsidRDefault="002E7EC9" w:rsidP="009750A0">
            <w:pPr>
              <w:numPr>
                <w:ilvl w:val="0"/>
                <w:numId w:val="19"/>
              </w:numPr>
              <w:spacing w:before="0" w:after="0"/>
              <w:ind w:left="162" w:hanging="162"/>
              <w:rPr>
                <w:rFonts w:cs="Arial"/>
                <w:spacing w:val="-2"/>
                <w:sz w:val="14"/>
                <w:szCs w:val="14"/>
                <w:highlight w:val="darkGray"/>
              </w:rPr>
            </w:pPr>
            <w:r w:rsidRPr="00B9629C">
              <w:rPr>
                <w:rFonts w:cs="Arial"/>
                <w:spacing w:val="-2"/>
                <w:sz w:val="14"/>
                <w:szCs w:val="14"/>
                <w:highlight w:val="darkGray"/>
              </w:rPr>
              <w:t>Hypersensitivity (rare, weeks)</w:t>
            </w:r>
            <w:r w:rsidR="00724290" w:rsidRPr="00B9629C">
              <w:rPr>
                <w:rFonts w:cs="Arial"/>
                <w:spacing w:val="-2"/>
                <w:sz w:val="14"/>
                <w:szCs w:val="14"/>
                <w:highlight w:val="darkGray"/>
              </w:rPr>
              <w:t>.</w:t>
            </w:r>
          </w:p>
          <w:p w14:paraId="3AEC0599" w14:textId="69171ED0" w:rsidR="002E7EC9" w:rsidRPr="00B9629C" w:rsidRDefault="002E7EC9" w:rsidP="009750A0">
            <w:pPr>
              <w:numPr>
                <w:ilvl w:val="0"/>
                <w:numId w:val="19"/>
              </w:numPr>
              <w:spacing w:before="0" w:after="0"/>
              <w:ind w:left="162" w:hanging="162"/>
              <w:rPr>
                <w:rFonts w:cs="Arial"/>
                <w:sz w:val="14"/>
                <w:szCs w:val="14"/>
                <w:highlight w:val="darkGray"/>
              </w:rPr>
            </w:pPr>
            <w:r w:rsidRPr="00B9629C">
              <w:rPr>
                <w:rFonts w:cs="Arial"/>
                <w:sz w:val="14"/>
                <w:szCs w:val="14"/>
                <w:highlight w:val="darkGray"/>
              </w:rPr>
              <w:t>Insomnia (common)</w:t>
            </w:r>
            <w:r w:rsidR="00724290" w:rsidRPr="00B9629C">
              <w:rPr>
                <w:rFonts w:cs="Arial"/>
                <w:sz w:val="14"/>
                <w:szCs w:val="14"/>
                <w:highlight w:val="darkGray"/>
              </w:rPr>
              <w:t>.</w:t>
            </w:r>
          </w:p>
          <w:p w14:paraId="0B9F8F6F" w14:textId="3BD64142" w:rsidR="002E7EC9" w:rsidRPr="00B9629C" w:rsidRDefault="002E7EC9" w:rsidP="009750A0">
            <w:pPr>
              <w:numPr>
                <w:ilvl w:val="0"/>
                <w:numId w:val="19"/>
              </w:numPr>
              <w:spacing w:before="0" w:after="0"/>
              <w:ind w:left="162" w:hanging="162"/>
              <w:rPr>
                <w:rFonts w:cs="Arial"/>
                <w:sz w:val="14"/>
                <w:szCs w:val="14"/>
                <w:highlight w:val="darkGray"/>
              </w:rPr>
            </w:pPr>
            <w:r w:rsidRPr="00B9629C">
              <w:rPr>
                <w:rFonts w:cs="Arial"/>
                <w:sz w:val="14"/>
                <w:szCs w:val="14"/>
                <w:highlight w:val="darkGray"/>
              </w:rPr>
              <w:t>Headache (common)</w:t>
            </w:r>
            <w:r w:rsidR="00724290" w:rsidRPr="00B9629C">
              <w:rPr>
                <w:rFonts w:cs="Arial"/>
                <w:sz w:val="14"/>
                <w:szCs w:val="14"/>
                <w:highlight w:val="darkGray"/>
              </w:rPr>
              <w:t>.</w:t>
            </w:r>
          </w:p>
          <w:p w14:paraId="034E5F6F" w14:textId="19AB9ADE" w:rsidR="002E7EC9" w:rsidRPr="00B9629C" w:rsidRDefault="002E7EC9" w:rsidP="009750A0">
            <w:pPr>
              <w:numPr>
                <w:ilvl w:val="0"/>
                <w:numId w:val="19"/>
              </w:numPr>
              <w:spacing w:before="0" w:after="0"/>
              <w:ind w:left="162" w:hanging="162"/>
              <w:rPr>
                <w:rFonts w:cs="Arial"/>
                <w:sz w:val="14"/>
                <w:szCs w:val="14"/>
                <w:highlight w:val="darkGray"/>
              </w:rPr>
            </w:pPr>
            <w:r w:rsidRPr="00B9629C">
              <w:rPr>
                <w:rFonts w:cs="Arial"/>
                <w:sz w:val="14"/>
                <w:szCs w:val="14"/>
                <w:highlight w:val="darkGray"/>
              </w:rPr>
              <w:t>Other neuropsychiatric symptoms</w:t>
            </w:r>
            <w:r w:rsidR="00724290" w:rsidRPr="00B9629C">
              <w:rPr>
                <w:rFonts w:cs="Arial"/>
                <w:sz w:val="14"/>
                <w:szCs w:val="14"/>
                <w:highlight w:val="darkGray"/>
              </w:rPr>
              <w:t>.</w:t>
            </w:r>
            <w:r w:rsidRPr="00B9629C">
              <w:rPr>
                <w:rFonts w:cs="Arial"/>
                <w:sz w:val="14"/>
                <w:szCs w:val="14"/>
                <w:highlight w:val="darkGray"/>
              </w:rPr>
              <w:t xml:space="preserve"> </w:t>
            </w:r>
          </w:p>
          <w:p w14:paraId="70AFCB16" w14:textId="27B72A6F" w:rsidR="002E7EC9" w:rsidRPr="00B9629C" w:rsidRDefault="002E7EC9" w:rsidP="009750A0">
            <w:pPr>
              <w:numPr>
                <w:ilvl w:val="0"/>
                <w:numId w:val="19"/>
              </w:numPr>
              <w:spacing w:before="0" w:after="0"/>
              <w:ind w:left="162" w:hanging="162"/>
              <w:rPr>
                <w:rFonts w:cs="Arial"/>
                <w:sz w:val="14"/>
                <w:szCs w:val="14"/>
                <w:highlight w:val="darkGray"/>
              </w:rPr>
            </w:pPr>
            <w:r w:rsidRPr="00B9629C">
              <w:rPr>
                <w:rFonts w:cs="Arial"/>
                <w:sz w:val="14"/>
                <w:szCs w:val="14"/>
                <w:highlight w:val="darkGray"/>
              </w:rPr>
              <w:t>Nausea, diarrh</w:t>
            </w:r>
            <w:r w:rsidR="00A25805" w:rsidRPr="00B9629C">
              <w:rPr>
                <w:rFonts w:cs="Arial"/>
                <w:sz w:val="14"/>
                <w:szCs w:val="14"/>
                <w:highlight w:val="darkGray"/>
              </w:rPr>
              <w:t>o</w:t>
            </w:r>
            <w:r w:rsidRPr="00B9629C">
              <w:rPr>
                <w:rFonts w:cs="Arial"/>
                <w:sz w:val="14"/>
                <w:szCs w:val="14"/>
                <w:highlight w:val="darkGray"/>
              </w:rPr>
              <w:t>ea (common)</w:t>
            </w:r>
            <w:r w:rsidR="00724290" w:rsidRPr="00B9629C">
              <w:rPr>
                <w:rFonts w:cs="Arial"/>
                <w:sz w:val="14"/>
                <w:szCs w:val="14"/>
                <w:highlight w:val="darkGray"/>
              </w:rPr>
              <w:t>.</w:t>
            </w:r>
          </w:p>
          <w:p w14:paraId="230EF9D1" w14:textId="1B970A94" w:rsidR="002E7EC9" w:rsidRPr="00B9629C" w:rsidRDefault="002E7EC9" w:rsidP="009750A0">
            <w:pPr>
              <w:numPr>
                <w:ilvl w:val="0"/>
                <w:numId w:val="19"/>
              </w:numPr>
              <w:spacing w:before="0" w:after="0"/>
              <w:ind w:left="162" w:hanging="162"/>
              <w:rPr>
                <w:rFonts w:cs="Arial"/>
                <w:sz w:val="14"/>
                <w:szCs w:val="14"/>
                <w:highlight w:val="darkGray"/>
              </w:rPr>
            </w:pPr>
            <w:r w:rsidRPr="00B9629C">
              <w:rPr>
                <w:rFonts w:cs="Arial"/>
                <w:sz w:val="14"/>
                <w:szCs w:val="14"/>
                <w:highlight w:val="darkGray"/>
              </w:rPr>
              <w:t>Hepatitis (uncommon)</w:t>
            </w:r>
            <w:r w:rsidR="00724290" w:rsidRPr="00B9629C">
              <w:rPr>
                <w:rFonts w:cs="Arial"/>
                <w:sz w:val="14"/>
                <w:szCs w:val="14"/>
                <w:highlight w:val="darkGray"/>
              </w:rPr>
              <w:t>.</w:t>
            </w:r>
          </w:p>
          <w:p w14:paraId="54EFB211" w14:textId="682B21D2" w:rsidR="002E7EC9" w:rsidRPr="00B9629C" w:rsidRDefault="00BA239A" w:rsidP="009750A0">
            <w:pPr>
              <w:numPr>
                <w:ilvl w:val="0"/>
                <w:numId w:val="13"/>
              </w:numPr>
              <w:spacing w:before="0" w:after="0"/>
              <w:ind w:left="162" w:hanging="162"/>
              <w:rPr>
                <w:rFonts w:cs="Arial"/>
                <w:sz w:val="14"/>
                <w:szCs w:val="14"/>
                <w:highlight w:val="darkGray"/>
              </w:rPr>
            </w:pPr>
            <w:r w:rsidRPr="00B9629C">
              <w:rPr>
                <w:rFonts w:cs="Arial"/>
                <w:spacing w:val="-2"/>
                <w:sz w:val="14"/>
                <w:szCs w:val="14"/>
                <w:highlight w:val="darkGray"/>
              </w:rPr>
              <w:t xml:space="preserve">Increase in serum creatinine </w:t>
            </w:r>
            <w:r w:rsidRPr="00B9629C">
              <w:rPr>
                <w:rFonts w:cs="Arial"/>
                <w:sz w:val="14"/>
                <w:szCs w:val="14"/>
                <w:highlight w:val="darkGray"/>
              </w:rPr>
              <w:t xml:space="preserve">(&lt;30 mmol/L within the first few weeks of DTG initiation) </w:t>
            </w:r>
            <w:r w:rsidRPr="00B9629C">
              <w:rPr>
                <w:rFonts w:cs="Arial"/>
                <w:spacing w:val="-2"/>
                <w:sz w:val="14"/>
                <w:szCs w:val="14"/>
                <w:highlight w:val="darkGray"/>
              </w:rPr>
              <w:t>due to inhibition of creatinine secretion by DTG; this is clinically insignificant as glomerular filtration rate is not reduced but will modestly affect eGFR which is determined using serum creatinine.</w:t>
            </w:r>
          </w:p>
        </w:tc>
      </w:tr>
      <w:tr w:rsidR="002E7EC9" w:rsidRPr="00B9629C" w14:paraId="4B5C398A" w14:textId="77777777" w:rsidTr="00D0226E">
        <w:tc>
          <w:tcPr>
            <w:tcW w:w="757" w:type="pct"/>
            <w:shd w:val="clear" w:color="auto" w:fill="auto"/>
          </w:tcPr>
          <w:p w14:paraId="7C4CF76F" w14:textId="736EBD9D" w:rsidR="002E7EC9" w:rsidRPr="00B9629C" w:rsidRDefault="00FC0C4D" w:rsidP="002E7EC9">
            <w:pPr>
              <w:rPr>
                <w:rFonts w:cs="Arial"/>
                <w:sz w:val="14"/>
                <w:szCs w:val="14"/>
                <w:highlight w:val="darkGray"/>
              </w:rPr>
            </w:pPr>
            <w:r w:rsidRPr="00B9629C">
              <w:rPr>
                <w:sz w:val="14"/>
                <w:highlight w:val="darkGray"/>
              </w:rPr>
              <w:t>Tenofovir disoproxil fumarate</w:t>
            </w:r>
            <w:r w:rsidRPr="00B9629C">
              <w:rPr>
                <w:rFonts w:cs="Arial"/>
                <w:sz w:val="14"/>
                <w:szCs w:val="14"/>
                <w:highlight w:val="darkGray"/>
              </w:rPr>
              <w:t xml:space="preserve"> </w:t>
            </w:r>
            <w:r w:rsidR="002E7EC9" w:rsidRPr="00B9629C">
              <w:rPr>
                <w:rFonts w:cs="Arial"/>
                <w:sz w:val="14"/>
                <w:szCs w:val="14"/>
                <w:highlight w:val="darkGray"/>
              </w:rPr>
              <w:t>(TDF)</w:t>
            </w:r>
          </w:p>
        </w:tc>
        <w:tc>
          <w:tcPr>
            <w:tcW w:w="514" w:type="pct"/>
            <w:shd w:val="clear" w:color="auto" w:fill="auto"/>
          </w:tcPr>
          <w:p w14:paraId="2FBD694B" w14:textId="77777777" w:rsidR="002E7EC9" w:rsidRPr="00B9629C" w:rsidRDefault="002E7EC9" w:rsidP="002E7EC9">
            <w:pPr>
              <w:rPr>
                <w:rFonts w:cs="Arial"/>
                <w:sz w:val="14"/>
                <w:szCs w:val="14"/>
                <w:highlight w:val="darkGray"/>
              </w:rPr>
            </w:pPr>
            <w:r w:rsidRPr="00B9629C">
              <w:rPr>
                <w:rFonts w:cs="Arial"/>
                <w:sz w:val="14"/>
                <w:szCs w:val="14"/>
                <w:highlight w:val="darkGray"/>
              </w:rPr>
              <w:t>NRTI</w:t>
            </w:r>
          </w:p>
        </w:tc>
        <w:tc>
          <w:tcPr>
            <w:tcW w:w="726" w:type="pct"/>
            <w:shd w:val="clear" w:color="auto" w:fill="auto"/>
          </w:tcPr>
          <w:p w14:paraId="107D216A" w14:textId="77777777" w:rsidR="002E7EC9" w:rsidRPr="00B9629C" w:rsidRDefault="002E7EC9" w:rsidP="002E7EC9">
            <w:pPr>
              <w:rPr>
                <w:rFonts w:cs="Arial"/>
                <w:sz w:val="14"/>
                <w:szCs w:val="14"/>
                <w:highlight w:val="darkGray"/>
              </w:rPr>
            </w:pPr>
            <w:r w:rsidRPr="00B9629C">
              <w:rPr>
                <w:rFonts w:cs="Arial"/>
                <w:sz w:val="14"/>
                <w:szCs w:val="14"/>
                <w:highlight w:val="darkGray"/>
              </w:rPr>
              <w:t>300 mg daily</w:t>
            </w:r>
          </w:p>
        </w:tc>
        <w:tc>
          <w:tcPr>
            <w:tcW w:w="1105" w:type="pct"/>
          </w:tcPr>
          <w:p w14:paraId="2B7797B5" w14:textId="6AD91600" w:rsidR="002E7EC9" w:rsidRPr="00B9629C" w:rsidRDefault="002E7EC9" w:rsidP="002E7EC9">
            <w:pPr>
              <w:rPr>
                <w:rFonts w:cs="Arial"/>
                <w:sz w:val="14"/>
                <w:szCs w:val="14"/>
                <w:highlight w:val="darkGray"/>
              </w:rPr>
            </w:pPr>
            <w:r w:rsidRPr="00B9629C">
              <w:rPr>
                <w:rFonts w:cs="Arial"/>
                <w:sz w:val="14"/>
                <w:szCs w:val="14"/>
                <w:highlight w:val="darkGray"/>
              </w:rPr>
              <w:t>Avoid in renal impairment (eGFR &lt;50 mL/min)</w:t>
            </w:r>
            <w:r w:rsidR="00724290" w:rsidRPr="00B9629C">
              <w:rPr>
                <w:rFonts w:cs="Arial"/>
                <w:sz w:val="14"/>
                <w:szCs w:val="14"/>
                <w:highlight w:val="darkGray"/>
              </w:rPr>
              <w:t>.</w:t>
            </w:r>
          </w:p>
        </w:tc>
        <w:tc>
          <w:tcPr>
            <w:tcW w:w="1898" w:type="pct"/>
            <w:shd w:val="clear" w:color="auto" w:fill="auto"/>
          </w:tcPr>
          <w:p w14:paraId="2603B713" w14:textId="77777777" w:rsidR="002E7EC9" w:rsidRPr="00B9629C" w:rsidRDefault="002E7EC9" w:rsidP="009750A0">
            <w:pPr>
              <w:numPr>
                <w:ilvl w:val="0"/>
                <w:numId w:val="13"/>
              </w:numPr>
              <w:spacing w:before="0" w:after="0"/>
              <w:ind w:left="162" w:hanging="162"/>
              <w:rPr>
                <w:rFonts w:cs="Arial"/>
                <w:sz w:val="14"/>
                <w:szCs w:val="14"/>
                <w:highlight w:val="darkGray"/>
              </w:rPr>
            </w:pPr>
            <w:r w:rsidRPr="00B9629C">
              <w:rPr>
                <w:rFonts w:cs="Arial"/>
                <w:sz w:val="14"/>
                <w:szCs w:val="14"/>
                <w:highlight w:val="darkGray"/>
              </w:rPr>
              <w:t>Acute kidney injury (rare - weeks to months).</w:t>
            </w:r>
          </w:p>
          <w:p w14:paraId="77930FD8" w14:textId="77777777" w:rsidR="002E7EC9" w:rsidRPr="00B9629C" w:rsidRDefault="002E7EC9" w:rsidP="009750A0">
            <w:pPr>
              <w:numPr>
                <w:ilvl w:val="0"/>
                <w:numId w:val="13"/>
              </w:numPr>
              <w:spacing w:before="0" w:after="0"/>
              <w:ind w:left="162" w:hanging="162"/>
              <w:rPr>
                <w:rFonts w:cs="Arial"/>
                <w:sz w:val="14"/>
                <w:szCs w:val="14"/>
                <w:highlight w:val="darkGray"/>
              </w:rPr>
            </w:pPr>
            <w:r w:rsidRPr="00B9629C">
              <w:rPr>
                <w:rFonts w:cs="Arial"/>
                <w:sz w:val="14"/>
                <w:szCs w:val="14"/>
                <w:highlight w:val="darkGray"/>
              </w:rPr>
              <w:t xml:space="preserve">Decline in eGFR (months to </w:t>
            </w:r>
          </w:p>
          <w:p w14:paraId="1F756F48" w14:textId="573E03F5" w:rsidR="002E7EC9" w:rsidRPr="00B9629C" w:rsidRDefault="002E7EC9" w:rsidP="002E7EC9">
            <w:pPr>
              <w:spacing w:before="0" w:after="0"/>
              <w:ind w:left="206"/>
              <w:rPr>
                <w:rFonts w:cs="Arial"/>
                <w:sz w:val="14"/>
                <w:szCs w:val="14"/>
                <w:highlight w:val="darkGray"/>
              </w:rPr>
            </w:pPr>
            <w:r w:rsidRPr="00B9629C">
              <w:rPr>
                <w:rFonts w:cs="Arial"/>
                <w:sz w:val="14"/>
                <w:szCs w:val="14"/>
                <w:highlight w:val="darkGray"/>
              </w:rPr>
              <w:t>years)</w:t>
            </w:r>
            <w:r w:rsidR="00724290" w:rsidRPr="00B9629C">
              <w:rPr>
                <w:rFonts w:cs="Arial"/>
                <w:sz w:val="14"/>
                <w:szCs w:val="14"/>
                <w:highlight w:val="darkGray"/>
              </w:rPr>
              <w:t>.</w:t>
            </w:r>
          </w:p>
          <w:p w14:paraId="773AD679" w14:textId="63A3861E" w:rsidR="002E7EC9" w:rsidRPr="00B9629C" w:rsidRDefault="002E7EC9" w:rsidP="009750A0">
            <w:pPr>
              <w:numPr>
                <w:ilvl w:val="0"/>
                <w:numId w:val="13"/>
              </w:numPr>
              <w:spacing w:before="0" w:after="0"/>
              <w:ind w:left="162" w:hanging="162"/>
              <w:rPr>
                <w:rFonts w:cs="Arial"/>
                <w:sz w:val="14"/>
                <w:szCs w:val="14"/>
                <w:highlight w:val="darkGray"/>
              </w:rPr>
            </w:pPr>
            <w:r w:rsidRPr="00B9629C">
              <w:rPr>
                <w:rFonts w:cs="Arial"/>
                <w:sz w:val="14"/>
                <w:szCs w:val="14"/>
                <w:highlight w:val="darkGray"/>
              </w:rPr>
              <w:t>Fanconi syndrome (rare – months to years)</w:t>
            </w:r>
            <w:r w:rsidR="00724290" w:rsidRPr="00B9629C">
              <w:rPr>
                <w:rFonts w:cs="Arial"/>
                <w:sz w:val="14"/>
                <w:szCs w:val="14"/>
                <w:highlight w:val="darkGray"/>
              </w:rPr>
              <w:t>.</w:t>
            </w:r>
          </w:p>
          <w:p w14:paraId="2742DE70" w14:textId="77777777" w:rsidR="002E7EC9" w:rsidRPr="00B9629C" w:rsidRDefault="002E7EC9" w:rsidP="009750A0">
            <w:pPr>
              <w:numPr>
                <w:ilvl w:val="0"/>
                <w:numId w:val="13"/>
              </w:numPr>
              <w:spacing w:before="0" w:after="0"/>
              <w:ind w:left="162" w:hanging="162"/>
              <w:rPr>
                <w:rFonts w:cs="Arial"/>
                <w:sz w:val="14"/>
                <w:szCs w:val="14"/>
                <w:highlight w:val="darkGray"/>
              </w:rPr>
            </w:pPr>
            <w:r w:rsidRPr="00B9629C">
              <w:rPr>
                <w:rFonts w:cs="Arial"/>
                <w:sz w:val="14"/>
                <w:szCs w:val="14"/>
                <w:highlight w:val="darkGray"/>
              </w:rPr>
              <w:t>Reduced bone mineral density (months to years).</w:t>
            </w:r>
          </w:p>
        </w:tc>
      </w:tr>
      <w:tr w:rsidR="002E7EC9" w:rsidRPr="00B9629C" w14:paraId="1CB38E69" w14:textId="77777777" w:rsidTr="00D0226E">
        <w:tc>
          <w:tcPr>
            <w:tcW w:w="757" w:type="pct"/>
            <w:shd w:val="clear" w:color="auto" w:fill="auto"/>
          </w:tcPr>
          <w:p w14:paraId="2C184E95" w14:textId="77777777" w:rsidR="002E7EC9" w:rsidRPr="00B9629C" w:rsidRDefault="002E7EC9" w:rsidP="002E7EC9">
            <w:pPr>
              <w:rPr>
                <w:rFonts w:cs="Arial"/>
                <w:sz w:val="14"/>
                <w:szCs w:val="14"/>
                <w:highlight w:val="darkGray"/>
              </w:rPr>
            </w:pPr>
            <w:r w:rsidRPr="00B9629C">
              <w:rPr>
                <w:rFonts w:cs="Arial"/>
                <w:sz w:val="14"/>
                <w:szCs w:val="14"/>
                <w:highlight w:val="darkGray"/>
              </w:rPr>
              <w:t xml:space="preserve">Abacavir (ABC) </w:t>
            </w:r>
          </w:p>
        </w:tc>
        <w:tc>
          <w:tcPr>
            <w:tcW w:w="514" w:type="pct"/>
            <w:shd w:val="clear" w:color="auto" w:fill="auto"/>
          </w:tcPr>
          <w:p w14:paraId="3B8B6FBD" w14:textId="77777777" w:rsidR="002E7EC9" w:rsidRPr="00B9629C" w:rsidRDefault="002E7EC9" w:rsidP="002E7EC9">
            <w:pPr>
              <w:rPr>
                <w:rFonts w:cs="Arial"/>
                <w:sz w:val="14"/>
                <w:szCs w:val="14"/>
                <w:highlight w:val="darkGray"/>
              </w:rPr>
            </w:pPr>
            <w:r w:rsidRPr="00B9629C">
              <w:rPr>
                <w:rFonts w:cs="Arial"/>
                <w:sz w:val="14"/>
                <w:szCs w:val="14"/>
                <w:highlight w:val="darkGray"/>
              </w:rPr>
              <w:t>NRTI</w:t>
            </w:r>
          </w:p>
        </w:tc>
        <w:tc>
          <w:tcPr>
            <w:tcW w:w="726" w:type="pct"/>
            <w:shd w:val="clear" w:color="auto" w:fill="auto"/>
          </w:tcPr>
          <w:p w14:paraId="6F4A75AE" w14:textId="77777777" w:rsidR="002E7EC9" w:rsidRPr="00B9629C" w:rsidRDefault="002E7EC9" w:rsidP="002E7EC9">
            <w:pPr>
              <w:rPr>
                <w:rFonts w:cs="Arial"/>
                <w:sz w:val="14"/>
                <w:szCs w:val="14"/>
                <w:highlight w:val="darkGray"/>
              </w:rPr>
            </w:pPr>
            <w:r w:rsidRPr="00B9629C">
              <w:rPr>
                <w:rFonts w:cs="Arial"/>
                <w:sz w:val="14"/>
                <w:szCs w:val="14"/>
                <w:highlight w:val="darkGray"/>
              </w:rPr>
              <w:t>600 mg daily</w:t>
            </w:r>
          </w:p>
        </w:tc>
        <w:tc>
          <w:tcPr>
            <w:tcW w:w="1105" w:type="pct"/>
          </w:tcPr>
          <w:p w14:paraId="1691941E" w14:textId="76F618B2" w:rsidR="002E7EC9" w:rsidRPr="00B9629C" w:rsidRDefault="002E7EC9" w:rsidP="002E7EC9">
            <w:pPr>
              <w:rPr>
                <w:rFonts w:cs="Arial"/>
                <w:spacing w:val="-2"/>
                <w:sz w:val="14"/>
                <w:szCs w:val="14"/>
                <w:highlight w:val="darkGray"/>
              </w:rPr>
            </w:pPr>
            <w:r w:rsidRPr="00B9629C">
              <w:rPr>
                <w:rFonts w:cs="Arial"/>
                <w:spacing w:val="-2"/>
                <w:sz w:val="14"/>
                <w:szCs w:val="14"/>
                <w:highlight w:val="darkGray"/>
              </w:rPr>
              <w:t>Dose adjustment not required</w:t>
            </w:r>
            <w:r w:rsidR="00724290" w:rsidRPr="00B9629C">
              <w:rPr>
                <w:rFonts w:cs="Arial"/>
                <w:spacing w:val="-2"/>
                <w:sz w:val="14"/>
                <w:szCs w:val="14"/>
                <w:highlight w:val="darkGray"/>
              </w:rPr>
              <w:t>.</w:t>
            </w:r>
          </w:p>
        </w:tc>
        <w:tc>
          <w:tcPr>
            <w:tcW w:w="1898" w:type="pct"/>
            <w:shd w:val="clear" w:color="auto" w:fill="auto"/>
          </w:tcPr>
          <w:p w14:paraId="69EBF8C5" w14:textId="471D854F" w:rsidR="002E7EC9" w:rsidRPr="00B9629C" w:rsidRDefault="002E7EC9" w:rsidP="009750A0">
            <w:pPr>
              <w:numPr>
                <w:ilvl w:val="0"/>
                <w:numId w:val="14"/>
              </w:numPr>
              <w:spacing w:before="0" w:after="0"/>
              <w:ind w:left="162" w:hanging="162"/>
              <w:rPr>
                <w:rFonts w:cs="Arial"/>
                <w:sz w:val="14"/>
                <w:szCs w:val="14"/>
                <w:highlight w:val="darkGray"/>
              </w:rPr>
            </w:pPr>
            <w:r w:rsidRPr="00B9629C">
              <w:rPr>
                <w:rFonts w:cs="Arial"/>
                <w:spacing w:val="-2"/>
                <w:sz w:val="14"/>
                <w:szCs w:val="14"/>
                <w:highlight w:val="darkGray"/>
              </w:rPr>
              <w:t>Hypersensitivity reaction (1 to 6 weeks): fever, rash, constitutional symptoms, gastrointestinal symptoms and respiratory symptoms.</w:t>
            </w:r>
          </w:p>
        </w:tc>
      </w:tr>
      <w:tr w:rsidR="002E7EC9" w:rsidRPr="00B9629C" w14:paraId="5F995856" w14:textId="77777777" w:rsidTr="00D0226E">
        <w:tc>
          <w:tcPr>
            <w:tcW w:w="757" w:type="pct"/>
            <w:shd w:val="clear" w:color="auto" w:fill="auto"/>
          </w:tcPr>
          <w:p w14:paraId="2F6B1AC0" w14:textId="77777777" w:rsidR="002E7EC9" w:rsidRPr="00B9629C" w:rsidRDefault="002E7EC9" w:rsidP="002E7EC9">
            <w:pPr>
              <w:spacing w:after="20"/>
              <w:rPr>
                <w:rFonts w:cs="Arial"/>
                <w:sz w:val="14"/>
                <w:szCs w:val="14"/>
                <w:highlight w:val="darkGray"/>
              </w:rPr>
            </w:pPr>
            <w:r w:rsidRPr="00B9629C">
              <w:rPr>
                <w:rFonts w:cs="Arial"/>
                <w:sz w:val="14"/>
                <w:szCs w:val="14"/>
                <w:highlight w:val="darkGray"/>
              </w:rPr>
              <w:t xml:space="preserve">Zidovudine (AZT) </w:t>
            </w:r>
          </w:p>
          <w:p w14:paraId="3AEE11F7" w14:textId="77777777" w:rsidR="002E7EC9" w:rsidRPr="00B9629C" w:rsidRDefault="002E7EC9" w:rsidP="002E7EC9">
            <w:pPr>
              <w:spacing w:after="20"/>
              <w:rPr>
                <w:rFonts w:cs="Arial"/>
                <w:sz w:val="14"/>
                <w:szCs w:val="14"/>
                <w:highlight w:val="darkGray"/>
              </w:rPr>
            </w:pPr>
          </w:p>
        </w:tc>
        <w:tc>
          <w:tcPr>
            <w:tcW w:w="514" w:type="pct"/>
            <w:shd w:val="clear" w:color="auto" w:fill="auto"/>
          </w:tcPr>
          <w:p w14:paraId="5A33FEE1" w14:textId="77777777" w:rsidR="002E7EC9" w:rsidRPr="00B9629C" w:rsidRDefault="002E7EC9" w:rsidP="002E7EC9">
            <w:pPr>
              <w:spacing w:after="20"/>
              <w:rPr>
                <w:rFonts w:cs="Arial"/>
                <w:sz w:val="14"/>
                <w:szCs w:val="14"/>
                <w:highlight w:val="darkGray"/>
              </w:rPr>
            </w:pPr>
            <w:r w:rsidRPr="00B9629C">
              <w:rPr>
                <w:rFonts w:cs="Arial"/>
                <w:sz w:val="14"/>
                <w:szCs w:val="14"/>
                <w:highlight w:val="darkGray"/>
              </w:rPr>
              <w:t>NRTI</w:t>
            </w:r>
          </w:p>
        </w:tc>
        <w:tc>
          <w:tcPr>
            <w:tcW w:w="726" w:type="pct"/>
            <w:shd w:val="clear" w:color="auto" w:fill="auto"/>
          </w:tcPr>
          <w:p w14:paraId="17C5E8E3" w14:textId="77777777" w:rsidR="002E7EC9" w:rsidRPr="00B9629C" w:rsidRDefault="002E7EC9" w:rsidP="002E7EC9">
            <w:pPr>
              <w:spacing w:after="20"/>
              <w:rPr>
                <w:rFonts w:cs="Arial"/>
                <w:sz w:val="14"/>
                <w:szCs w:val="14"/>
                <w:highlight w:val="darkGray"/>
              </w:rPr>
            </w:pPr>
            <w:r w:rsidRPr="00B9629C">
              <w:rPr>
                <w:rFonts w:cs="Arial"/>
                <w:sz w:val="14"/>
                <w:szCs w:val="14"/>
                <w:highlight w:val="darkGray"/>
              </w:rPr>
              <w:t xml:space="preserve">300 mg </w:t>
            </w:r>
          </w:p>
          <w:p w14:paraId="1E841C91" w14:textId="77777777" w:rsidR="002E7EC9" w:rsidRPr="00B9629C" w:rsidRDefault="002E7EC9" w:rsidP="002E7EC9">
            <w:pPr>
              <w:spacing w:after="20"/>
              <w:rPr>
                <w:rFonts w:cs="Arial"/>
                <w:sz w:val="14"/>
                <w:szCs w:val="14"/>
                <w:highlight w:val="darkGray"/>
              </w:rPr>
            </w:pPr>
            <w:r w:rsidRPr="00B9629C">
              <w:rPr>
                <w:rFonts w:cs="Arial"/>
                <w:sz w:val="14"/>
                <w:szCs w:val="14"/>
                <w:highlight w:val="darkGray"/>
              </w:rPr>
              <w:t>12 hourly</w:t>
            </w:r>
          </w:p>
        </w:tc>
        <w:tc>
          <w:tcPr>
            <w:tcW w:w="1105" w:type="pct"/>
          </w:tcPr>
          <w:p w14:paraId="4D48A0D2" w14:textId="61AE4BF5" w:rsidR="002E7EC9" w:rsidRPr="00B9629C" w:rsidRDefault="002E7EC9" w:rsidP="002E7EC9">
            <w:pPr>
              <w:spacing w:after="20"/>
              <w:rPr>
                <w:rFonts w:cs="Arial"/>
                <w:spacing w:val="-2"/>
                <w:sz w:val="14"/>
                <w:szCs w:val="14"/>
                <w:highlight w:val="darkGray"/>
              </w:rPr>
            </w:pPr>
            <w:r w:rsidRPr="00B9629C">
              <w:rPr>
                <w:rFonts w:cs="Arial"/>
                <w:spacing w:val="-2"/>
                <w:sz w:val="14"/>
                <w:szCs w:val="14"/>
                <w:highlight w:val="darkGray"/>
                <w:u w:val="single"/>
              </w:rPr>
              <w:t>eGFR &lt;10 mL/min:</w:t>
            </w:r>
          </w:p>
          <w:p w14:paraId="764E7054" w14:textId="77777777" w:rsidR="002E7EC9" w:rsidRPr="00B9629C" w:rsidRDefault="002E7EC9" w:rsidP="002E7EC9">
            <w:pPr>
              <w:spacing w:after="20"/>
              <w:rPr>
                <w:rFonts w:cs="Arial"/>
                <w:spacing w:val="-2"/>
                <w:sz w:val="14"/>
                <w:szCs w:val="14"/>
                <w:highlight w:val="darkGray"/>
              </w:rPr>
            </w:pPr>
            <w:r w:rsidRPr="00B9629C">
              <w:rPr>
                <w:rFonts w:cs="Arial"/>
                <w:spacing w:val="-2"/>
                <w:sz w:val="14"/>
                <w:szCs w:val="14"/>
                <w:highlight w:val="darkGray"/>
              </w:rPr>
              <w:t>300 mg daily</w:t>
            </w:r>
          </w:p>
          <w:p w14:paraId="3A3830C4" w14:textId="77777777" w:rsidR="002E7EC9" w:rsidRPr="00B9629C" w:rsidRDefault="002E7EC9" w:rsidP="002E7EC9">
            <w:pPr>
              <w:spacing w:after="20"/>
              <w:ind w:left="162"/>
              <w:rPr>
                <w:rFonts w:cs="Arial"/>
                <w:sz w:val="14"/>
                <w:szCs w:val="14"/>
                <w:highlight w:val="darkGray"/>
              </w:rPr>
            </w:pPr>
          </w:p>
        </w:tc>
        <w:tc>
          <w:tcPr>
            <w:tcW w:w="1898" w:type="pct"/>
            <w:shd w:val="clear" w:color="auto" w:fill="auto"/>
          </w:tcPr>
          <w:p w14:paraId="18B39890" w14:textId="77777777" w:rsidR="002E7EC9" w:rsidRPr="00B9629C" w:rsidRDefault="002E7EC9" w:rsidP="009750A0">
            <w:pPr>
              <w:numPr>
                <w:ilvl w:val="0"/>
                <w:numId w:val="15"/>
              </w:numPr>
              <w:spacing w:before="0" w:after="0"/>
              <w:ind w:left="162" w:hanging="162"/>
              <w:rPr>
                <w:rFonts w:cs="Arial"/>
                <w:sz w:val="14"/>
                <w:szCs w:val="14"/>
                <w:highlight w:val="darkGray"/>
              </w:rPr>
            </w:pPr>
            <w:r w:rsidRPr="00B9629C">
              <w:rPr>
                <w:rFonts w:cs="Arial"/>
                <w:sz w:val="14"/>
                <w:szCs w:val="14"/>
                <w:highlight w:val="darkGray"/>
              </w:rPr>
              <w:t>Anaemia, neutropenia (weeks to months).</w:t>
            </w:r>
          </w:p>
          <w:p w14:paraId="3CF0791F" w14:textId="77777777" w:rsidR="002E7EC9" w:rsidRPr="00B9629C" w:rsidRDefault="002E7EC9" w:rsidP="009750A0">
            <w:pPr>
              <w:numPr>
                <w:ilvl w:val="0"/>
                <w:numId w:val="15"/>
              </w:numPr>
              <w:spacing w:before="0" w:after="0"/>
              <w:ind w:left="162" w:hanging="162"/>
              <w:rPr>
                <w:rFonts w:cs="Arial"/>
                <w:sz w:val="14"/>
                <w:szCs w:val="14"/>
                <w:highlight w:val="darkGray"/>
              </w:rPr>
            </w:pPr>
            <w:r w:rsidRPr="00B9629C">
              <w:rPr>
                <w:rFonts w:cs="Arial"/>
                <w:sz w:val="14"/>
                <w:szCs w:val="14"/>
                <w:highlight w:val="darkGray"/>
              </w:rPr>
              <w:t>Gastro-intestinal upset.</w:t>
            </w:r>
          </w:p>
          <w:p w14:paraId="70636590" w14:textId="77777777" w:rsidR="002E7EC9" w:rsidRPr="00B9629C" w:rsidRDefault="002E7EC9" w:rsidP="009750A0">
            <w:pPr>
              <w:numPr>
                <w:ilvl w:val="0"/>
                <w:numId w:val="15"/>
              </w:numPr>
              <w:spacing w:before="0" w:after="0"/>
              <w:ind w:left="162" w:hanging="162"/>
              <w:rPr>
                <w:rFonts w:cs="Arial"/>
                <w:sz w:val="14"/>
                <w:szCs w:val="14"/>
                <w:highlight w:val="darkGray"/>
              </w:rPr>
            </w:pPr>
            <w:r w:rsidRPr="00B9629C">
              <w:rPr>
                <w:rFonts w:cs="Arial"/>
                <w:sz w:val="14"/>
                <w:szCs w:val="14"/>
                <w:highlight w:val="darkGray"/>
              </w:rPr>
              <w:t>Headache.</w:t>
            </w:r>
          </w:p>
          <w:p w14:paraId="303C3435" w14:textId="77777777" w:rsidR="002E7EC9" w:rsidRPr="00B9629C" w:rsidRDefault="002E7EC9" w:rsidP="009750A0">
            <w:pPr>
              <w:numPr>
                <w:ilvl w:val="0"/>
                <w:numId w:val="15"/>
              </w:numPr>
              <w:spacing w:before="0" w:after="0"/>
              <w:ind w:left="162" w:hanging="162"/>
              <w:rPr>
                <w:rFonts w:cs="Arial"/>
                <w:sz w:val="14"/>
                <w:szCs w:val="14"/>
                <w:highlight w:val="darkGray"/>
              </w:rPr>
            </w:pPr>
            <w:r w:rsidRPr="00B9629C">
              <w:rPr>
                <w:rFonts w:cs="Arial"/>
                <w:sz w:val="14"/>
                <w:szCs w:val="14"/>
                <w:highlight w:val="darkGray"/>
              </w:rPr>
              <w:t>Myopathy (rare).</w:t>
            </w:r>
          </w:p>
          <w:p w14:paraId="10ABA881" w14:textId="77777777" w:rsidR="002E7EC9" w:rsidRPr="00B9629C" w:rsidRDefault="002E7EC9" w:rsidP="009750A0">
            <w:pPr>
              <w:numPr>
                <w:ilvl w:val="0"/>
                <w:numId w:val="15"/>
              </w:numPr>
              <w:spacing w:before="0" w:after="0"/>
              <w:ind w:left="162" w:hanging="162"/>
              <w:rPr>
                <w:rFonts w:cs="Arial"/>
                <w:sz w:val="14"/>
                <w:szCs w:val="14"/>
                <w:highlight w:val="darkGray"/>
              </w:rPr>
            </w:pPr>
            <w:r w:rsidRPr="00B9629C">
              <w:rPr>
                <w:rFonts w:cs="Arial"/>
                <w:sz w:val="14"/>
                <w:szCs w:val="14"/>
                <w:highlight w:val="darkGray"/>
              </w:rPr>
              <w:t>Hyperlactataemia / steatohepatitis (medium risk - months).</w:t>
            </w:r>
          </w:p>
          <w:p w14:paraId="246C08C6" w14:textId="77777777" w:rsidR="002E7EC9" w:rsidRPr="00B9629C" w:rsidRDefault="002E7EC9" w:rsidP="009750A0">
            <w:pPr>
              <w:numPr>
                <w:ilvl w:val="0"/>
                <w:numId w:val="15"/>
              </w:numPr>
              <w:spacing w:before="0" w:after="0"/>
              <w:ind w:left="162" w:hanging="162"/>
              <w:rPr>
                <w:rFonts w:cs="Arial"/>
                <w:sz w:val="14"/>
                <w:szCs w:val="14"/>
                <w:highlight w:val="darkGray"/>
              </w:rPr>
            </w:pPr>
            <w:r w:rsidRPr="00B9629C">
              <w:rPr>
                <w:rFonts w:cs="Arial"/>
                <w:sz w:val="14"/>
                <w:szCs w:val="14"/>
                <w:highlight w:val="darkGray"/>
              </w:rPr>
              <w:t>Lipoatrophy (months to years).</w:t>
            </w:r>
          </w:p>
        </w:tc>
      </w:tr>
      <w:tr w:rsidR="002E7EC9" w:rsidRPr="00B9629C" w14:paraId="2D48A412" w14:textId="77777777" w:rsidTr="00D0226E">
        <w:tc>
          <w:tcPr>
            <w:tcW w:w="757" w:type="pct"/>
            <w:shd w:val="clear" w:color="auto" w:fill="auto"/>
          </w:tcPr>
          <w:p w14:paraId="18DED53A" w14:textId="77777777" w:rsidR="002E7EC9" w:rsidRPr="00B9629C" w:rsidRDefault="002E7EC9" w:rsidP="002E7EC9">
            <w:pPr>
              <w:spacing w:after="20"/>
              <w:rPr>
                <w:rFonts w:cs="Arial"/>
                <w:sz w:val="14"/>
                <w:szCs w:val="14"/>
                <w:highlight w:val="darkGray"/>
              </w:rPr>
            </w:pPr>
            <w:r w:rsidRPr="00B9629C">
              <w:rPr>
                <w:rFonts w:cs="Arial"/>
                <w:sz w:val="14"/>
                <w:szCs w:val="14"/>
                <w:highlight w:val="darkGray"/>
              </w:rPr>
              <w:t xml:space="preserve">Lamivudine (3TC) </w:t>
            </w:r>
          </w:p>
        </w:tc>
        <w:tc>
          <w:tcPr>
            <w:tcW w:w="514" w:type="pct"/>
            <w:shd w:val="clear" w:color="auto" w:fill="auto"/>
          </w:tcPr>
          <w:p w14:paraId="37A6E0D2" w14:textId="77777777" w:rsidR="002E7EC9" w:rsidRPr="00B9629C" w:rsidRDefault="002E7EC9" w:rsidP="002E7EC9">
            <w:pPr>
              <w:spacing w:after="20"/>
              <w:rPr>
                <w:rFonts w:cs="Arial"/>
                <w:sz w:val="14"/>
                <w:szCs w:val="14"/>
                <w:highlight w:val="darkGray"/>
              </w:rPr>
            </w:pPr>
            <w:r w:rsidRPr="00B9629C">
              <w:rPr>
                <w:rFonts w:cs="Arial"/>
                <w:sz w:val="14"/>
                <w:szCs w:val="14"/>
                <w:highlight w:val="darkGray"/>
              </w:rPr>
              <w:t>NRTI</w:t>
            </w:r>
          </w:p>
        </w:tc>
        <w:tc>
          <w:tcPr>
            <w:tcW w:w="726" w:type="pct"/>
            <w:shd w:val="clear" w:color="auto" w:fill="auto"/>
          </w:tcPr>
          <w:p w14:paraId="180BAE76" w14:textId="77777777" w:rsidR="002E7EC9" w:rsidRPr="00B9629C" w:rsidRDefault="002E7EC9" w:rsidP="002E7EC9">
            <w:pPr>
              <w:spacing w:after="20"/>
              <w:ind w:left="-17"/>
              <w:rPr>
                <w:rFonts w:cs="Arial"/>
                <w:sz w:val="14"/>
                <w:szCs w:val="14"/>
                <w:highlight w:val="darkGray"/>
              </w:rPr>
            </w:pPr>
            <w:r w:rsidRPr="00B9629C">
              <w:rPr>
                <w:rFonts w:cs="Arial"/>
                <w:sz w:val="14"/>
                <w:szCs w:val="14"/>
                <w:highlight w:val="darkGray"/>
              </w:rPr>
              <w:t>300 mg daily</w:t>
            </w:r>
          </w:p>
          <w:p w14:paraId="13309400" w14:textId="77777777" w:rsidR="002E7EC9" w:rsidRPr="00B9629C" w:rsidRDefault="002E7EC9" w:rsidP="002E7EC9">
            <w:pPr>
              <w:spacing w:after="20"/>
              <w:ind w:left="-17"/>
              <w:rPr>
                <w:rFonts w:cs="Arial"/>
                <w:sz w:val="14"/>
                <w:szCs w:val="14"/>
                <w:highlight w:val="darkGray"/>
              </w:rPr>
            </w:pPr>
            <w:r w:rsidRPr="00B9629C">
              <w:rPr>
                <w:rFonts w:cs="Arial"/>
                <w:sz w:val="14"/>
                <w:szCs w:val="14"/>
                <w:highlight w:val="darkGray"/>
              </w:rPr>
              <w:t xml:space="preserve">(or </w:t>
            </w:r>
          </w:p>
          <w:p w14:paraId="49AA8124" w14:textId="77777777" w:rsidR="002E7EC9" w:rsidRPr="00B9629C" w:rsidRDefault="002E7EC9" w:rsidP="002E7EC9">
            <w:pPr>
              <w:spacing w:after="20"/>
              <w:ind w:left="-17"/>
              <w:rPr>
                <w:rFonts w:cs="Arial"/>
                <w:sz w:val="14"/>
                <w:szCs w:val="14"/>
                <w:highlight w:val="darkGray"/>
              </w:rPr>
            </w:pPr>
            <w:r w:rsidRPr="00B9629C">
              <w:rPr>
                <w:rFonts w:cs="Arial"/>
                <w:sz w:val="14"/>
                <w:szCs w:val="14"/>
                <w:highlight w:val="darkGray"/>
              </w:rPr>
              <w:t>150 mg 12</w:t>
            </w:r>
          </w:p>
          <w:p w14:paraId="2D292450" w14:textId="77777777" w:rsidR="002E7EC9" w:rsidRPr="00B9629C" w:rsidRDefault="002E7EC9" w:rsidP="002E7EC9">
            <w:pPr>
              <w:spacing w:after="20"/>
              <w:ind w:left="-17"/>
              <w:rPr>
                <w:rFonts w:cs="Arial"/>
                <w:sz w:val="14"/>
                <w:szCs w:val="14"/>
                <w:highlight w:val="darkGray"/>
              </w:rPr>
            </w:pPr>
            <w:r w:rsidRPr="00B9629C">
              <w:rPr>
                <w:rFonts w:cs="Arial"/>
                <w:sz w:val="14"/>
                <w:szCs w:val="14"/>
                <w:highlight w:val="darkGray"/>
              </w:rPr>
              <w:t>hourly)</w:t>
            </w:r>
          </w:p>
        </w:tc>
        <w:tc>
          <w:tcPr>
            <w:tcW w:w="1105" w:type="pct"/>
          </w:tcPr>
          <w:p w14:paraId="1E62C990" w14:textId="519C7889" w:rsidR="002E7EC9" w:rsidRPr="00B9629C" w:rsidRDefault="002E7EC9" w:rsidP="002E7EC9">
            <w:pPr>
              <w:spacing w:after="20"/>
              <w:rPr>
                <w:rFonts w:cs="Arial"/>
                <w:spacing w:val="-2"/>
                <w:sz w:val="14"/>
                <w:szCs w:val="14"/>
                <w:highlight w:val="darkGray"/>
              </w:rPr>
            </w:pPr>
            <w:r w:rsidRPr="00B9629C">
              <w:rPr>
                <w:rFonts w:cs="Arial"/>
                <w:spacing w:val="-2"/>
                <w:sz w:val="14"/>
                <w:szCs w:val="14"/>
                <w:highlight w:val="darkGray"/>
                <w:u w:val="single"/>
              </w:rPr>
              <w:t>eGFR 10-</w:t>
            </w:r>
            <w:r w:rsidR="004A3099" w:rsidRPr="00B9629C">
              <w:rPr>
                <w:rFonts w:cs="Arial"/>
                <w:spacing w:val="-2"/>
                <w:sz w:val="14"/>
                <w:szCs w:val="14"/>
                <w:highlight w:val="darkGray"/>
                <w:u w:val="single"/>
              </w:rPr>
              <w:t>3</w:t>
            </w:r>
            <w:r w:rsidRPr="00B9629C">
              <w:rPr>
                <w:rFonts w:cs="Arial"/>
                <w:spacing w:val="-2"/>
                <w:sz w:val="14"/>
                <w:szCs w:val="14"/>
                <w:highlight w:val="darkGray"/>
                <w:u w:val="single"/>
              </w:rPr>
              <w:t>0 mL/min:</w:t>
            </w:r>
          </w:p>
          <w:p w14:paraId="4EDB4B24" w14:textId="77777777" w:rsidR="002E7EC9" w:rsidRPr="00B9629C" w:rsidRDefault="002E7EC9" w:rsidP="002E7EC9">
            <w:pPr>
              <w:spacing w:after="20"/>
              <w:rPr>
                <w:rFonts w:cs="Arial"/>
                <w:spacing w:val="-2"/>
                <w:sz w:val="14"/>
                <w:szCs w:val="14"/>
                <w:highlight w:val="darkGray"/>
              </w:rPr>
            </w:pPr>
            <w:r w:rsidRPr="00B9629C">
              <w:rPr>
                <w:rFonts w:cs="Arial"/>
                <w:spacing w:val="-2"/>
                <w:sz w:val="14"/>
                <w:szCs w:val="14"/>
                <w:highlight w:val="darkGray"/>
              </w:rPr>
              <w:t>150 mg daily</w:t>
            </w:r>
          </w:p>
          <w:p w14:paraId="4DDE75E6" w14:textId="77777777" w:rsidR="002E7EC9" w:rsidRPr="00B9629C" w:rsidRDefault="002E7EC9" w:rsidP="002E7EC9">
            <w:pPr>
              <w:spacing w:after="20"/>
              <w:rPr>
                <w:rFonts w:cs="Arial"/>
                <w:spacing w:val="-2"/>
                <w:sz w:val="10"/>
                <w:szCs w:val="14"/>
                <w:highlight w:val="darkGray"/>
              </w:rPr>
            </w:pPr>
          </w:p>
          <w:p w14:paraId="6A5DDFE1" w14:textId="0C6E8BAD" w:rsidR="002E7EC9" w:rsidRPr="00B9629C" w:rsidRDefault="00D0226E" w:rsidP="002E7EC9">
            <w:pPr>
              <w:spacing w:after="20"/>
              <w:rPr>
                <w:rFonts w:cs="Arial"/>
                <w:spacing w:val="-2"/>
                <w:sz w:val="14"/>
                <w:szCs w:val="14"/>
                <w:highlight w:val="darkGray"/>
                <w:u w:val="single"/>
              </w:rPr>
            </w:pPr>
            <w:r w:rsidRPr="00B9629C">
              <w:rPr>
                <w:rFonts w:cs="Arial"/>
                <w:spacing w:val="-2"/>
                <w:sz w:val="14"/>
                <w:szCs w:val="14"/>
                <w:highlight w:val="darkGray"/>
                <w:u w:val="single"/>
              </w:rPr>
              <w:t>eGFR</w:t>
            </w:r>
            <w:r w:rsidR="002E7EC9" w:rsidRPr="00B9629C">
              <w:rPr>
                <w:rFonts w:cs="Arial"/>
                <w:spacing w:val="-2"/>
                <w:sz w:val="14"/>
                <w:szCs w:val="14"/>
                <w:highlight w:val="darkGray"/>
                <w:u w:val="single"/>
              </w:rPr>
              <w:t xml:space="preserve"> &lt;10 mL/min: </w:t>
            </w:r>
          </w:p>
          <w:p w14:paraId="2E62A716" w14:textId="77777777" w:rsidR="002E7EC9" w:rsidRPr="00B9629C" w:rsidRDefault="002E7EC9" w:rsidP="002E7EC9">
            <w:pPr>
              <w:spacing w:after="20"/>
              <w:rPr>
                <w:rFonts w:cs="Arial"/>
                <w:sz w:val="14"/>
                <w:szCs w:val="14"/>
                <w:highlight w:val="darkGray"/>
              </w:rPr>
            </w:pPr>
            <w:r w:rsidRPr="00B9629C">
              <w:rPr>
                <w:rFonts w:cs="Arial"/>
                <w:spacing w:val="-2"/>
                <w:sz w:val="14"/>
                <w:szCs w:val="14"/>
                <w:highlight w:val="darkGray"/>
              </w:rPr>
              <w:t>50 mg daily</w:t>
            </w:r>
          </w:p>
        </w:tc>
        <w:tc>
          <w:tcPr>
            <w:tcW w:w="1898" w:type="pct"/>
            <w:shd w:val="clear" w:color="auto" w:fill="auto"/>
          </w:tcPr>
          <w:p w14:paraId="19B0C37F" w14:textId="77777777" w:rsidR="002E7EC9" w:rsidRPr="00B9629C" w:rsidRDefault="002E7EC9" w:rsidP="009750A0">
            <w:pPr>
              <w:numPr>
                <w:ilvl w:val="0"/>
                <w:numId w:val="16"/>
              </w:numPr>
              <w:spacing w:before="0" w:after="0"/>
              <w:ind w:left="162" w:hanging="162"/>
              <w:rPr>
                <w:rFonts w:cs="Arial"/>
                <w:sz w:val="14"/>
                <w:szCs w:val="14"/>
                <w:highlight w:val="darkGray"/>
              </w:rPr>
            </w:pPr>
            <w:r w:rsidRPr="00B9629C">
              <w:rPr>
                <w:rFonts w:cs="Arial"/>
                <w:sz w:val="14"/>
                <w:szCs w:val="14"/>
                <w:highlight w:val="darkGray"/>
              </w:rPr>
              <w:t>Anaemia due to pure red cell aplasia (rare).</w:t>
            </w:r>
          </w:p>
        </w:tc>
      </w:tr>
      <w:tr w:rsidR="002E7EC9" w:rsidRPr="00B9629C" w14:paraId="4A9EFBEB" w14:textId="77777777" w:rsidTr="00D0226E">
        <w:tc>
          <w:tcPr>
            <w:tcW w:w="757" w:type="pct"/>
            <w:shd w:val="clear" w:color="auto" w:fill="auto"/>
          </w:tcPr>
          <w:p w14:paraId="56CB2493" w14:textId="77777777" w:rsidR="002E7EC9" w:rsidRPr="00B9629C" w:rsidRDefault="002E7EC9" w:rsidP="002E7EC9">
            <w:pPr>
              <w:ind w:right="-108"/>
              <w:rPr>
                <w:rFonts w:cs="Arial"/>
                <w:sz w:val="14"/>
                <w:szCs w:val="14"/>
                <w:highlight w:val="darkGray"/>
              </w:rPr>
            </w:pPr>
            <w:r w:rsidRPr="00B9629C">
              <w:rPr>
                <w:rFonts w:cs="Arial"/>
                <w:spacing w:val="-6"/>
                <w:sz w:val="14"/>
                <w:szCs w:val="14"/>
                <w:highlight w:val="darkGray"/>
              </w:rPr>
              <w:t>Emtricitabine</w:t>
            </w:r>
            <w:r w:rsidRPr="00B9629C">
              <w:rPr>
                <w:rFonts w:cs="Arial"/>
                <w:sz w:val="14"/>
                <w:szCs w:val="14"/>
                <w:highlight w:val="darkGray"/>
              </w:rPr>
              <w:t xml:space="preserve"> (FTC) </w:t>
            </w:r>
          </w:p>
        </w:tc>
        <w:tc>
          <w:tcPr>
            <w:tcW w:w="514" w:type="pct"/>
            <w:shd w:val="clear" w:color="auto" w:fill="auto"/>
          </w:tcPr>
          <w:p w14:paraId="4A46F3AB" w14:textId="77777777" w:rsidR="002E7EC9" w:rsidRPr="00B9629C" w:rsidRDefault="002E7EC9" w:rsidP="002E7EC9">
            <w:pPr>
              <w:rPr>
                <w:rFonts w:cs="Arial"/>
                <w:sz w:val="14"/>
                <w:szCs w:val="14"/>
                <w:highlight w:val="darkGray"/>
              </w:rPr>
            </w:pPr>
            <w:r w:rsidRPr="00B9629C">
              <w:rPr>
                <w:rFonts w:cs="Arial"/>
                <w:sz w:val="14"/>
                <w:szCs w:val="14"/>
                <w:highlight w:val="darkGray"/>
              </w:rPr>
              <w:t>NRTI</w:t>
            </w:r>
          </w:p>
        </w:tc>
        <w:tc>
          <w:tcPr>
            <w:tcW w:w="726" w:type="pct"/>
            <w:shd w:val="clear" w:color="auto" w:fill="auto"/>
          </w:tcPr>
          <w:p w14:paraId="1EFEBFEA" w14:textId="77777777" w:rsidR="002E7EC9" w:rsidRPr="00B9629C" w:rsidRDefault="002E7EC9" w:rsidP="002E7EC9">
            <w:pPr>
              <w:rPr>
                <w:rFonts w:cs="Arial"/>
                <w:sz w:val="14"/>
                <w:szCs w:val="14"/>
                <w:highlight w:val="darkGray"/>
              </w:rPr>
            </w:pPr>
            <w:r w:rsidRPr="00B9629C">
              <w:rPr>
                <w:rFonts w:cs="Arial"/>
                <w:sz w:val="14"/>
                <w:szCs w:val="14"/>
                <w:highlight w:val="darkGray"/>
              </w:rPr>
              <w:t>200 mg daily</w:t>
            </w:r>
          </w:p>
        </w:tc>
        <w:tc>
          <w:tcPr>
            <w:tcW w:w="1105" w:type="pct"/>
          </w:tcPr>
          <w:p w14:paraId="3AE70A85" w14:textId="0E699620" w:rsidR="002E7EC9" w:rsidRPr="00B9629C" w:rsidRDefault="002E7EC9" w:rsidP="002E7EC9">
            <w:pPr>
              <w:rPr>
                <w:rFonts w:cs="Arial"/>
                <w:sz w:val="14"/>
                <w:szCs w:val="14"/>
                <w:highlight w:val="darkGray"/>
                <w:u w:val="single"/>
              </w:rPr>
            </w:pPr>
            <w:r w:rsidRPr="00B9629C">
              <w:rPr>
                <w:rFonts w:cs="Arial"/>
                <w:sz w:val="14"/>
                <w:szCs w:val="14"/>
                <w:highlight w:val="darkGray"/>
                <w:u w:val="single"/>
              </w:rPr>
              <w:t>eGFR 15-29 mL/min:</w:t>
            </w:r>
          </w:p>
          <w:p w14:paraId="4C8B57CC" w14:textId="77777777" w:rsidR="002E7EC9" w:rsidRPr="00B9629C" w:rsidRDefault="002E7EC9" w:rsidP="002E7EC9">
            <w:pPr>
              <w:rPr>
                <w:rFonts w:cs="Arial"/>
                <w:sz w:val="14"/>
                <w:szCs w:val="14"/>
                <w:highlight w:val="darkGray"/>
              </w:rPr>
            </w:pPr>
            <w:r w:rsidRPr="00B9629C">
              <w:rPr>
                <w:rFonts w:cs="Arial"/>
                <w:sz w:val="14"/>
                <w:szCs w:val="14"/>
                <w:highlight w:val="darkGray"/>
              </w:rPr>
              <w:t>200 mg every 3 days</w:t>
            </w:r>
          </w:p>
          <w:p w14:paraId="18B411E4" w14:textId="77777777" w:rsidR="002E7EC9" w:rsidRPr="00B9629C" w:rsidRDefault="002E7EC9" w:rsidP="002E7EC9">
            <w:pPr>
              <w:rPr>
                <w:rFonts w:cs="Arial"/>
                <w:sz w:val="10"/>
                <w:szCs w:val="14"/>
                <w:highlight w:val="darkGray"/>
              </w:rPr>
            </w:pPr>
          </w:p>
          <w:p w14:paraId="4F1F1711" w14:textId="03B0FD54" w:rsidR="002E7EC9" w:rsidRPr="00B9629C" w:rsidRDefault="002E7EC9" w:rsidP="002E7EC9">
            <w:pPr>
              <w:rPr>
                <w:rFonts w:cs="Arial"/>
                <w:sz w:val="14"/>
                <w:szCs w:val="14"/>
                <w:highlight w:val="darkGray"/>
              </w:rPr>
            </w:pPr>
            <w:r w:rsidRPr="00B9629C">
              <w:rPr>
                <w:rFonts w:cs="Arial"/>
                <w:sz w:val="14"/>
                <w:szCs w:val="14"/>
                <w:highlight w:val="darkGray"/>
                <w:u w:val="single"/>
              </w:rPr>
              <w:t>eGFR &lt;15 mL/min:</w:t>
            </w:r>
          </w:p>
          <w:p w14:paraId="59328B6E" w14:textId="77777777" w:rsidR="002E7EC9" w:rsidRPr="00B9629C" w:rsidRDefault="002E7EC9" w:rsidP="002E7EC9">
            <w:pPr>
              <w:rPr>
                <w:rFonts w:cs="Arial"/>
                <w:sz w:val="14"/>
                <w:szCs w:val="14"/>
                <w:highlight w:val="darkGray"/>
              </w:rPr>
            </w:pPr>
            <w:r w:rsidRPr="00B9629C">
              <w:rPr>
                <w:rFonts w:cs="Arial"/>
                <w:sz w:val="14"/>
                <w:szCs w:val="14"/>
                <w:highlight w:val="darkGray"/>
              </w:rPr>
              <w:t>200 mg every 4 days</w:t>
            </w:r>
          </w:p>
          <w:p w14:paraId="76C4CCB3" w14:textId="6CFDCFB9" w:rsidR="007B64F9" w:rsidRPr="00B9629C" w:rsidRDefault="007B64F9" w:rsidP="002E7EC9">
            <w:pPr>
              <w:rPr>
                <w:rFonts w:cs="Arial"/>
                <w:sz w:val="14"/>
                <w:szCs w:val="14"/>
                <w:highlight w:val="darkGray"/>
              </w:rPr>
            </w:pPr>
            <w:r w:rsidRPr="00B9629C">
              <w:rPr>
                <w:rFonts w:cs="Arial"/>
                <w:sz w:val="14"/>
                <w:szCs w:val="14"/>
                <w:highlight w:val="darkGray"/>
              </w:rPr>
              <w:t xml:space="preserve">Note: FTC </w:t>
            </w:r>
            <w:r w:rsidR="00B05ABF" w:rsidRPr="00B9629C">
              <w:rPr>
                <w:rFonts w:cs="Arial"/>
                <w:sz w:val="14"/>
                <w:szCs w:val="14"/>
                <w:highlight w:val="darkGray"/>
              </w:rPr>
              <w:t>is not available as a single-ingredient formulation.</w:t>
            </w:r>
          </w:p>
        </w:tc>
        <w:tc>
          <w:tcPr>
            <w:tcW w:w="1898" w:type="pct"/>
            <w:shd w:val="clear" w:color="auto" w:fill="auto"/>
          </w:tcPr>
          <w:p w14:paraId="76EDF3F2" w14:textId="77777777" w:rsidR="002E7EC9" w:rsidRPr="00B9629C" w:rsidRDefault="002E7EC9" w:rsidP="009750A0">
            <w:pPr>
              <w:numPr>
                <w:ilvl w:val="0"/>
                <w:numId w:val="16"/>
              </w:numPr>
              <w:spacing w:before="0" w:after="0"/>
              <w:ind w:left="162" w:hanging="162"/>
              <w:rPr>
                <w:rFonts w:cs="Arial"/>
                <w:sz w:val="14"/>
                <w:szCs w:val="14"/>
                <w:highlight w:val="darkGray"/>
              </w:rPr>
            </w:pPr>
            <w:r w:rsidRPr="00B9629C">
              <w:rPr>
                <w:rFonts w:cs="Arial"/>
                <w:sz w:val="14"/>
                <w:szCs w:val="14"/>
                <w:highlight w:val="darkGray"/>
              </w:rPr>
              <w:t>Palmar hyperpigmentation.</w:t>
            </w:r>
          </w:p>
          <w:p w14:paraId="21B4941C" w14:textId="7113C93F" w:rsidR="002E7EC9" w:rsidRPr="00B9629C" w:rsidRDefault="002E7EC9" w:rsidP="009750A0">
            <w:pPr>
              <w:numPr>
                <w:ilvl w:val="0"/>
                <w:numId w:val="16"/>
              </w:numPr>
              <w:spacing w:before="0" w:after="0"/>
              <w:ind w:left="162" w:hanging="162"/>
              <w:rPr>
                <w:rFonts w:cs="Arial"/>
                <w:sz w:val="14"/>
                <w:szCs w:val="14"/>
                <w:highlight w:val="darkGray"/>
              </w:rPr>
            </w:pPr>
            <w:r w:rsidRPr="00B9629C">
              <w:rPr>
                <w:rFonts w:cs="Arial"/>
                <w:sz w:val="14"/>
                <w:szCs w:val="14"/>
                <w:highlight w:val="darkGray"/>
              </w:rPr>
              <w:t>Anaemia due to pure red cell aplasia (rare).</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89"/>
            </w:tblGrid>
            <w:tr w:rsidR="002E7EC9" w:rsidRPr="00B9629C" w14:paraId="5383F9D8" w14:textId="77777777" w:rsidTr="00BA239A">
              <w:tc>
                <w:tcPr>
                  <w:tcW w:w="789" w:type="dxa"/>
                  <w:shd w:val="clear" w:color="auto" w:fill="auto"/>
                </w:tcPr>
                <w:p w14:paraId="2014A829" w14:textId="77777777" w:rsidR="002E7EC9" w:rsidRPr="00B9629C" w:rsidRDefault="002E7EC9" w:rsidP="00BA239A">
                  <w:pPr>
                    <w:keepLines/>
                    <w:spacing w:before="0" w:after="0"/>
                    <w:outlineLvl w:val="0"/>
                    <w:rPr>
                      <w:rFonts w:eastAsiaTheme="majorEastAsia" w:cs="Arial"/>
                      <w:bCs/>
                      <w:i/>
                      <w:sz w:val="12"/>
                      <w:szCs w:val="16"/>
                      <w:highlight w:val="darkGray"/>
                    </w:rPr>
                  </w:pPr>
                  <w:r w:rsidRPr="00B9629C">
                    <w:rPr>
                      <w:rFonts w:eastAsiaTheme="majorEastAsia" w:cs="Arial"/>
                      <w:bCs/>
                      <w:i/>
                      <w:sz w:val="12"/>
                      <w:szCs w:val="16"/>
                      <w:highlight w:val="darkGray"/>
                    </w:rPr>
                    <w:t>LoE:IVb</w:t>
                  </w:r>
                  <w:r w:rsidRPr="00B9629C">
                    <w:rPr>
                      <w:rFonts w:eastAsiaTheme="majorEastAsia" w:cs="Arial"/>
                      <w:bCs/>
                      <w:i/>
                      <w:sz w:val="12"/>
                      <w:szCs w:val="16"/>
                      <w:highlight w:val="darkGray"/>
                      <w:vertAlign w:val="superscript"/>
                    </w:rPr>
                    <w:endnoteReference w:id="23"/>
                  </w:r>
                </w:p>
              </w:tc>
            </w:tr>
          </w:tbl>
          <w:p w14:paraId="1F1C5A4B" w14:textId="77777777" w:rsidR="002E7EC9" w:rsidRPr="00B9629C" w:rsidRDefault="002E7EC9" w:rsidP="002E7EC9">
            <w:pPr>
              <w:spacing w:before="0" w:after="0"/>
              <w:ind w:left="162"/>
              <w:rPr>
                <w:rFonts w:cs="Arial"/>
                <w:sz w:val="14"/>
                <w:szCs w:val="14"/>
                <w:highlight w:val="darkGray"/>
              </w:rPr>
            </w:pPr>
          </w:p>
          <w:p w14:paraId="27A2C021" w14:textId="77777777" w:rsidR="002E7EC9" w:rsidRPr="00B9629C" w:rsidRDefault="002E7EC9" w:rsidP="002E7EC9">
            <w:pPr>
              <w:ind w:left="360"/>
              <w:rPr>
                <w:rFonts w:cs="Arial"/>
                <w:sz w:val="2"/>
                <w:szCs w:val="2"/>
                <w:highlight w:val="darkGray"/>
              </w:rPr>
            </w:pPr>
          </w:p>
          <w:p w14:paraId="2A2438AD" w14:textId="77777777" w:rsidR="002E7EC9" w:rsidRPr="00B9629C" w:rsidRDefault="002E7EC9" w:rsidP="002E7EC9">
            <w:pPr>
              <w:ind w:left="360"/>
              <w:rPr>
                <w:rFonts w:cs="Arial"/>
                <w:sz w:val="14"/>
                <w:szCs w:val="14"/>
                <w:highlight w:val="darkGray"/>
              </w:rPr>
            </w:pPr>
          </w:p>
        </w:tc>
      </w:tr>
      <w:tr w:rsidR="00BA239A" w:rsidRPr="00B9629C" w14:paraId="1BD94A88" w14:textId="77777777" w:rsidTr="00BA239A">
        <w:tc>
          <w:tcPr>
            <w:tcW w:w="757" w:type="pct"/>
            <w:shd w:val="clear" w:color="auto" w:fill="auto"/>
          </w:tcPr>
          <w:p w14:paraId="7B119572" w14:textId="6024ABF4" w:rsidR="00BA239A" w:rsidRPr="00B9629C" w:rsidRDefault="00BA239A" w:rsidP="00D0226E">
            <w:pPr>
              <w:rPr>
                <w:rFonts w:cs="Arial"/>
                <w:sz w:val="14"/>
                <w:szCs w:val="14"/>
                <w:highlight w:val="darkGray"/>
              </w:rPr>
            </w:pPr>
            <w:r w:rsidRPr="00B9629C">
              <w:rPr>
                <w:rFonts w:cs="Arial"/>
                <w:sz w:val="14"/>
                <w:szCs w:val="14"/>
                <w:highlight w:val="darkGray"/>
              </w:rPr>
              <w:lastRenderedPageBreak/>
              <w:t>Tenofovir alafenamide (TAF)</w:t>
            </w:r>
          </w:p>
        </w:tc>
        <w:tc>
          <w:tcPr>
            <w:tcW w:w="514" w:type="pct"/>
            <w:shd w:val="clear" w:color="auto" w:fill="auto"/>
          </w:tcPr>
          <w:p w14:paraId="6C9F2934" w14:textId="79E597F0" w:rsidR="00BA239A" w:rsidRPr="00B9629C" w:rsidRDefault="00BA239A" w:rsidP="00D0226E">
            <w:pPr>
              <w:rPr>
                <w:rFonts w:cs="Arial"/>
                <w:spacing w:val="-6"/>
                <w:sz w:val="14"/>
                <w:szCs w:val="14"/>
                <w:highlight w:val="darkGray"/>
              </w:rPr>
            </w:pPr>
            <w:r w:rsidRPr="00B9629C">
              <w:rPr>
                <w:rFonts w:cs="Arial"/>
                <w:spacing w:val="-10"/>
                <w:sz w:val="14"/>
                <w:szCs w:val="14"/>
                <w:highlight w:val="darkGray"/>
              </w:rPr>
              <w:t>NRTI</w:t>
            </w:r>
          </w:p>
        </w:tc>
        <w:tc>
          <w:tcPr>
            <w:tcW w:w="1831" w:type="pct"/>
            <w:gridSpan w:val="2"/>
            <w:shd w:val="clear" w:color="auto" w:fill="auto"/>
          </w:tcPr>
          <w:p w14:paraId="3847213F" w14:textId="77777777" w:rsidR="00BA239A" w:rsidRPr="00B9629C" w:rsidRDefault="00BA239A" w:rsidP="00D0226E">
            <w:pPr>
              <w:rPr>
                <w:rFonts w:cs="Arial"/>
                <w:sz w:val="14"/>
                <w:szCs w:val="14"/>
                <w:highlight w:val="darkGray"/>
              </w:rPr>
            </w:pPr>
            <w:r w:rsidRPr="00B9629C">
              <w:rPr>
                <w:rFonts w:cs="Arial"/>
                <w:spacing w:val="-2"/>
                <w:sz w:val="14"/>
                <w:szCs w:val="14"/>
                <w:highlight w:val="darkGray"/>
              </w:rPr>
              <w:t>25 mg daily</w:t>
            </w:r>
          </w:p>
          <w:p w14:paraId="3EECFE6C" w14:textId="7CADF2C3" w:rsidR="00BA239A" w:rsidRPr="00B9629C" w:rsidRDefault="00BA239A" w:rsidP="00D0226E">
            <w:pPr>
              <w:spacing w:after="20"/>
              <w:rPr>
                <w:rFonts w:cs="Arial"/>
                <w:spacing w:val="-2"/>
                <w:sz w:val="14"/>
                <w:szCs w:val="14"/>
                <w:highlight w:val="darkGray"/>
              </w:rPr>
            </w:pPr>
            <w:r w:rsidRPr="00B9629C">
              <w:rPr>
                <w:rFonts w:cs="Arial"/>
                <w:spacing w:val="-2"/>
                <w:sz w:val="14"/>
                <w:szCs w:val="14"/>
                <w:highlight w:val="darkGray"/>
              </w:rPr>
              <w:t>If coformulated with FTC, avoid if eGFR &lt;30 ml/min.</w:t>
            </w:r>
          </w:p>
          <w:p w14:paraId="64CF0A93" w14:textId="271AEB9A" w:rsidR="00BA239A" w:rsidRPr="00B9629C" w:rsidRDefault="00BA239A" w:rsidP="00D0226E">
            <w:pPr>
              <w:rPr>
                <w:rFonts w:cs="Arial"/>
                <w:spacing w:val="-2"/>
                <w:sz w:val="14"/>
                <w:szCs w:val="14"/>
                <w:highlight w:val="darkGray"/>
              </w:rPr>
            </w:pPr>
            <w:r w:rsidRPr="00B9629C">
              <w:rPr>
                <w:rFonts w:cs="Arial"/>
                <w:spacing w:val="-2"/>
                <w:sz w:val="14"/>
                <w:szCs w:val="14"/>
                <w:highlight w:val="darkGray"/>
              </w:rPr>
              <w:t>If used as a single agent, avoid if eGFR &lt;15 ml/min and not on haemodialysis.</w:t>
            </w:r>
          </w:p>
        </w:tc>
        <w:tc>
          <w:tcPr>
            <w:tcW w:w="1898" w:type="pct"/>
            <w:shd w:val="clear" w:color="auto" w:fill="auto"/>
          </w:tcPr>
          <w:p w14:paraId="0589E1EF" w14:textId="77777777" w:rsidR="00BA239A" w:rsidRPr="00B9629C" w:rsidRDefault="00BA239A" w:rsidP="009750A0">
            <w:pPr>
              <w:numPr>
                <w:ilvl w:val="0"/>
                <w:numId w:val="18"/>
              </w:numPr>
              <w:spacing w:before="0" w:after="0"/>
              <w:ind w:left="162" w:hanging="162"/>
              <w:rPr>
                <w:rFonts w:cs="Arial"/>
                <w:sz w:val="14"/>
                <w:szCs w:val="14"/>
                <w:highlight w:val="darkGray"/>
              </w:rPr>
            </w:pPr>
            <w:r w:rsidRPr="00B9629C">
              <w:rPr>
                <w:rFonts w:cs="Arial"/>
                <w:sz w:val="14"/>
                <w:szCs w:val="14"/>
                <w:highlight w:val="darkGray"/>
              </w:rPr>
              <w:t>Acute kidney injury (rare - weeks to months).</w:t>
            </w:r>
          </w:p>
          <w:p w14:paraId="15AD44D3" w14:textId="77777777" w:rsidR="00BA239A" w:rsidRPr="00B9629C" w:rsidRDefault="00BA239A" w:rsidP="009750A0">
            <w:pPr>
              <w:numPr>
                <w:ilvl w:val="0"/>
                <w:numId w:val="18"/>
              </w:numPr>
              <w:spacing w:before="0" w:after="0"/>
              <w:ind w:left="162" w:hanging="162"/>
              <w:rPr>
                <w:rFonts w:cs="Arial"/>
                <w:sz w:val="14"/>
                <w:szCs w:val="14"/>
                <w:highlight w:val="darkGray"/>
              </w:rPr>
            </w:pPr>
            <w:r w:rsidRPr="00B9629C">
              <w:rPr>
                <w:rFonts w:cs="Arial"/>
                <w:sz w:val="14"/>
                <w:szCs w:val="14"/>
                <w:highlight w:val="darkGray"/>
              </w:rPr>
              <w:t>Decline in eGFR (months to years)</w:t>
            </w:r>
          </w:p>
          <w:p w14:paraId="33361291" w14:textId="3F4B570C" w:rsidR="00BA239A" w:rsidRPr="00B9629C" w:rsidRDefault="00BA239A" w:rsidP="009750A0">
            <w:pPr>
              <w:numPr>
                <w:ilvl w:val="0"/>
                <w:numId w:val="18"/>
              </w:numPr>
              <w:spacing w:before="0" w:after="0"/>
              <w:ind w:left="162" w:hanging="162"/>
              <w:rPr>
                <w:rFonts w:cs="Arial"/>
                <w:sz w:val="14"/>
                <w:szCs w:val="14"/>
                <w:highlight w:val="darkGray"/>
              </w:rPr>
            </w:pPr>
            <w:r w:rsidRPr="00B9629C">
              <w:rPr>
                <w:rFonts w:cs="Arial"/>
                <w:sz w:val="14"/>
                <w:szCs w:val="14"/>
                <w:highlight w:val="darkGray"/>
              </w:rPr>
              <w:t>Fanconi syndrome (rare – months to years)</w:t>
            </w:r>
            <w:r w:rsidR="00724290" w:rsidRPr="00B9629C">
              <w:rPr>
                <w:rFonts w:cs="Arial"/>
                <w:sz w:val="14"/>
                <w:szCs w:val="14"/>
                <w:highlight w:val="darkGray"/>
              </w:rPr>
              <w:t>.</w:t>
            </w:r>
          </w:p>
          <w:p w14:paraId="75D58842" w14:textId="3C731C31" w:rsidR="00BA239A" w:rsidRPr="00B9629C" w:rsidRDefault="00BA239A" w:rsidP="009750A0">
            <w:pPr>
              <w:numPr>
                <w:ilvl w:val="0"/>
                <w:numId w:val="18"/>
              </w:numPr>
              <w:spacing w:before="0" w:after="0"/>
              <w:ind w:left="162" w:hanging="162"/>
              <w:rPr>
                <w:rFonts w:cs="Arial"/>
                <w:sz w:val="14"/>
                <w:szCs w:val="14"/>
                <w:highlight w:val="darkGray"/>
              </w:rPr>
            </w:pPr>
            <w:r w:rsidRPr="00B9629C">
              <w:rPr>
                <w:rFonts w:cs="Arial"/>
                <w:sz w:val="14"/>
                <w:szCs w:val="14"/>
                <w:highlight w:val="darkGray"/>
              </w:rPr>
              <w:t>Reduced bone mineral density (months to years).</w:t>
            </w:r>
          </w:p>
        </w:tc>
      </w:tr>
      <w:tr w:rsidR="00D0226E" w:rsidRPr="00B9629C" w14:paraId="552D99EB" w14:textId="77777777" w:rsidTr="00D0226E">
        <w:tc>
          <w:tcPr>
            <w:tcW w:w="757" w:type="pct"/>
            <w:shd w:val="clear" w:color="auto" w:fill="auto"/>
          </w:tcPr>
          <w:p w14:paraId="6B1F4807" w14:textId="77777777" w:rsidR="00D0226E" w:rsidRPr="00B9629C" w:rsidRDefault="00D0226E" w:rsidP="00D0226E">
            <w:pPr>
              <w:rPr>
                <w:rFonts w:cs="Arial"/>
                <w:sz w:val="14"/>
                <w:szCs w:val="14"/>
                <w:highlight w:val="darkGray"/>
              </w:rPr>
            </w:pPr>
            <w:r w:rsidRPr="00B9629C">
              <w:rPr>
                <w:rFonts w:cs="Arial"/>
                <w:sz w:val="14"/>
                <w:szCs w:val="14"/>
                <w:highlight w:val="darkGray"/>
              </w:rPr>
              <w:t xml:space="preserve">Efavirenz (EFV) </w:t>
            </w:r>
          </w:p>
          <w:p w14:paraId="2A1B1D85" w14:textId="77777777" w:rsidR="00D0226E" w:rsidRPr="00B9629C" w:rsidRDefault="00D0226E" w:rsidP="00D0226E">
            <w:pPr>
              <w:rPr>
                <w:rFonts w:cs="Arial"/>
                <w:sz w:val="14"/>
                <w:szCs w:val="14"/>
                <w:highlight w:val="darkGray"/>
              </w:rPr>
            </w:pPr>
          </w:p>
        </w:tc>
        <w:tc>
          <w:tcPr>
            <w:tcW w:w="514" w:type="pct"/>
            <w:shd w:val="clear" w:color="auto" w:fill="auto"/>
          </w:tcPr>
          <w:p w14:paraId="6D483D39" w14:textId="77777777" w:rsidR="00D0226E" w:rsidRPr="00B9629C" w:rsidRDefault="00D0226E" w:rsidP="00D0226E">
            <w:pPr>
              <w:rPr>
                <w:rFonts w:cs="Arial"/>
                <w:spacing w:val="-6"/>
                <w:sz w:val="14"/>
                <w:szCs w:val="14"/>
                <w:highlight w:val="darkGray"/>
              </w:rPr>
            </w:pPr>
            <w:r w:rsidRPr="00B9629C">
              <w:rPr>
                <w:rFonts w:cs="Arial"/>
                <w:spacing w:val="-6"/>
                <w:sz w:val="14"/>
                <w:szCs w:val="14"/>
                <w:highlight w:val="darkGray"/>
              </w:rPr>
              <w:t>NNRTI</w:t>
            </w:r>
          </w:p>
        </w:tc>
        <w:tc>
          <w:tcPr>
            <w:tcW w:w="726" w:type="pct"/>
            <w:shd w:val="clear" w:color="auto" w:fill="auto"/>
          </w:tcPr>
          <w:p w14:paraId="07619F9C" w14:textId="77777777" w:rsidR="00D0226E" w:rsidRPr="00B9629C" w:rsidRDefault="00D0226E" w:rsidP="00D0226E">
            <w:pPr>
              <w:rPr>
                <w:rFonts w:cs="Arial"/>
                <w:sz w:val="14"/>
                <w:szCs w:val="14"/>
                <w:highlight w:val="darkGray"/>
              </w:rPr>
            </w:pPr>
            <w:r w:rsidRPr="00B9629C">
              <w:rPr>
                <w:rFonts w:cs="Arial"/>
                <w:sz w:val="14"/>
                <w:szCs w:val="14"/>
                <w:highlight w:val="darkGray"/>
              </w:rPr>
              <w:t xml:space="preserve">600 mg </w:t>
            </w:r>
          </w:p>
          <w:p w14:paraId="4734C65D" w14:textId="77777777" w:rsidR="00D0226E" w:rsidRPr="00B9629C" w:rsidRDefault="00D0226E" w:rsidP="00D0226E">
            <w:pPr>
              <w:rPr>
                <w:rFonts w:cs="Arial"/>
                <w:sz w:val="14"/>
                <w:szCs w:val="14"/>
                <w:highlight w:val="darkGray"/>
              </w:rPr>
            </w:pPr>
            <w:r w:rsidRPr="00B9629C">
              <w:rPr>
                <w:rFonts w:cs="Arial"/>
                <w:sz w:val="14"/>
                <w:szCs w:val="14"/>
                <w:highlight w:val="darkGray"/>
              </w:rPr>
              <w:t>at night</w:t>
            </w:r>
          </w:p>
        </w:tc>
        <w:tc>
          <w:tcPr>
            <w:tcW w:w="1105" w:type="pct"/>
          </w:tcPr>
          <w:p w14:paraId="4EAABB72" w14:textId="149E8CB5" w:rsidR="00D0226E" w:rsidRPr="00B9629C" w:rsidRDefault="00D0226E" w:rsidP="00D0226E">
            <w:pPr>
              <w:rPr>
                <w:rFonts w:cs="Arial"/>
                <w:sz w:val="14"/>
                <w:szCs w:val="14"/>
                <w:highlight w:val="darkGray"/>
              </w:rPr>
            </w:pPr>
            <w:r w:rsidRPr="00B9629C">
              <w:rPr>
                <w:rFonts w:cs="Arial"/>
                <w:spacing w:val="-2"/>
                <w:sz w:val="14"/>
                <w:szCs w:val="14"/>
                <w:highlight w:val="darkGray"/>
              </w:rPr>
              <w:t>Dose adjustment not required</w:t>
            </w:r>
            <w:r w:rsidR="00724290" w:rsidRPr="00B9629C">
              <w:rPr>
                <w:rFonts w:cs="Arial"/>
                <w:spacing w:val="-2"/>
                <w:sz w:val="14"/>
                <w:szCs w:val="14"/>
                <w:highlight w:val="darkGray"/>
              </w:rPr>
              <w:t>.</w:t>
            </w:r>
          </w:p>
        </w:tc>
        <w:tc>
          <w:tcPr>
            <w:tcW w:w="1898" w:type="pct"/>
            <w:shd w:val="clear" w:color="auto" w:fill="auto"/>
          </w:tcPr>
          <w:p w14:paraId="06E5E034" w14:textId="77777777" w:rsidR="00D0226E" w:rsidRPr="00B9629C" w:rsidRDefault="00D0226E" w:rsidP="009750A0">
            <w:pPr>
              <w:numPr>
                <w:ilvl w:val="0"/>
                <w:numId w:val="17"/>
              </w:numPr>
              <w:spacing w:before="0" w:after="0"/>
              <w:ind w:left="162" w:hanging="162"/>
              <w:rPr>
                <w:rFonts w:cs="Arial"/>
                <w:sz w:val="14"/>
                <w:szCs w:val="14"/>
                <w:highlight w:val="darkGray"/>
              </w:rPr>
            </w:pPr>
            <w:r w:rsidRPr="00B9629C">
              <w:rPr>
                <w:rFonts w:cs="Arial"/>
                <w:sz w:val="14"/>
                <w:szCs w:val="14"/>
                <w:highlight w:val="darkGray"/>
              </w:rPr>
              <w:t>Central nervous system symptoms: vivid dreams, problems with concentration, confusion, mood disturbance, psychosis (days to weeks).</w:t>
            </w:r>
          </w:p>
          <w:p w14:paraId="3BD6F1EC" w14:textId="77777777" w:rsidR="00D0226E" w:rsidRPr="00B9629C" w:rsidRDefault="00D0226E" w:rsidP="009750A0">
            <w:pPr>
              <w:numPr>
                <w:ilvl w:val="0"/>
                <w:numId w:val="17"/>
              </w:numPr>
              <w:spacing w:before="0" w:after="0"/>
              <w:ind w:left="162" w:hanging="162"/>
              <w:rPr>
                <w:rFonts w:cs="Arial"/>
                <w:spacing w:val="-2"/>
                <w:sz w:val="14"/>
                <w:szCs w:val="14"/>
                <w:highlight w:val="darkGray"/>
              </w:rPr>
            </w:pPr>
            <w:r w:rsidRPr="00B9629C">
              <w:rPr>
                <w:rFonts w:cs="Arial"/>
                <w:spacing w:val="-2"/>
                <w:sz w:val="14"/>
                <w:szCs w:val="14"/>
                <w:highlight w:val="darkGray"/>
              </w:rPr>
              <w:t>Encephalopathy, often with cerebellar features (uncommon – months to years).</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14"/>
            </w:tblGrid>
            <w:tr w:rsidR="00D0226E" w:rsidRPr="00B9629C" w14:paraId="1FA08025" w14:textId="77777777" w:rsidTr="00BA239A">
              <w:tc>
                <w:tcPr>
                  <w:tcW w:w="714" w:type="dxa"/>
                  <w:shd w:val="clear" w:color="auto" w:fill="auto"/>
                </w:tcPr>
                <w:p w14:paraId="400BCC11" w14:textId="2188E4E7" w:rsidR="00D0226E" w:rsidRPr="00B9629C" w:rsidRDefault="00D0226E" w:rsidP="00BA239A">
                  <w:pPr>
                    <w:keepLines/>
                    <w:spacing w:before="0" w:after="0"/>
                    <w:outlineLvl w:val="0"/>
                    <w:rPr>
                      <w:rFonts w:eastAsiaTheme="majorEastAsia" w:cs="Arial"/>
                      <w:bCs/>
                      <w:i/>
                      <w:sz w:val="12"/>
                      <w:szCs w:val="16"/>
                      <w:highlight w:val="darkGray"/>
                    </w:rPr>
                  </w:pPr>
                  <w:r w:rsidRPr="00B9629C">
                    <w:rPr>
                      <w:rFonts w:eastAsiaTheme="majorEastAsia" w:cs="Arial"/>
                      <w:bCs/>
                      <w:i/>
                      <w:sz w:val="12"/>
                      <w:szCs w:val="16"/>
                      <w:highlight w:val="darkGray"/>
                    </w:rPr>
                    <w:t>LoE:IVb</w:t>
                  </w:r>
                  <w:r w:rsidRPr="00B9629C">
                    <w:rPr>
                      <w:rFonts w:eastAsiaTheme="majorEastAsia" w:cs="Arial"/>
                      <w:bCs/>
                      <w:i/>
                      <w:sz w:val="12"/>
                      <w:szCs w:val="16"/>
                      <w:highlight w:val="darkGray"/>
                      <w:vertAlign w:val="superscript"/>
                    </w:rPr>
                    <w:endnoteReference w:id="24"/>
                  </w:r>
                </w:p>
              </w:tc>
            </w:tr>
          </w:tbl>
          <w:p w14:paraId="7AF33EBF" w14:textId="77777777" w:rsidR="00D0226E" w:rsidRPr="00B9629C" w:rsidRDefault="00D0226E" w:rsidP="009750A0">
            <w:pPr>
              <w:numPr>
                <w:ilvl w:val="0"/>
                <w:numId w:val="17"/>
              </w:numPr>
              <w:spacing w:before="0" w:after="0"/>
              <w:ind w:left="162" w:hanging="162"/>
              <w:rPr>
                <w:rFonts w:cs="Arial"/>
                <w:sz w:val="14"/>
                <w:szCs w:val="14"/>
                <w:highlight w:val="darkGray"/>
              </w:rPr>
            </w:pPr>
            <w:r w:rsidRPr="00B9629C">
              <w:rPr>
                <w:rFonts w:cs="Arial"/>
                <w:sz w:val="14"/>
                <w:szCs w:val="14"/>
                <w:highlight w:val="darkGray"/>
              </w:rPr>
              <w:t>Rash (1 to 6 weeks).</w:t>
            </w:r>
          </w:p>
          <w:p w14:paraId="60BB109C" w14:textId="7DF331EA" w:rsidR="00D0226E" w:rsidRPr="00B9629C" w:rsidRDefault="00D0226E" w:rsidP="009750A0">
            <w:pPr>
              <w:numPr>
                <w:ilvl w:val="0"/>
                <w:numId w:val="17"/>
              </w:numPr>
              <w:spacing w:before="0" w:after="0"/>
              <w:ind w:left="162" w:hanging="162"/>
              <w:rPr>
                <w:rFonts w:cs="Arial"/>
                <w:sz w:val="14"/>
                <w:szCs w:val="14"/>
                <w:highlight w:val="darkGray"/>
              </w:rPr>
            </w:pPr>
            <w:r w:rsidRPr="00B9629C">
              <w:rPr>
                <w:rFonts w:cs="Arial"/>
                <w:sz w:val="14"/>
                <w:szCs w:val="14"/>
                <w:highlight w:val="darkGray"/>
              </w:rPr>
              <w:t>Hepatitis (weeks to months)</w:t>
            </w:r>
            <w:r w:rsidR="00724290" w:rsidRPr="00B9629C">
              <w:rPr>
                <w:rFonts w:cs="Arial"/>
                <w:sz w:val="14"/>
                <w:szCs w:val="14"/>
                <w:highlight w:val="darkGray"/>
              </w:rPr>
              <w:t>.</w:t>
            </w:r>
          </w:p>
          <w:p w14:paraId="037907D1" w14:textId="77777777" w:rsidR="00D0226E" w:rsidRPr="00B9629C" w:rsidRDefault="00D0226E" w:rsidP="009750A0">
            <w:pPr>
              <w:numPr>
                <w:ilvl w:val="0"/>
                <w:numId w:val="17"/>
              </w:numPr>
              <w:spacing w:before="0" w:after="0"/>
              <w:ind w:left="162" w:hanging="162"/>
              <w:rPr>
                <w:rFonts w:cs="Arial"/>
                <w:sz w:val="14"/>
                <w:szCs w:val="14"/>
                <w:highlight w:val="darkGray"/>
              </w:rPr>
            </w:pPr>
            <w:r w:rsidRPr="00B9629C">
              <w:rPr>
                <w:rFonts w:cs="Arial"/>
                <w:sz w:val="14"/>
                <w:szCs w:val="14"/>
                <w:highlight w:val="darkGray"/>
              </w:rPr>
              <w:t>Gynaecomastia.</w:t>
            </w:r>
          </w:p>
        </w:tc>
      </w:tr>
      <w:tr w:rsidR="00D0226E" w:rsidRPr="00B9629C" w14:paraId="712FCC9E" w14:textId="77777777" w:rsidTr="00D0226E">
        <w:tc>
          <w:tcPr>
            <w:tcW w:w="757" w:type="pct"/>
            <w:shd w:val="clear" w:color="auto" w:fill="auto"/>
          </w:tcPr>
          <w:p w14:paraId="5176A0AA" w14:textId="77777777" w:rsidR="00D0226E" w:rsidRPr="00B9629C" w:rsidRDefault="00D0226E" w:rsidP="00D0226E">
            <w:pPr>
              <w:rPr>
                <w:rFonts w:cs="Arial"/>
                <w:sz w:val="14"/>
                <w:szCs w:val="14"/>
                <w:highlight w:val="darkGray"/>
              </w:rPr>
            </w:pPr>
            <w:r w:rsidRPr="00B9629C">
              <w:rPr>
                <w:rFonts w:cs="Arial"/>
                <w:sz w:val="14"/>
                <w:szCs w:val="14"/>
                <w:highlight w:val="darkGray"/>
              </w:rPr>
              <w:t>Lopinavir/ ritonavir</w:t>
            </w:r>
          </w:p>
          <w:p w14:paraId="4EFE80DC" w14:textId="77777777" w:rsidR="00D0226E" w:rsidRPr="00B9629C" w:rsidRDefault="00D0226E" w:rsidP="00D0226E">
            <w:pPr>
              <w:spacing w:after="20"/>
              <w:rPr>
                <w:rFonts w:cs="Arial"/>
                <w:sz w:val="14"/>
                <w:szCs w:val="14"/>
                <w:highlight w:val="darkGray"/>
              </w:rPr>
            </w:pPr>
            <w:r w:rsidRPr="00B9629C">
              <w:rPr>
                <w:rFonts w:cs="Arial"/>
                <w:sz w:val="14"/>
                <w:szCs w:val="14"/>
                <w:highlight w:val="darkGray"/>
              </w:rPr>
              <w:t>(LPV/r)</w:t>
            </w:r>
          </w:p>
          <w:p w14:paraId="14A24F5E" w14:textId="77777777" w:rsidR="00D0226E" w:rsidRPr="00B9629C" w:rsidRDefault="00D0226E" w:rsidP="00D0226E">
            <w:pPr>
              <w:spacing w:after="20"/>
              <w:rPr>
                <w:rFonts w:cs="Arial"/>
                <w:sz w:val="14"/>
                <w:szCs w:val="14"/>
                <w:highlight w:val="darkGray"/>
              </w:rPr>
            </w:pPr>
          </w:p>
        </w:tc>
        <w:tc>
          <w:tcPr>
            <w:tcW w:w="514" w:type="pct"/>
            <w:shd w:val="clear" w:color="auto" w:fill="auto"/>
          </w:tcPr>
          <w:p w14:paraId="31CB7BA7" w14:textId="77777777" w:rsidR="00D0226E" w:rsidRPr="00B9629C" w:rsidRDefault="00D0226E" w:rsidP="00D0226E">
            <w:pPr>
              <w:ind w:left="-18"/>
              <w:rPr>
                <w:rFonts w:cs="Arial"/>
                <w:spacing w:val="-10"/>
                <w:sz w:val="14"/>
                <w:szCs w:val="14"/>
                <w:highlight w:val="darkGray"/>
              </w:rPr>
            </w:pPr>
            <w:r w:rsidRPr="00B9629C">
              <w:rPr>
                <w:rFonts w:cs="Arial"/>
                <w:sz w:val="14"/>
                <w:szCs w:val="14"/>
                <w:highlight w:val="darkGray"/>
              </w:rPr>
              <w:t>Boosted PI</w:t>
            </w:r>
          </w:p>
        </w:tc>
        <w:tc>
          <w:tcPr>
            <w:tcW w:w="726" w:type="pct"/>
            <w:shd w:val="clear" w:color="auto" w:fill="auto"/>
          </w:tcPr>
          <w:p w14:paraId="6653797A" w14:textId="77777777" w:rsidR="00D0226E" w:rsidRPr="00B9629C" w:rsidRDefault="00D0226E" w:rsidP="00D0226E">
            <w:pPr>
              <w:spacing w:after="20"/>
              <w:rPr>
                <w:rFonts w:cs="Arial"/>
                <w:spacing w:val="-2"/>
                <w:sz w:val="14"/>
                <w:szCs w:val="14"/>
                <w:highlight w:val="darkGray"/>
              </w:rPr>
            </w:pPr>
            <w:r w:rsidRPr="00B9629C">
              <w:rPr>
                <w:rFonts w:cs="Arial"/>
                <w:spacing w:val="-2"/>
                <w:sz w:val="14"/>
                <w:szCs w:val="14"/>
                <w:highlight w:val="darkGray"/>
              </w:rPr>
              <w:t xml:space="preserve">400/100 mg 12-hourly </w:t>
            </w:r>
          </w:p>
          <w:p w14:paraId="2B6825EC" w14:textId="77777777" w:rsidR="00D0226E" w:rsidRPr="00B9629C" w:rsidRDefault="00D0226E" w:rsidP="00D0226E">
            <w:pPr>
              <w:spacing w:after="20"/>
              <w:rPr>
                <w:rFonts w:cs="Arial"/>
                <w:b/>
                <w:spacing w:val="-2"/>
                <w:sz w:val="14"/>
                <w:szCs w:val="14"/>
                <w:highlight w:val="darkGray"/>
              </w:rPr>
            </w:pPr>
            <w:r w:rsidRPr="00B9629C">
              <w:rPr>
                <w:rFonts w:cs="Arial"/>
                <w:b/>
                <w:spacing w:val="-2"/>
                <w:sz w:val="14"/>
                <w:szCs w:val="14"/>
                <w:highlight w:val="darkGray"/>
              </w:rPr>
              <w:t xml:space="preserve">OR </w:t>
            </w:r>
          </w:p>
          <w:p w14:paraId="55839817" w14:textId="77777777" w:rsidR="00D0226E" w:rsidRPr="00B9629C" w:rsidRDefault="00D0226E" w:rsidP="00D0226E">
            <w:pPr>
              <w:spacing w:after="20"/>
              <w:rPr>
                <w:rFonts w:cs="Arial"/>
                <w:sz w:val="14"/>
                <w:szCs w:val="14"/>
                <w:highlight w:val="darkGray"/>
              </w:rPr>
            </w:pPr>
            <w:r w:rsidRPr="00B9629C">
              <w:rPr>
                <w:rFonts w:cs="Arial"/>
                <w:spacing w:val="-2"/>
                <w:sz w:val="14"/>
                <w:szCs w:val="14"/>
                <w:highlight w:val="darkGray"/>
              </w:rPr>
              <w:t>800/200 mg daily (only if PI-naïve)</w:t>
            </w:r>
          </w:p>
        </w:tc>
        <w:tc>
          <w:tcPr>
            <w:tcW w:w="1105" w:type="pct"/>
          </w:tcPr>
          <w:p w14:paraId="346E7D87" w14:textId="4AA47769" w:rsidR="00D0226E" w:rsidRPr="00B9629C" w:rsidRDefault="00D0226E" w:rsidP="00D0226E">
            <w:pPr>
              <w:spacing w:after="20"/>
              <w:rPr>
                <w:rFonts w:cs="Arial"/>
                <w:sz w:val="14"/>
                <w:szCs w:val="14"/>
                <w:highlight w:val="darkGray"/>
              </w:rPr>
            </w:pPr>
            <w:r w:rsidRPr="00B9629C">
              <w:rPr>
                <w:rFonts w:cs="Arial"/>
                <w:spacing w:val="-2"/>
                <w:sz w:val="14"/>
                <w:szCs w:val="14"/>
                <w:highlight w:val="darkGray"/>
              </w:rPr>
              <w:t>Dose adjustment not required</w:t>
            </w:r>
            <w:r w:rsidR="00724290" w:rsidRPr="00B9629C">
              <w:rPr>
                <w:rFonts w:cs="Arial"/>
                <w:spacing w:val="-2"/>
                <w:sz w:val="14"/>
                <w:szCs w:val="14"/>
                <w:highlight w:val="darkGray"/>
              </w:rPr>
              <w:t>.</w:t>
            </w:r>
          </w:p>
        </w:tc>
        <w:tc>
          <w:tcPr>
            <w:tcW w:w="1898" w:type="pct"/>
            <w:shd w:val="clear" w:color="auto" w:fill="auto"/>
          </w:tcPr>
          <w:p w14:paraId="0DD26F59" w14:textId="4F5FA907" w:rsidR="00D0226E" w:rsidRPr="00B9629C" w:rsidRDefault="00D0226E" w:rsidP="009750A0">
            <w:pPr>
              <w:numPr>
                <w:ilvl w:val="0"/>
                <w:numId w:val="18"/>
              </w:numPr>
              <w:spacing w:before="0" w:after="0"/>
              <w:ind w:left="162" w:hanging="162"/>
              <w:rPr>
                <w:rFonts w:cs="Arial"/>
                <w:sz w:val="14"/>
                <w:szCs w:val="14"/>
                <w:highlight w:val="darkGray"/>
              </w:rPr>
            </w:pPr>
            <w:r w:rsidRPr="00B9629C">
              <w:rPr>
                <w:rFonts w:cs="Arial"/>
                <w:sz w:val="14"/>
                <w:szCs w:val="14"/>
                <w:highlight w:val="darkGray"/>
              </w:rPr>
              <w:t>Gastrointestinal upset.</w:t>
            </w:r>
          </w:p>
          <w:p w14:paraId="5D0671DC" w14:textId="77777777" w:rsidR="00D0226E" w:rsidRPr="00B9629C" w:rsidRDefault="00D0226E" w:rsidP="009750A0">
            <w:pPr>
              <w:numPr>
                <w:ilvl w:val="0"/>
                <w:numId w:val="18"/>
              </w:numPr>
              <w:spacing w:before="0" w:after="0"/>
              <w:ind w:left="162" w:hanging="162"/>
              <w:rPr>
                <w:rFonts w:cs="Arial"/>
                <w:sz w:val="14"/>
                <w:szCs w:val="14"/>
                <w:highlight w:val="darkGray"/>
              </w:rPr>
            </w:pPr>
            <w:r w:rsidRPr="00B9629C">
              <w:rPr>
                <w:rFonts w:cs="Arial"/>
                <w:sz w:val="14"/>
                <w:szCs w:val="14"/>
                <w:highlight w:val="darkGray"/>
              </w:rPr>
              <w:t>Dyslipidaemia (weeks).</w:t>
            </w:r>
          </w:p>
          <w:p w14:paraId="5B4AFE87" w14:textId="0F43C6BB" w:rsidR="00D0226E" w:rsidRPr="00B9629C" w:rsidRDefault="00D0226E" w:rsidP="009750A0">
            <w:pPr>
              <w:numPr>
                <w:ilvl w:val="0"/>
                <w:numId w:val="18"/>
              </w:numPr>
              <w:spacing w:before="0" w:after="0"/>
              <w:ind w:left="162" w:hanging="162"/>
              <w:rPr>
                <w:rFonts w:cs="Arial"/>
                <w:sz w:val="14"/>
                <w:szCs w:val="14"/>
                <w:highlight w:val="darkGray"/>
              </w:rPr>
            </w:pPr>
            <w:r w:rsidRPr="00B9629C">
              <w:rPr>
                <w:rFonts w:cs="Arial"/>
                <w:sz w:val="14"/>
                <w:szCs w:val="14"/>
                <w:highlight w:val="darkGray"/>
              </w:rPr>
              <w:t>Rash and/or hepatitis (1 to 6 weeks).</w:t>
            </w:r>
          </w:p>
          <w:p w14:paraId="671379AD" w14:textId="77777777" w:rsidR="00D0226E" w:rsidRPr="00B9629C" w:rsidRDefault="00D0226E" w:rsidP="00D0226E">
            <w:pPr>
              <w:spacing w:after="20"/>
              <w:ind w:left="162" w:hanging="162"/>
              <w:rPr>
                <w:rFonts w:cs="Arial"/>
                <w:sz w:val="14"/>
                <w:szCs w:val="14"/>
                <w:highlight w:val="darkGray"/>
              </w:rPr>
            </w:pPr>
          </w:p>
        </w:tc>
      </w:tr>
      <w:tr w:rsidR="00D0226E" w:rsidRPr="00B9629C" w14:paraId="3F95BD01" w14:textId="77777777" w:rsidTr="00D0226E">
        <w:tc>
          <w:tcPr>
            <w:tcW w:w="757" w:type="pct"/>
            <w:shd w:val="clear" w:color="auto" w:fill="auto"/>
          </w:tcPr>
          <w:p w14:paraId="51C9C362" w14:textId="77777777" w:rsidR="00D0226E" w:rsidRPr="00B9629C" w:rsidRDefault="00D0226E" w:rsidP="00D0226E">
            <w:pPr>
              <w:spacing w:after="20"/>
              <w:rPr>
                <w:rFonts w:cs="Arial"/>
                <w:sz w:val="14"/>
                <w:szCs w:val="14"/>
                <w:highlight w:val="darkGray"/>
              </w:rPr>
            </w:pPr>
            <w:r w:rsidRPr="00B9629C">
              <w:rPr>
                <w:rFonts w:cs="Arial"/>
                <w:sz w:val="14"/>
                <w:szCs w:val="14"/>
                <w:highlight w:val="darkGray"/>
              </w:rPr>
              <w:t>Atazanavir/ ritonavir (ATV/r)</w:t>
            </w:r>
          </w:p>
          <w:p w14:paraId="4459555A" w14:textId="77777777" w:rsidR="00D0226E" w:rsidRPr="00B9629C" w:rsidRDefault="00D0226E" w:rsidP="00D0226E">
            <w:pPr>
              <w:spacing w:after="20"/>
              <w:rPr>
                <w:rFonts w:cs="Arial"/>
                <w:sz w:val="14"/>
                <w:szCs w:val="14"/>
                <w:highlight w:val="darkGray"/>
              </w:rPr>
            </w:pPr>
          </w:p>
          <w:p w14:paraId="322C33DD" w14:textId="77777777" w:rsidR="00D0226E" w:rsidRPr="00B9629C" w:rsidRDefault="00D0226E" w:rsidP="00D0226E">
            <w:pPr>
              <w:spacing w:after="20"/>
              <w:rPr>
                <w:rFonts w:cs="Arial"/>
                <w:sz w:val="14"/>
                <w:szCs w:val="14"/>
                <w:highlight w:val="darkGray"/>
              </w:rPr>
            </w:pPr>
          </w:p>
        </w:tc>
        <w:tc>
          <w:tcPr>
            <w:tcW w:w="514" w:type="pct"/>
            <w:shd w:val="clear" w:color="auto" w:fill="auto"/>
          </w:tcPr>
          <w:p w14:paraId="64CE7AC7" w14:textId="77777777" w:rsidR="00D0226E" w:rsidRPr="00B9629C" w:rsidRDefault="00D0226E" w:rsidP="00D0226E">
            <w:pPr>
              <w:spacing w:after="20"/>
              <w:ind w:left="-19"/>
              <w:rPr>
                <w:rFonts w:cs="Arial"/>
                <w:spacing w:val="-10"/>
                <w:sz w:val="14"/>
                <w:szCs w:val="14"/>
                <w:highlight w:val="darkGray"/>
              </w:rPr>
            </w:pPr>
            <w:r w:rsidRPr="00B9629C">
              <w:rPr>
                <w:rFonts w:cs="Arial"/>
                <w:spacing w:val="-10"/>
                <w:sz w:val="14"/>
                <w:szCs w:val="14"/>
                <w:highlight w:val="darkGray"/>
              </w:rPr>
              <w:t>Boosted PI</w:t>
            </w:r>
          </w:p>
          <w:p w14:paraId="604907CC" w14:textId="77777777" w:rsidR="00D0226E" w:rsidRPr="00B9629C" w:rsidRDefault="00D0226E" w:rsidP="00D0226E">
            <w:pPr>
              <w:spacing w:after="20"/>
              <w:ind w:left="-19"/>
              <w:rPr>
                <w:rFonts w:cs="Arial"/>
                <w:spacing w:val="-10"/>
                <w:sz w:val="14"/>
                <w:szCs w:val="14"/>
                <w:highlight w:val="darkGray"/>
              </w:rPr>
            </w:pPr>
          </w:p>
          <w:p w14:paraId="6CBCFF57" w14:textId="77777777" w:rsidR="00D0226E" w:rsidRPr="00B9629C" w:rsidRDefault="00D0226E" w:rsidP="00D0226E">
            <w:pPr>
              <w:spacing w:after="20"/>
              <w:ind w:left="-19"/>
              <w:rPr>
                <w:rFonts w:cs="Arial"/>
                <w:color w:val="0000FF"/>
                <w:spacing w:val="-10"/>
                <w:sz w:val="14"/>
                <w:szCs w:val="14"/>
                <w:highlight w:val="darkGray"/>
              </w:rPr>
            </w:pPr>
          </w:p>
        </w:tc>
        <w:tc>
          <w:tcPr>
            <w:tcW w:w="726" w:type="pct"/>
            <w:shd w:val="clear" w:color="auto" w:fill="auto"/>
          </w:tcPr>
          <w:p w14:paraId="759F2C91" w14:textId="496DD7C3" w:rsidR="00D0226E" w:rsidRPr="00B9629C" w:rsidRDefault="00D0226E" w:rsidP="00D0226E">
            <w:pPr>
              <w:spacing w:after="20"/>
              <w:rPr>
                <w:rFonts w:cs="Arial"/>
                <w:spacing w:val="-2"/>
                <w:sz w:val="14"/>
                <w:szCs w:val="14"/>
                <w:highlight w:val="darkGray"/>
              </w:rPr>
            </w:pPr>
            <w:r w:rsidRPr="00B9629C">
              <w:rPr>
                <w:rFonts w:cs="Arial"/>
                <w:spacing w:val="-2"/>
                <w:sz w:val="14"/>
                <w:szCs w:val="14"/>
                <w:highlight w:val="darkGray"/>
              </w:rPr>
              <w:t xml:space="preserve">ATV 300 mg taken with ritonavir </w:t>
            </w:r>
          </w:p>
          <w:p w14:paraId="767DBCCB" w14:textId="77777777" w:rsidR="00D0226E" w:rsidRPr="00B9629C" w:rsidRDefault="00D0226E" w:rsidP="00D0226E">
            <w:pPr>
              <w:spacing w:after="20"/>
              <w:rPr>
                <w:rFonts w:cs="Arial"/>
                <w:spacing w:val="-2"/>
                <w:sz w:val="14"/>
                <w:szCs w:val="14"/>
                <w:highlight w:val="darkGray"/>
              </w:rPr>
            </w:pPr>
            <w:r w:rsidRPr="00B9629C">
              <w:rPr>
                <w:rFonts w:cs="Arial"/>
                <w:spacing w:val="-2"/>
                <w:sz w:val="14"/>
                <w:szCs w:val="14"/>
                <w:highlight w:val="darkGray"/>
              </w:rPr>
              <w:t>100 mg daily</w:t>
            </w:r>
          </w:p>
          <w:p w14:paraId="50C0BD58" w14:textId="77777777" w:rsidR="00D0226E" w:rsidRPr="00B9629C" w:rsidRDefault="00D0226E" w:rsidP="00D0226E">
            <w:pPr>
              <w:spacing w:after="20"/>
              <w:rPr>
                <w:rFonts w:cs="Arial"/>
                <w:sz w:val="14"/>
                <w:szCs w:val="14"/>
                <w:highlight w:val="darkGray"/>
              </w:rPr>
            </w:pPr>
          </w:p>
        </w:tc>
        <w:tc>
          <w:tcPr>
            <w:tcW w:w="1105" w:type="pct"/>
          </w:tcPr>
          <w:p w14:paraId="0D2CADB7" w14:textId="75B258A6" w:rsidR="00D0226E" w:rsidRPr="00B9629C" w:rsidRDefault="00D0226E" w:rsidP="00D0226E">
            <w:pPr>
              <w:spacing w:after="20"/>
              <w:rPr>
                <w:rFonts w:cs="Arial"/>
                <w:sz w:val="14"/>
                <w:szCs w:val="14"/>
                <w:highlight w:val="darkGray"/>
              </w:rPr>
            </w:pPr>
            <w:r w:rsidRPr="00B9629C">
              <w:rPr>
                <w:rFonts w:cs="Arial"/>
                <w:spacing w:val="-2"/>
                <w:sz w:val="14"/>
                <w:szCs w:val="14"/>
                <w:highlight w:val="darkGray"/>
              </w:rPr>
              <w:t>Dose adjustment not required</w:t>
            </w:r>
            <w:r w:rsidR="00724290" w:rsidRPr="00B9629C">
              <w:rPr>
                <w:rFonts w:cs="Arial"/>
                <w:spacing w:val="-2"/>
                <w:sz w:val="14"/>
                <w:szCs w:val="14"/>
                <w:highlight w:val="darkGray"/>
              </w:rPr>
              <w:t>.</w:t>
            </w:r>
          </w:p>
        </w:tc>
        <w:tc>
          <w:tcPr>
            <w:tcW w:w="1898" w:type="pct"/>
            <w:shd w:val="clear" w:color="auto" w:fill="auto"/>
          </w:tcPr>
          <w:p w14:paraId="061109AB" w14:textId="77777777" w:rsidR="00D0226E" w:rsidRPr="00B9629C" w:rsidRDefault="00D0226E" w:rsidP="009750A0">
            <w:pPr>
              <w:numPr>
                <w:ilvl w:val="0"/>
                <w:numId w:val="19"/>
              </w:numPr>
              <w:spacing w:before="0" w:after="0"/>
              <w:ind w:left="162" w:hanging="162"/>
              <w:rPr>
                <w:rFonts w:cs="Arial"/>
                <w:sz w:val="14"/>
                <w:szCs w:val="14"/>
                <w:highlight w:val="darkGray"/>
              </w:rPr>
            </w:pPr>
            <w:r w:rsidRPr="00B9629C">
              <w:rPr>
                <w:rFonts w:cs="Arial"/>
                <w:sz w:val="14"/>
                <w:szCs w:val="14"/>
                <w:highlight w:val="darkGray"/>
              </w:rPr>
              <w:t>Unconjugated hyperbilirubinaemia (common, but benign).</w:t>
            </w:r>
          </w:p>
          <w:p w14:paraId="56ACA3D6" w14:textId="77777777" w:rsidR="00D0226E" w:rsidRPr="00B9629C" w:rsidRDefault="00D0226E" w:rsidP="009750A0">
            <w:pPr>
              <w:numPr>
                <w:ilvl w:val="0"/>
                <w:numId w:val="19"/>
              </w:numPr>
              <w:spacing w:before="0" w:after="0"/>
              <w:ind w:left="162" w:hanging="162"/>
              <w:rPr>
                <w:rFonts w:cs="Arial"/>
                <w:sz w:val="14"/>
                <w:szCs w:val="14"/>
                <w:highlight w:val="darkGray"/>
              </w:rPr>
            </w:pPr>
            <w:r w:rsidRPr="00B9629C">
              <w:rPr>
                <w:rFonts w:cs="Arial"/>
                <w:sz w:val="14"/>
                <w:szCs w:val="14"/>
                <w:highlight w:val="darkGray"/>
              </w:rPr>
              <w:t>Dyslipidaemia (low risk).</w:t>
            </w:r>
          </w:p>
          <w:p w14:paraId="381623DB" w14:textId="77777777" w:rsidR="00D0226E" w:rsidRPr="00B9629C" w:rsidRDefault="00D0226E" w:rsidP="009750A0">
            <w:pPr>
              <w:numPr>
                <w:ilvl w:val="0"/>
                <w:numId w:val="19"/>
              </w:numPr>
              <w:spacing w:before="0" w:after="0"/>
              <w:ind w:left="162" w:hanging="162"/>
              <w:rPr>
                <w:rFonts w:cs="Arial"/>
                <w:sz w:val="14"/>
                <w:szCs w:val="14"/>
                <w:highlight w:val="darkGray"/>
              </w:rPr>
            </w:pPr>
            <w:r w:rsidRPr="00B9629C">
              <w:rPr>
                <w:rFonts w:cs="Arial"/>
                <w:sz w:val="14"/>
                <w:szCs w:val="14"/>
                <w:highlight w:val="darkGray"/>
              </w:rPr>
              <w:t>Hepatitis (rare - 1 to 6 weeks).</w:t>
            </w:r>
          </w:p>
          <w:p w14:paraId="446A5D9A" w14:textId="77777777" w:rsidR="00D0226E" w:rsidRPr="00B9629C" w:rsidRDefault="00D0226E" w:rsidP="009750A0">
            <w:pPr>
              <w:numPr>
                <w:ilvl w:val="0"/>
                <w:numId w:val="19"/>
              </w:numPr>
              <w:spacing w:before="0" w:after="0"/>
              <w:ind w:left="162" w:hanging="162"/>
              <w:rPr>
                <w:rFonts w:cs="Arial"/>
                <w:sz w:val="14"/>
                <w:szCs w:val="14"/>
                <w:highlight w:val="darkGray"/>
              </w:rPr>
            </w:pPr>
            <w:r w:rsidRPr="00B9629C">
              <w:rPr>
                <w:rFonts w:cs="Arial"/>
                <w:sz w:val="14"/>
                <w:szCs w:val="14"/>
                <w:highlight w:val="darkGray"/>
              </w:rPr>
              <w:t>Renal stones (uncommon).</w:t>
            </w:r>
          </w:p>
        </w:tc>
      </w:tr>
    </w:tbl>
    <w:p w14:paraId="31EC1E78" w14:textId="6C108777" w:rsidR="00854274" w:rsidRPr="00B9629C" w:rsidRDefault="00854274" w:rsidP="00B94698">
      <w:pPr>
        <w:jc w:val="both"/>
        <w:rPr>
          <w:sz w:val="16"/>
          <w:szCs w:val="16"/>
          <w:highlight w:val="darkGray"/>
        </w:rPr>
      </w:pPr>
      <w:r w:rsidRPr="00B9629C">
        <w:rPr>
          <w:b/>
          <w:sz w:val="16"/>
          <w:szCs w:val="16"/>
          <w:highlight w:val="darkGray"/>
        </w:rPr>
        <w:t>Table 11.3:</w:t>
      </w:r>
      <w:r w:rsidRPr="00B9629C">
        <w:rPr>
          <w:sz w:val="16"/>
          <w:szCs w:val="16"/>
          <w:highlight w:val="darkGray"/>
        </w:rPr>
        <w:t xml:space="preserve"> Dosing and important adverse effects associated with ART</w:t>
      </w:r>
    </w:p>
    <w:p w14:paraId="1D754DC1" w14:textId="07826F15" w:rsidR="00B94698" w:rsidRPr="00B9629C" w:rsidRDefault="00B94698" w:rsidP="00B94698">
      <w:pPr>
        <w:jc w:val="both"/>
        <w:rPr>
          <w:sz w:val="16"/>
          <w:szCs w:val="16"/>
          <w:highlight w:val="darkGray"/>
        </w:rPr>
      </w:pPr>
      <w:r w:rsidRPr="00B9629C">
        <w:rPr>
          <w:sz w:val="16"/>
          <w:szCs w:val="16"/>
          <w:highlight w:val="darkGray"/>
        </w:rPr>
        <w:t>The time-onset information with respect to adverse drug reactions (ADRs) serves as an estimate. Patients may present with ADRs with the onset deviating from that indicated in the table.</w:t>
      </w:r>
      <w:r w:rsidR="00E0606D" w:rsidRPr="00B9629C">
        <w:rPr>
          <w:sz w:val="16"/>
          <w:szCs w:val="16"/>
          <w:highlight w:val="darkGray"/>
        </w:rPr>
        <w:t xml:space="preserve"> </w:t>
      </w:r>
      <w:r w:rsidR="00BA672B" w:rsidRPr="00B9629C">
        <w:rPr>
          <w:sz w:val="16"/>
          <w:szCs w:val="16"/>
          <w:highlight w:val="darkGray"/>
        </w:rPr>
        <w:t>InSTI: inte</w:t>
      </w:r>
      <w:r w:rsidR="00834A26" w:rsidRPr="00B9629C">
        <w:rPr>
          <w:sz w:val="16"/>
          <w:szCs w:val="16"/>
          <w:highlight w:val="darkGray"/>
        </w:rPr>
        <w:t>grase</w:t>
      </w:r>
      <w:r w:rsidR="00672A50" w:rsidRPr="00B9629C">
        <w:rPr>
          <w:sz w:val="16"/>
          <w:szCs w:val="16"/>
          <w:highlight w:val="darkGray"/>
        </w:rPr>
        <w:t xml:space="preserve"> strand transfer inhibitor;</w:t>
      </w:r>
      <w:r w:rsidR="00834A26" w:rsidRPr="00B9629C">
        <w:rPr>
          <w:sz w:val="16"/>
          <w:szCs w:val="16"/>
          <w:highlight w:val="darkGray"/>
        </w:rPr>
        <w:t xml:space="preserve"> </w:t>
      </w:r>
      <w:r w:rsidR="00BA672B" w:rsidRPr="00B9629C">
        <w:rPr>
          <w:sz w:val="16"/>
          <w:szCs w:val="16"/>
          <w:highlight w:val="darkGray"/>
        </w:rPr>
        <w:t>NRTI: nucleoside reverse transcriptase inhibitor; N</w:t>
      </w:r>
      <w:r w:rsidR="00E0606D" w:rsidRPr="00B9629C">
        <w:rPr>
          <w:sz w:val="16"/>
          <w:szCs w:val="16"/>
          <w:highlight w:val="darkGray"/>
        </w:rPr>
        <w:t>NRTI: non-nucle</w:t>
      </w:r>
      <w:r w:rsidR="00BA672B" w:rsidRPr="00B9629C">
        <w:rPr>
          <w:sz w:val="16"/>
          <w:szCs w:val="16"/>
          <w:highlight w:val="darkGray"/>
        </w:rPr>
        <w:t xml:space="preserve">oside reverse transcriptase inhibitor; </w:t>
      </w:r>
      <w:r w:rsidR="00672A50" w:rsidRPr="00B9629C">
        <w:rPr>
          <w:sz w:val="16"/>
          <w:szCs w:val="16"/>
          <w:highlight w:val="darkGray"/>
        </w:rPr>
        <w:t>PI: protease inhibitor.</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9"/>
      </w:tblGrid>
      <w:tr w:rsidR="00191E0A" w:rsidRPr="00B9629C" w14:paraId="77C9A471" w14:textId="77777777" w:rsidTr="00F12F3B">
        <w:tc>
          <w:tcPr>
            <w:tcW w:w="789" w:type="dxa"/>
            <w:shd w:val="clear" w:color="auto" w:fill="auto"/>
          </w:tcPr>
          <w:p w14:paraId="5993023C" w14:textId="77777777" w:rsidR="00191E0A" w:rsidRPr="00B9629C" w:rsidRDefault="00191E0A" w:rsidP="00F12F3B">
            <w:pPr>
              <w:keepLines/>
              <w:spacing w:before="0" w:after="0"/>
              <w:outlineLvl w:val="0"/>
              <w:rPr>
                <w:rFonts w:eastAsiaTheme="majorEastAsia" w:cs="Arial"/>
                <w:bCs/>
                <w:i/>
                <w:sz w:val="14"/>
                <w:szCs w:val="16"/>
                <w:highlight w:val="darkGray"/>
              </w:rPr>
            </w:pPr>
            <w:r w:rsidRPr="00B9629C">
              <w:rPr>
                <w:rFonts w:eastAsiaTheme="majorEastAsia" w:cs="Arial"/>
                <w:bCs/>
                <w:i/>
                <w:sz w:val="14"/>
                <w:szCs w:val="16"/>
                <w:highlight w:val="darkGray"/>
              </w:rPr>
              <w:t>LoE:IIIb</w:t>
            </w:r>
            <w:r w:rsidRPr="00B9629C">
              <w:rPr>
                <w:rFonts w:eastAsiaTheme="majorEastAsia" w:cs="Arial"/>
                <w:bCs/>
                <w:i/>
                <w:sz w:val="14"/>
                <w:szCs w:val="16"/>
                <w:highlight w:val="darkGray"/>
                <w:vertAlign w:val="superscript"/>
              </w:rPr>
              <w:endnoteReference w:id="25"/>
            </w:r>
          </w:p>
        </w:tc>
      </w:tr>
    </w:tbl>
    <w:p w14:paraId="1CE7486A" w14:textId="77777777" w:rsidR="00B94698" w:rsidRPr="00B9629C" w:rsidRDefault="00B94698" w:rsidP="00B94698">
      <w:pPr>
        <w:rPr>
          <w:rFonts w:cs="Arial"/>
          <w:highlight w:val="darkGray"/>
        </w:rPr>
      </w:pPr>
    </w:p>
    <w:p w14:paraId="24EFC5F3" w14:textId="546F0FDC" w:rsidR="00E5138C" w:rsidRPr="00B9629C" w:rsidRDefault="00E5138C" w:rsidP="00CF392C">
      <w:pPr>
        <w:spacing w:before="0" w:after="0"/>
        <w:jc w:val="both"/>
        <w:rPr>
          <w:b/>
          <w:highlight w:val="darkGray"/>
        </w:rPr>
      </w:pPr>
      <w:r w:rsidRPr="00B9629C">
        <w:rPr>
          <w:b/>
          <w:highlight w:val="darkGray"/>
        </w:rPr>
        <w:t>ART: DRUG-DRUG INTERACTIONS</w:t>
      </w:r>
    </w:p>
    <w:p w14:paraId="1D89D053" w14:textId="77777777" w:rsidR="00E5138C" w:rsidRPr="00B9629C" w:rsidRDefault="00E5138C" w:rsidP="009E6840">
      <w:pPr>
        <w:pStyle w:val="NoSpacing"/>
        <w:rPr>
          <w:highlight w:val="darkGray"/>
        </w:rPr>
      </w:pPr>
      <w:r w:rsidRPr="00B9629C">
        <w:rPr>
          <w:highlight w:val="darkGray"/>
        </w:rPr>
        <w:t>Information can be accessed from:</w:t>
      </w:r>
    </w:p>
    <w:p w14:paraId="4B09B9D9" w14:textId="77777777" w:rsidR="00E5138C" w:rsidRPr="00B9629C" w:rsidRDefault="00F80853" w:rsidP="009E6840">
      <w:pPr>
        <w:pStyle w:val="ListParagraph"/>
        <w:rPr>
          <w:highlight w:val="darkGray"/>
        </w:rPr>
      </w:pPr>
      <w:hyperlink r:id="rId19" w:history="1">
        <w:r w:rsidR="00E5138C" w:rsidRPr="00B9629C">
          <w:rPr>
            <w:rStyle w:val="Hyperlink"/>
            <w:highlight w:val="darkGray"/>
          </w:rPr>
          <w:t>https://www.hiv-druginteractionslite.org/checker</w:t>
        </w:r>
      </w:hyperlink>
    </w:p>
    <w:p w14:paraId="4F2B8E6D" w14:textId="77777777" w:rsidR="00E5138C" w:rsidRPr="00B9629C" w:rsidRDefault="00F80853" w:rsidP="009E6840">
      <w:pPr>
        <w:pStyle w:val="ListParagraph"/>
        <w:rPr>
          <w:highlight w:val="darkGray"/>
        </w:rPr>
      </w:pPr>
      <w:hyperlink r:id="rId20" w:history="1">
        <w:r w:rsidR="00E5138C" w:rsidRPr="00B9629C">
          <w:rPr>
            <w:rStyle w:val="Hyperlink"/>
            <w:highlight w:val="darkGray"/>
          </w:rPr>
          <w:t>http://www.mic.uct.ac.za/</w:t>
        </w:r>
      </w:hyperlink>
      <w:r w:rsidR="00E5138C" w:rsidRPr="00B9629C">
        <w:rPr>
          <w:highlight w:val="darkGray"/>
        </w:rPr>
        <w:t xml:space="preserve"> and download the ARV/EML interaction checker.</w:t>
      </w:r>
    </w:p>
    <w:p w14:paraId="5503C835" w14:textId="4BD673FF" w:rsidR="00E5138C" w:rsidRPr="00B9629C" w:rsidRDefault="00E5138C" w:rsidP="009E6840">
      <w:pPr>
        <w:pStyle w:val="ListParagraph"/>
        <w:rPr>
          <w:highlight w:val="darkGray"/>
        </w:rPr>
      </w:pPr>
      <w:r w:rsidRPr="00B9629C">
        <w:rPr>
          <w:highlight w:val="darkGray"/>
        </w:rPr>
        <w:t>Package inserts.</w:t>
      </w:r>
    </w:p>
    <w:p w14:paraId="71D0E623" w14:textId="77777777" w:rsidR="008A612F" w:rsidRPr="00B9629C" w:rsidRDefault="008A612F" w:rsidP="008A612F">
      <w:pPr>
        <w:rPr>
          <w:highlight w:val="darkGray"/>
        </w:rPr>
      </w:pPr>
    </w:p>
    <w:p w14:paraId="5AA7BAE3" w14:textId="77777777" w:rsidR="008A612F" w:rsidRPr="00B9629C" w:rsidRDefault="008A612F" w:rsidP="008A612F">
      <w:pPr>
        <w:rPr>
          <w:highlight w:val="darkGray"/>
        </w:rPr>
      </w:pPr>
    </w:p>
    <w:p w14:paraId="6FB9764C" w14:textId="77777777" w:rsidR="008A612F" w:rsidRPr="00B9629C" w:rsidRDefault="008A612F" w:rsidP="008A612F">
      <w:pPr>
        <w:rPr>
          <w:highlight w:val="darkGray"/>
        </w:rPr>
      </w:pPr>
    </w:p>
    <w:p w14:paraId="38FC27AA" w14:textId="77777777" w:rsidR="008A612F" w:rsidRPr="00B9629C" w:rsidRDefault="008A612F" w:rsidP="008A612F">
      <w:pPr>
        <w:rPr>
          <w:highlight w:val="darkGray"/>
        </w:rPr>
      </w:pPr>
    </w:p>
    <w:p w14:paraId="6981EE3B" w14:textId="77777777" w:rsidR="00F12F3B" w:rsidRPr="00B9629C" w:rsidRDefault="00F12F3B" w:rsidP="008A612F">
      <w:pPr>
        <w:rPr>
          <w:highlight w:val="darkGray"/>
        </w:rPr>
      </w:pPr>
    </w:p>
    <w:p w14:paraId="7D2CD380" w14:textId="77777777" w:rsidR="00C66159" w:rsidRPr="00B9629C" w:rsidRDefault="00C66159" w:rsidP="00C66159">
      <w:pPr>
        <w:pStyle w:val="NoSpacing"/>
        <w:rPr>
          <w:sz w:val="8"/>
          <w:szCs w:val="8"/>
          <w:highlight w:val="darkGray"/>
        </w:rPr>
      </w:pPr>
    </w:p>
    <w:tbl>
      <w:tblPr>
        <w:tblStyle w:val="SamplePHCTable"/>
        <w:tblW w:w="5000" w:type="pct"/>
        <w:tblLook w:val="04A0" w:firstRow="1" w:lastRow="0" w:firstColumn="1" w:lastColumn="0" w:noHBand="0" w:noVBand="1"/>
      </w:tblPr>
      <w:tblGrid>
        <w:gridCol w:w="746"/>
        <w:gridCol w:w="1229"/>
        <w:gridCol w:w="1889"/>
        <w:gridCol w:w="2817"/>
      </w:tblGrid>
      <w:tr w:rsidR="00E5138C" w:rsidRPr="00B9629C" w14:paraId="66D72E4A" w14:textId="77777777" w:rsidTr="00C66159">
        <w:trPr>
          <w:cnfStyle w:val="100000000000" w:firstRow="1" w:lastRow="0" w:firstColumn="0" w:lastColumn="0" w:oddVBand="0" w:evenVBand="0" w:oddHBand="0" w:evenHBand="0" w:firstRowFirstColumn="0" w:firstRowLastColumn="0" w:lastRowFirstColumn="0" w:lastRowLastColumn="0"/>
        </w:trPr>
        <w:tc>
          <w:tcPr>
            <w:tcW w:w="5000" w:type="pct"/>
            <w:gridSpan w:val="4"/>
          </w:tcPr>
          <w:p w14:paraId="4D4B8FC4" w14:textId="77777777" w:rsidR="00E5138C" w:rsidRPr="00B9629C" w:rsidRDefault="00E5138C" w:rsidP="0022015C">
            <w:pPr>
              <w:pStyle w:val="NoSpacing"/>
              <w:jc w:val="both"/>
              <w:rPr>
                <w:highlight w:val="darkGray"/>
              </w:rPr>
            </w:pPr>
            <w:r w:rsidRPr="00B9629C">
              <w:rPr>
                <w:highlight w:val="darkGray"/>
              </w:rPr>
              <w:lastRenderedPageBreak/>
              <w:t>ART INTERACTIONS WITH RIFAMPICIN AND RECOMMENDATIONS FOR ADMINISTRATION</w:t>
            </w:r>
          </w:p>
        </w:tc>
      </w:tr>
      <w:tr w:rsidR="00E5138C" w:rsidRPr="00B9629C" w14:paraId="4D63661F" w14:textId="77777777" w:rsidTr="00A82B17">
        <w:tc>
          <w:tcPr>
            <w:tcW w:w="558" w:type="pct"/>
          </w:tcPr>
          <w:p w14:paraId="6817AFC9" w14:textId="77777777" w:rsidR="00E5138C" w:rsidRPr="00B9629C" w:rsidRDefault="00E5138C" w:rsidP="00352DAD">
            <w:pPr>
              <w:pStyle w:val="NoSpacing"/>
              <w:rPr>
                <w:rStyle w:val="Strong"/>
                <w:highlight w:val="darkGray"/>
              </w:rPr>
            </w:pPr>
            <w:r w:rsidRPr="00B9629C">
              <w:rPr>
                <w:rStyle w:val="Strong"/>
                <w:highlight w:val="darkGray"/>
              </w:rPr>
              <w:t>Class</w:t>
            </w:r>
          </w:p>
        </w:tc>
        <w:tc>
          <w:tcPr>
            <w:tcW w:w="920" w:type="pct"/>
          </w:tcPr>
          <w:p w14:paraId="6FBFA93A" w14:textId="77777777" w:rsidR="00E5138C" w:rsidRPr="00B9629C" w:rsidRDefault="00E5138C" w:rsidP="00352DAD">
            <w:pPr>
              <w:pStyle w:val="NoSpacing"/>
              <w:rPr>
                <w:rStyle w:val="Strong"/>
                <w:highlight w:val="darkGray"/>
              </w:rPr>
            </w:pPr>
            <w:r w:rsidRPr="00B9629C">
              <w:rPr>
                <w:rStyle w:val="Strong"/>
                <w:highlight w:val="darkGray"/>
              </w:rPr>
              <w:t>ARV</w:t>
            </w:r>
          </w:p>
        </w:tc>
        <w:tc>
          <w:tcPr>
            <w:tcW w:w="1414" w:type="pct"/>
          </w:tcPr>
          <w:p w14:paraId="26CC15E6" w14:textId="77777777" w:rsidR="00E5138C" w:rsidRPr="00B9629C" w:rsidRDefault="00E5138C" w:rsidP="00352DAD">
            <w:pPr>
              <w:pStyle w:val="NoSpacing"/>
              <w:rPr>
                <w:rStyle w:val="Strong"/>
                <w:highlight w:val="darkGray"/>
              </w:rPr>
            </w:pPr>
            <w:r w:rsidRPr="00B9629C">
              <w:rPr>
                <w:rStyle w:val="Strong"/>
                <w:highlight w:val="darkGray"/>
              </w:rPr>
              <w:t>Interaction with rifampicin</w:t>
            </w:r>
          </w:p>
        </w:tc>
        <w:tc>
          <w:tcPr>
            <w:tcW w:w="2107" w:type="pct"/>
          </w:tcPr>
          <w:p w14:paraId="7E70EDE5" w14:textId="77777777" w:rsidR="00E5138C" w:rsidRPr="00B9629C" w:rsidRDefault="00E5138C" w:rsidP="00352DAD">
            <w:pPr>
              <w:pStyle w:val="NoSpacing"/>
              <w:rPr>
                <w:rStyle w:val="Strong"/>
                <w:highlight w:val="darkGray"/>
              </w:rPr>
            </w:pPr>
            <w:r w:rsidRPr="00B9629C">
              <w:rPr>
                <w:rStyle w:val="Strong"/>
                <w:highlight w:val="darkGray"/>
              </w:rPr>
              <w:t>Dose of ARV with rifampicin</w:t>
            </w:r>
          </w:p>
        </w:tc>
      </w:tr>
      <w:tr w:rsidR="00E5138C" w:rsidRPr="00B9629C" w14:paraId="7339D985" w14:textId="77777777" w:rsidTr="00A82B17">
        <w:tc>
          <w:tcPr>
            <w:tcW w:w="558" w:type="pct"/>
          </w:tcPr>
          <w:p w14:paraId="79519DE2" w14:textId="77777777" w:rsidR="00E5138C" w:rsidRPr="00B9629C" w:rsidRDefault="00E5138C" w:rsidP="00B469CB">
            <w:pPr>
              <w:pStyle w:val="NoSpacing"/>
              <w:jc w:val="left"/>
              <w:rPr>
                <w:highlight w:val="darkGray"/>
              </w:rPr>
            </w:pPr>
            <w:r w:rsidRPr="00B9629C">
              <w:rPr>
                <w:highlight w:val="darkGray"/>
              </w:rPr>
              <w:t xml:space="preserve">NRTI </w:t>
            </w:r>
          </w:p>
        </w:tc>
        <w:tc>
          <w:tcPr>
            <w:tcW w:w="920" w:type="pct"/>
          </w:tcPr>
          <w:p w14:paraId="4B22D326" w14:textId="7B907A6D" w:rsidR="00E5138C" w:rsidRPr="00B9629C" w:rsidRDefault="00E5138C" w:rsidP="00B469CB">
            <w:pPr>
              <w:pStyle w:val="NoSpacing"/>
              <w:jc w:val="left"/>
              <w:rPr>
                <w:highlight w:val="darkGray"/>
              </w:rPr>
            </w:pPr>
            <w:r w:rsidRPr="00B9629C">
              <w:rPr>
                <w:highlight w:val="darkGray"/>
              </w:rPr>
              <w:t>3TC/FTC/TDF/</w:t>
            </w:r>
          </w:p>
          <w:p w14:paraId="120B2FF3" w14:textId="01D6CD89" w:rsidR="00E5138C" w:rsidRPr="00B9629C" w:rsidRDefault="00E5138C" w:rsidP="00B469CB">
            <w:pPr>
              <w:pStyle w:val="NoSpacing"/>
              <w:jc w:val="left"/>
              <w:rPr>
                <w:highlight w:val="darkGray"/>
              </w:rPr>
            </w:pPr>
            <w:r w:rsidRPr="00B9629C">
              <w:rPr>
                <w:highlight w:val="darkGray"/>
              </w:rPr>
              <w:t>AZT/ABC</w:t>
            </w:r>
          </w:p>
        </w:tc>
        <w:tc>
          <w:tcPr>
            <w:tcW w:w="1414" w:type="pct"/>
          </w:tcPr>
          <w:p w14:paraId="523B3A45" w14:textId="25924AA2" w:rsidR="00E5138C" w:rsidRPr="00B9629C" w:rsidRDefault="00E5138C" w:rsidP="00B469CB">
            <w:pPr>
              <w:pStyle w:val="NoSpacing"/>
              <w:jc w:val="left"/>
              <w:rPr>
                <w:highlight w:val="darkGray"/>
              </w:rPr>
            </w:pPr>
            <w:r w:rsidRPr="00B9629C">
              <w:rPr>
                <w:highlight w:val="darkGray"/>
              </w:rPr>
              <w:t>No clinically significant pharmacokinetic interactions</w:t>
            </w:r>
            <w:r w:rsidR="00724290" w:rsidRPr="00B9629C">
              <w:rPr>
                <w:highlight w:val="darkGray"/>
              </w:rPr>
              <w:t>.</w:t>
            </w:r>
          </w:p>
        </w:tc>
        <w:tc>
          <w:tcPr>
            <w:tcW w:w="2107" w:type="pct"/>
          </w:tcPr>
          <w:p w14:paraId="45373D5C" w14:textId="77777777" w:rsidR="00E5138C" w:rsidRPr="00B9629C" w:rsidRDefault="00E5138C" w:rsidP="00B469CB">
            <w:pPr>
              <w:pStyle w:val="NoSpacing"/>
              <w:jc w:val="left"/>
              <w:rPr>
                <w:highlight w:val="darkGray"/>
              </w:rPr>
            </w:pPr>
            <w:r w:rsidRPr="00B9629C">
              <w:rPr>
                <w:highlight w:val="darkGray"/>
              </w:rPr>
              <w:t xml:space="preserve">No dose adjustment required. </w:t>
            </w:r>
          </w:p>
        </w:tc>
      </w:tr>
      <w:tr w:rsidR="00E5138C" w:rsidRPr="00B9629C" w14:paraId="7BFCC182" w14:textId="77777777" w:rsidTr="00A82B17">
        <w:trPr>
          <w:trHeight w:val="913"/>
        </w:trPr>
        <w:tc>
          <w:tcPr>
            <w:tcW w:w="558" w:type="pct"/>
          </w:tcPr>
          <w:p w14:paraId="0D5AC120" w14:textId="77777777" w:rsidR="00E5138C" w:rsidRPr="00B9629C" w:rsidRDefault="00E5138C" w:rsidP="00B469CB">
            <w:pPr>
              <w:pStyle w:val="NoSpacing"/>
              <w:jc w:val="left"/>
              <w:rPr>
                <w:highlight w:val="darkGray"/>
              </w:rPr>
            </w:pPr>
            <w:r w:rsidRPr="00B9629C">
              <w:rPr>
                <w:highlight w:val="darkGray"/>
              </w:rPr>
              <w:t xml:space="preserve">NNRTI </w:t>
            </w:r>
          </w:p>
        </w:tc>
        <w:tc>
          <w:tcPr>
            <w:tcW w:w="920" w:type="pct"/>
          </w:tcPr>
          <w:p w14:paraId="6DAF9B33" w14:textId="2897C255" w:rsidR="00E5138C" w:rsidRPr="00B9629C" w:rsidRDefault="00E5138C" w:rsidP="00B469CB">
            <w:pPr>
              <w:pStyle w:val="NoSpacing"/>
              <w:jc w:val="left"/>
              <w:rPr>
                <w:highlight w:val="darkGray"/>
              </w:rPr>
            </w:pPr>
            <w:r w:rsidRPr="00B9629C">
              <w:rPr>
                <w:highlight w:val="darkGray"/>
              </w:rPr>
              <w:t xml:space="preserve">EFV </w:t>
            </w:r>
          </w:p>
          <w:p w14:paraId="04E1E4AC" w14:textId="77777777" w:rsidR="00E5138C" w:rsidRPr="00B9629C" w:rsidRDefault="00E5138C" w:rsidP="00B469CB">
            <w:pPr>
              <w:pStyle w:val="NoSpacing"/>
              <w:jc w:val="left"/>
              <w:rPr>
                <w:highlight w:val="darkGray"/>
              </w:rPr>
            </w:pPr>
          </w:p>
          <w:p w14:paraId="690E58BF" w14:textId="77777777" w:rsidR="00E5138C" w:rsidRPr="00B9629C" w:rsidRDefault="00E5138C" w:rsidP="00B469CB">
            <w:pPr>
              <w:pStyle w:val="NoSpacing"/>
              <w:jc w:val="left"/>
              <w:rPr>
                <w:highlight w:val="darkGray"/>
              </w:rPr>
            </w:pPr>
          </w:p>
        </w:tc>
        <w:tc>
          <w:tcPr>
            <w:tcW w:w="1414" w:type="pct"/>
          </w:tcPr>
          <w:p w14:paraId="666F956A" w14:textId="77777777" w:rsidR="00E5138C" w:rsidRPr="00B9629C" w:rsidRDefault="00E5138C" w:rsidP="00B469CB">
            <w:pPr>
              <w:pStyle w:val="NoSpacing"/>
              <w:jc w:val="left"/>
              <w:rPr>
                <w:highlight w:val="darkGray"/>
              </w:rPr>
            </w:pPr>
            <w:r w:rsidRPr="00B9629C">
              <w:rPr>
                <w:highlight w:val="darkGray"/>
              </w:rPr>
              <w:t xml:space="preserve">Non-significant change </w:t>
            </w:r>
          </w:p>
          <w:p w14:paraId="61C3F147" w14:textId="3B6B34B6" w:rsidR="00E5138C" w:rsidRPr="00B9629C" w:rsidRDefault="00E5138C" w:rsidP="00B469CB">
            <w:pPr>
              <w:pStyle w:val="NoSpacing"/>
              <w:jc w:val="left"/>
              <w:rPr>
                <w:highlight w:val="darkGray"/>
              </w:rPr>
            </w:pPr>
            <w:r w:rsidRPr="00B9629C">
              <w:rPr>
                <w:highlight w:val="darkGray"/>
              </w:rPr>
              <w:t xml:space="preserve">(EFV concentrations may increase in patients who are genetic slow metabolisers of EFV </w:t>
            </w:r>
            <w:r w:rsidR="00017ED8" w:rsidRPr="00B9629C">
              <w:rPr>
                <w:highlight w:val="darkGray"/>
              </w:rPr>
              <w:t xml:space="preserve">and are on </w:t>
            </w:r>
            <w:r w:rsidR="009B164B" w:rsidRPr="00B9629C">
              <w:rPr>
                <w:highlight w:val="darkGray"/>
              </w:rPr>
              <w:t>isoniazid</w:t>
            </w:r>
            <w:r w:rsidR="00705A79" w:rsidRPr="00B9629C">
              <w:rPr>
                <w:highlight w:val="darkGray"/>
              </w:rPr>
              <w:t xml:space="preserve"> (I</w:t>
            </w:r>
            <w:r w:rsidRPr="00B9629C">
              <w:rPr>
                <w:highlight w:val="darkGray"/>
              </w:rPr>
              <w:t>NH)</w:t>
            </w:r>
            <w:r w:rsidR="00017ED8" w:rsidRPr="00B9629C">
              <w:rPr>
                <w:highlight w:val="darkGray"/>
              </w:rPr>
              <w:t xml:space="preserve"> which also inhibits EFV metabolism).</w:t>
            </w:r>
          </w:p>
        </w:tc>
        <w:tc>
          <w:tcPr>
            <w:tcW w:w="2107" w:type="pct"/>
          </w:tcPr>
          <w:p w14:paraId="350C0E9B" w14:textId="77777777" w:rsidR="00E5138C" w:rsidRPr="00B9629C" w:rsidRDefault="00E5138C" w:rsidP="00B469CB">
            <w:pPr>
              <w:pStyle w:val="NoSpacing"/>
              <w:jc w:val="left"/>
              <w:rPr>
                <w:highlight w:val="darkGray"/>
              </w:rPr>
            </w:pPr>
            <w:r w:rsidRPr="00B9629C">
              <w:rPr>
                <w:highlight w:val="darkGray"/>
              </w:rPr>
              <w:t xml:space="preserve">No dose adjustment required (600 mg at night). </w:t>
            </w:r>
          </w:p>
          <w:p w14:paraId="2A9913AC" w14:textId="77777777" w:rsidR="00E5138C" w:rsidRPr="00B9629C" w:rsidRDefault="00E5138C" w:rsidP="00B469CB">
            <w:pPr>
              <w:pStyle w:val="NoSpacing"/>
              <w:jc w:val="left"/>
              <w:rPr>
                <w:highlight w:val="darkGray"/>
              </w:rPr>
            </w:pPr>
          </w:p>
          <w:p w14:paraId="4D946C46" w14:textId="77777777" w:rsidR="00E5138C" w:rsidRPr="00B9629C" w:rsidRDefault="00E5138C" w:rsidP="00B469CB">
            <w:pPr>
              <w:pStyle w:val="NoSpacing"/>
              <w:jc w:val="left"/>
              <w:rPr>
                <w:highlight w:val="darkGray"/>
              </w:rPr>
            </w:pPr>
          </w:p>
          <w:p w14:paraId="520A9B83" w14:textId="77777777" w:rsidR="00E5138C" w:rsidRPr="00B9629C" w:rsidRDefault="00E5138C" w:rsidP="00B469CB">
            <w:pPr>
              <w:pStyle w:val="NoSpacing"/>
              <w:jc w:val="left"/>
              <w:rPr>
                <w:highlight w:val="darkGray"/>
              </w:rPr>
            </w:pPr>
          </w:p>
        </w:tc>
      </w:tr>
      <w:tr w:rsidR="00E5138C" w:rsidRPr="00B9629C" w14:paraId="2B935B2E" w14:textId="77777777" w:rsidTr="00A82B17">
        <w:tc>
          <w:tcPr>
            <w:tcW w:w="558" w:type="pct"/>
          </w:tcPr>
          <w:p w14:paraId="2A989F06" w14:textId="77777777" w:rsidR="00E5138C" w:rsidRPr="00B9629C" w:rsidRDefault="00E5138C" w:rsidP="00B469CB">
            <w:pPr>
              <w:pStyle w:val="NoSpacing"/>
              <w:jc w:val="left"/>
              <w:rPr>
                <w:highlight w:val="darkGray"/>
              </w:rPr>
            </w:pPr>
            <w:r w:rsidRPr="00B9629C">
              <w:rPr>
                <w:highlight w:val="darkGray"/>
              </w:rPr>
              <w:t xml:space="preserve">InSTI </w:t>
            </w:r>
          </w:p>
        </w:tc>
        <w:tc>
          <w:tcPr>
            <w:tcW w:w="920" w:type="pct"/>
          </w:tcPr>
          <w:p w14:paraId="3C197A54" w14:textId="61070E3F" w:rsidR="00E5138C" w:rsidRPr="00B9629C" w:rsidRDefault="00E5138C" w:rsidP="00B469CB">
            <w:pPr>
              <w:pStyle w:val="NoSpacing"/>
              <w:jc w:val="left"/>
              <w:rPr>
                <w:highlight w:val="darkGray"/>
              </w:rPr>
            </w:pPr>
            <w:r w:rsidRPr="00B9629C">
              <w:rPr>
                <w:highlight w:val="darkGray"/>
              </w:rPr>
              <w:t xml:space="preserve">DTG </w:t>
            </w:r>
          </w:p>
        </w:tc>
        <w:tc>
          <w:tcPr>
            <w:tcW w:w="1414" w:type="pct"/>
          </w:tcPr>
          <w:p w14:paraId="3876B77E" w14:textId="72EC219C" w:rsidR="00E5138C" w:rsidRPr="00B9629C" w:rsidRDefault="00E5138C" w:rsidP="00B469CB">
            <w:pPr>
              <w:pStyle w:val="NoSpacing"/>
              <w:jc w:val="left"/>
              <w:rPr>
                <w:highlight w:val="darkGray"/>
              </w:rPr>
            </w:pPr>
            <w:r w:rsidRPr="00B9629C">
              <w:rPr>
                <w:highlight w:val="darkGray"/>
              </w:rPr>
              <w:t>Significant reduction in concentration of DTG</w:t>
            </w:r>
            <w:r w:rsidR="00724290" w:rsidRPr="00B9629C">
              <w:rPr>
                <w:highlight w:val="darkGray"/>
              </w:rPr>
              <w:t>.</w:t>
            </w:r>
          </w:p>
        </w:tc>
        <w:tc>
          <w:tcPr>
            <w:tcW w:w="2107" w:type="pct"/>
          </w:tcPr>
          <w:p w14:paraId="72C6D087" w14:textId="77EFA26B" w:rsidR="00E5138C" w:rsidRPr="00B9629C" w:rsidRDefault="00311748" w:rsidP="00B469CB">
            <w:pPr>
              <w:pStyle w:val="NoSpacing"/>
              <w:jc w:val="left"/>
              <w:rPr>
                <w:highlight w:val="darkGray"/>
              </w:rPr>
            </w:pPr>
            <w:r w:rsidRPr="00B9629C">
              <w:rPr>
                <w:highlight w:val="darkGray"/>
              </w:rPr>
              <w:t>I</w:t>
            </w:r>
            <w:r w:rsidR="00E5138C" w:rsidRPr="00B9629C">
              <w:rPr>
                <w:highlight w:val="darkGray"/>
              </w:rPr>
              <w:t xml:space="preserve">ncreased </w:t>
            </w:r>
            <w:r w:rsidRPr="00B9629C">
              <w:rPr>
                <w:highlight w:val="darkGray"/>
              </w:rPr>
              <w:t xml:space="preserve">dose frequency </w:t>
            </w:r>
            <w:r w:rsidR="00F869C6" w:rsidRPr="00B9629C">
              <w:rPr>
                <w:highlight w:val="darkGray"/>
              </w:rPr>
              <w:t>to 50 mg 12 hourly.</w:t>
            </w:r>
          </w:p>
          <w:p w14:paraId="3D6A217C" w14:textId="4B7349A5" w:rsidR="00F869C6" w:rsidRPr="00B9629C" w:rsidRDefault="00F869C6" w:rsidP="00B469CB">
            <w:pPr>
              <w:pStyle w:val="NoSpacing"/>
              <w:jc w:val="left"/>
              <w:rPr>
                <w:highlight w:val="darkGray"/>
              </w:rPr>
            </w:pPr>
            <w:r w:rsidRPr="00B9629C">
              <w:rPr>
                <w:b/>
                <w:highlight w:val="darkGray"/>
              </w:rPr>
              <w:t>Note:</w:t>
            </w:r>
            <w:r w:rsidRPr="00B9629C">
              <w:rPr>
                <w:highlight w:val="darkGray"/>
              </w:rPr>
              <w:t xml:space="preserve"> Continue increased dose for 2 weeks after rifampicin is stopped, then decrease to usual dose.</w:t>
            </w:r>
          </w:p>
        </w:tc>
      </w:tr>
      <w:tr w:rsidR="00E5138C" w:rsidRPr="00B9629C" w14:paraId="65E62176" w14:textId="77777777" w:rsidTr="00A82B17">
        <w:tc>
          <w:tcPr>
            <w:tcW w:w="558" w:type="pct"/>
            <w:vMerge w:val="restart"/>
          </w:tcPr>
          <w:p w14:paraId="6EBC9F0B" w14:textId="77777777" w:rsidR="00E5138C" w:rsidRPr="00B9629C" w:rsidRDefault="00E5138C" w:rsidP="00B469CB">
            <w:pPr>
              <w:pStyle w:val="NoSpacing"/>
              <w:jc w:val="left"/>
              <w:rPr>
                <w:highlight w:val="darkGray"/>
              </w:rPr>
            </w:pPr>
            <w:r w:rsidRPr="00B9629C">
              <w:rPr>
                <w:highlight w:val="darkGray"/>
              </w:rPr>
              <w:t xml:space="preserve">PI </w:t>
            </w:r>
          </w:p>
        </w:tc>
        <w:tc>
          <w:tcPr>
            <w:tcW w:w="920" w:type="pct"/>
          </w:tcPr>
          <w:p w14:paraId="552E520B" w14:textId="27A98158" w:rsidR="00E5138C" w:rsidRPr="00B9629C" w:rsidRDefault="00E5138C" w:rsidP="00B469CB">
            <w:pPr>
              <w:pStyle w:val="NoSpacing"/>
              <w:jc w:val="left"/>
              <w:rPr>
                <w:highlight w:val="darkGray"/>
              </w:rPr>
            </w:pPr>
            <w:r w:rsidRPr="00B9629C">
              <w:rPr>
                <w:highlight w:val="darkGray"/>
              </w:rPr>
              <w:t>LPV/r</w:t>
            </w:r>
            <w:r w:rsidR="00042E17" w:rsidRPr="00B9629C">
              <w:rPr>
                <w:highlight w:val="darkGray"/>
              </w:rPr>
              <w:t xml:space="preserve"> </w:t>
            </w:r>
            <w:r w:rsidRPr="00B9629C">
              <w:rPr>
                <w:highlight w:val="darkGray"/>
              </w:rPr>
              <w:t xml:space="preserve"> </w:t>
            </w:r>
          </w:p>
        </w:tc>
        <w:tc>
          <w:tcPr>
            <w:tcW w:w="1414" w:type="pct"/>
          </w:tcPr>
          <w:p w14:paraId="6D0E634F" w14:textId="7845F187" w:rsidR="00E5138C" w:rsidRPr="00B9629C" w:rsidRDefault="00E5138C" w:rsidP="00B469CB">
            <w:pPr>
              <w:pStyle w:val="NoSpacing"/>
              <w:jc w:val="left"/>
              <w:rPr>
                <w:highlight w:val="darkGray"/>
              </w:rPr>
            </w:pPr>
            <w:r w:rsidRPr="00B9629C">
              <w:rPr>
                <w:highlight w:val="darkGray"/>
              </w:rPr>
              <w:t>LPV plasma concentrations significantly decreased</w:t>
            </w:r>
            <w:r w:rsidR="00724290" w:rsidRPr="00B9629C">
              <w:rPr>
                <w:highlight w:val="darkGray"/>
              </w:rPr>
              <w:t>.</w:t>
            </w:r>
          </w:p>
        </w:tc>
        <w:tc>
          <w:tcPr>
            <w:tcW w:w="2107" w:type="pct"/>
          </w:tcPr>
          <w:p w14:paraId="5C04BC71" w14:textId="7B9B67FC" w:rsidR="00E5138C" w:rsidRPr="00B9629C" w:rsidRDefault="00E5138C" w:rsidP="00B469CB">
            <w:pPr>
              <w:pStyle w:val="NoSpacing"/>
              <w:jc w:val="left"/>
              <w:rPr>
                <w:highlight w:val="darkGray"/>
              </w:rPr>
            </w:pPr>
            <w:r w:rsidRPr="00B9629C">
              <w:rPr>
                <w:highlight w:val="darkGray"/>
              </w:rPr>
              <w:t>Double the dose of LPV/r to 800/200 mg 12-hourly.</w:t>
            </w:r>
          </w:p>
          <w:p w14:paraId="09A592F1" w14:textId="77777777" w:rsidR="00107E0C" w:rsidRPr="00B9629C" w:rsidRDefault="00E5138C" w:rsidP="00B469CB">
            <w:pPr>
              <w:pStyle w:val="NoSpacing"/>
              <w:jc w:val="left"/>
              <w:rPr>
                <w:highlight w:val="darkGray"/>
              </w:rPr>
            </w:pPr>
            <w:r w:rsidRPr="00B9629C">
              <w:rPr>
                <w:rStyle w:val="Strong"/>
                <w:highlight w:val="darkGray"/>
              </w:rPr>
              <w:t>Note:</w:t>
            </w:r>
            <w:r w:rsidRPr="00B9629C">
              <w:rPr>
                <w:highlight w:val="darkGray"/>
              </w:rPr>
              <w:t xml:space="preserve"> </w:t>
            </w:r>
            <w:r w:rsidRPr="00B9629C">
              <w:rPr>
                <w:b/>
                <w:highlight w:val="darkGray"/>
              </w:rPr>
              <w:t xml:space="preserve">There is an increased risk of ALT/AST elevations and gastrointestinal disorders. </w:t>
            </w:r>
            <w:r w:rsidR="001218E9" w:rsidRPr="00B9629C">
              <w:rPr>
                <w:b/>
                <w:highlight w:val="darkGray"/>
              </w:rPr>
              <w:t>Increase d</w:t>
            </w:r>
            <w:r w:rsidRPr="00B9629C">
              <w:rPr>
                <w:b/>
                <w:highlight w:val="darkGray"/>
              </w:rPr>
              <w:t>ose gradually over 1-2 weeks.</w:t>
            </w:r>
            <w:r w:rsidRPr="00B9629C">
              <w:rPr>
                <w:highlight w:val="darkGray"/>
              </w:rPr>
              <w:t xml:space="preserve"> </w:t>
            </w:r>
          </w:p>
          <w:p w14:paraId="3CBE26E0" w14:textId="7A79779D" w:rsidR="00E5138C" w:rsidRPr="00B9629C" w:rsidRDefault="00107E0C" w:rsidP="00B469CB">
            <w:pPr>
              <w:pStyle w:val="NoSpacing"/>
              <w:jc w:val="left"/>
              <w:rPr>
                <w:highlight w:val="darkGray"/>
              </w:rPr>
            </w:pPr>
            <w:r w:rsidRPr="00B9629C">
              <w:rPr>
                <w:highlight w:val="darkGray"/>
              </w:rPr>
              <w:t>Adjusted dose should be continued for 2 weeks after rifampicin is stopped.</w:t>
            </w:r>
            <w:r w:rsidRPr="00B9629C">
              <w:rPr>
                <w:rFonts w:cs="Arial"/>
                <w:sz w:val="14"/>
                <w:szCs w:val="16"/>
                <w:highlight w:val="darkGray"/>
              </w:rPr>
              <w:t xml:space="preserve"> </w:t>
            </w:r>
            <w:r w:rsidR="00E5138C" w:rsidRPr="00B9629C">
              <w:rPr>
                <w:highlight w:val="darkGray"/>
              </w:rPr>
              <w:t xml:space="preserve"> </w:t>
            </w:r>
          </w:p>
        </w:tc>
      </w:tr>
      <w:tr w:rsidR="00E5138C" w:rsidRPr="00B9629C" w14:paraId="79447794" w14:textId="77777777" w:rsidTr="00A82B17">
        <w:tc>
          <w:tcPr>
            <w:tcW w:w="558" w:type="pct"/>
            <w:vMerge/>
          </w:tcPr>
          <w:p w14:paraId="489E8DA6" w14:textId="77777777" w:rsidR="00E5138C" w:rsidRPr="00B9629C" w:rsidRDefault="00E5138C" w:rsidP="00B469CB">
            <w:pPr>
              <w:pStyle w:val="NoSpacing"/>
              <w:jc w:val="left"/>
              <w:rPr>
                <w:highlight w:val="darkGray"/>
              </w:rPr>
            </w:pPr>
          </w:p>
        </w:tc>
        <w:tc>
          <w:tcPr>
            <w:tcW w:w="920" w:type="pct"/>
          </w:tcPr>
          <w:p w14:paraId="05ACF4B9" w14:textId="77777777" w:rsidR="00E5138C" w:rsidRPr="00B9629C" w:rsidRDefault="00E5138C" w:rsidP="00B469CB">
            <w:pPr>
              <w:pStyle w:val="NoSpacing"/>
              <w:jc w:val="left"/>
              <w:rPr>
                <w:highlight w:val="darkGray"/>
              </w:rPr>
            </w:pPr>
            <w:r w:rsidRPr="00B9629C">
              <w:rPr>
                <w:highlight w:val="darkGray"/>
              </w:rPr>
              <w:t xml:space="preserve">All other PIs </w:t>
            </w:r>
          </w:p>
        </w:tc>
        <w:tc>
          <w:tcPr>
            <w:tcW w:w="1414" w:type="pct"/>
          </w:tcPr>
          <w:p w14:paraId="57350165" w14:textId="2E4FCF97" w:rsidR="00E5138C" w:rsidRPr="00B9629C" w:rsidRDefault="00E5138C" w:rsidP="00B469CB">
            <w:pPr>
              <w:pStyle w:val="NoSpacing"/>
              <w:jc w:val="left"/>
              <w:rPr>
                <w:highlight w:val="darkGray"/>
              </w:rPr>
            </w:pPr>
            <w:r w:rsidRPr="00B9629C">
              <w:rPr>
                <w:highlight w:val="darkGray"/>
              </w:rPr>
              <w:t>Marked reduction in PI concentrations</w:t>
            </w:r>
            <w:r w:rsidR="00724290" w:rsidRPr="00B9629C">
              <w:rPr>
                <w:highlight w:val="darkGray"/>
              </w:rPr>
              <w:t>.</w:t>
            </w:r>
          </w:p>
        </w:tc>
        <w:tc>
          <w:tcPr>
            <w:tcW w:w="2107" w:type="pct"/>
          </w:tcPr>
          <w:p w14:paraId="278375A1" w14:textId="348A31E4" w:rsidR="00E5138C" w:rsidRPr="00B9629C" w:rsidRDefault="00E5138C" w:rsidP="0022015C">
            <w:pPr>
              <w:pStyle w:val="NoSpacing"/>
              <w:jc w:val="both"/>
              <w:rPr>
                <w:highlight w:val="darkGray"/>
              </w:rPr>
            </w:pPr>
            <w:r w:rsidRPr="00B9629C">
              <w:rPr>
                <w:highlight w:val="darkGray"/>
              </w:rPr>
              <w:t>Do not prescribe concomitantly – replace rifampicin with rifabutin 150 mg daily</w:t>
            </w:r>
            <w:r w:rsidR="0022015C" w:rsidRPr="00B9629C">
              <w:rPr>
                <w:highlight w:val="darkGray"/>
              </w:rPr>
              <w:t>.</w:t>
            </w:r>
          </w:p>
        </w:tc>
      </w:tr>
    </w:tbl>
    <w:p w14:paraId="7CB325A5" w14:textId="77777777" w:rsidR="00F869C6" w:rsidRPr="00B9629C" w:rsidRDefault="00F869C6" w:rsidP="00F869C6">
      <w:pPr>
        <w:pStyle w:val="Medicinebullet1"/>
        <w:jc w:val="both"/>
        <w:rPr>
          <w:rFonts w:cs="Arial"/>
          <w:color w:val="000000"/>
          <w:sz w:val="20"/>
          <w:highlight w:val="darkGray"/>
        </w:rPr>
      </w:pPr>
      <w:r w:rsidRPr="00B9629C">
        <w:rPr>
          <w:rFonts w:cs="Arial"/>
          <w:b/>
          <w:color w:val="000000"/>
          <w:sz w:val="16"/>
          <w:highlight w:val="darkGray"/>
        </w:rPr>
        <w:t>Table 11.4:</w:t>
      </w:r>
      <w:r w:rsidRPr="00B9629C">
        <w:rPr>
          <w:rFonts w:cs="Arial"/>
          <w:color w:val="000000"/>
          <w:sz w:val="16"/>
          <w:highlight w:val="darkGray"/>
        </w:rPr>
        <w:t xml:space="preserve"> ART interactions with rifampicin and dose-adjustment recommendations</w:t>
      </w:r>
    </w:p>
    <w:tbl>
      <w:tblPr>
        <w:tblpPr w:leftFromText="180" w:rightFromText="180" w:vertAnchor="text" w:horzAnchor="margin" w:tblpXSpec="right" w:tblpY="54"/>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9"/>
      </w:tblGrid>
      <w:tr w:rsidR="00F869C6" w:rsidRPr="00B9629C" w14:paraId="53A11DA2" w14:textId="77777777" w:rsidTr="00F12F3B">
        <w:trPr>
          <w:trHeight w:val="60"/>
        </w:trPr>
        <w:tc>
          <w:tcPr>
            <w:tcW w:w="879" w:type="dxa"/>
            <w:shd w:val="clear" w:color="auto" w:fill="auto"/>
          </w:tcPr>
          <w:p w14:paraId="7DE84B63" w14:textId="77777777" w:rsidR="00F869C6" w:rsidRPr="00B9629C" w:rsidRDefault="00F869C6" w:rsidP="00F12F3B">
            <w:pPr>
              <w:keepLines/>
              <w:spacing w:before="0" w:after="0"/>
              <w:outlineLvl w:val="0"/>
              <w:rPr>
                <w:rFonts w:eastAsiaTheme="majorEastAsia" w:cs="Arial"/>
                <w:bCs/>
                <w:i/>
                <w:sz w:val="14"/>
                <w:szCs w:val="16"/>
                <w:highlight w:val="darkGray"/>
              </w:rPr>
            </w:pPr>
            <w:r w:rsidRPr="00B9629C">
              <w:rPr>
                <w:rFonts w:eastAsiaTheme="majorEastAsia" w:cs="Arial"/>
                <w:bCs/>
                <w:i/>
                <w:sz w:val="14"/>
                <w:szCs w:val="16"/>
                <w:highlight w:val="darkGray"/>
              </w:rPr>
              <w:t>LoE:IIIb</w:t>
            </w:r>
            <w:r w:rsidRPr="00B9629C">
              <w:rPr>
                <w:rFonts w:eastAsiaTheme="majorEastAsia" w:cs="Arial"/>
                <w:bCs/>
                <w:i/>
                <w:sz w:val="14"/>
                <w:szCs w:val="16"/>
                <w:highlight w:val="darkGray"/>
                <w:vertAlign w:val="superscript"/>
              </w:rPr>
              <w:endnoteReference w:id="26"/>
            </w:r>
          </w:p>
        </w:tc>
      </w:tr>
    </w:tbl>
    <w:p w14:paraId="52AC5DA7" w14:textId="20DD2F69" w:rsidR="00E5138C" w:rsidRPr="00B9629C" w:rsidRDefault="00E5138C" w:rsidP="00F869C6">
      <w:pPr>
        <w:pStyle w:val="TableText"/>
        <w:rPr>
          <w:highlight w:val="darkGray"/>
        </w:rPr>
      </w:pPr>
    </w:p>
    <w:p w14:paraId="21A6ED0F" w14:textId="0D28D52B" w:rsidR="00C04651" w:rsidRPr="00B9629C" w:rsidRDefault="00C04651" w:rsidP="00B94754">
      <w:pPr>
        <w:pStyle w:val="TableText"/>
        <w:rPr>
          <w:highlight w:val="darkGray"/>
        </w:rPr>
      </w:pPr>
    </w:p>
    <w:p w14:paraId="6D2071B1" w14:textId="15DB29A5" w:rsidR="00C04651" w:rsidRPr="00B9629C" w:rsidRDefault="0029223A" w:rsidP="00C04651">
      <w:pPr>
        <w:widowControl w:val="0"/>
        <w:autoSpaceDE w:val="0"/>
        <w:autoSpaceDN w:val="0"/>
        <w:adjustRightInd w:val="0"/>
        <w:spacing w:before="0" w:after="0"/>
        <w:jc w:val="both"/>
        <w:rPr>
          <w:rFonts w:eastAsia="Times New Roman" w:cs="Arial"/>
          <w:color w:val="000000"/>
          <w:spacing w:val="0"/>
          <w:highlight w:val="darkGray"/>
        </w:rPr>
      </w:pPr>
      <w:r w:rsidRPr="00B9629C">
        <w:rPr>
          <w:rFonts w:eastAsia="Times New Roman" w:cs="Arial"/>
          <w:color w:val="000000"/>
          <w:spacing w:val="0"/>
          <w:highlight w:val="darkGray"/>
        </w:rPr>
        <w:t>In p</w:t>
      </w:r>
      <w:r w:rsidR="0022015C" w:rsidRPr="00B9629C">
        <w:rPr>
          <w:rFonts w:eastAsia="Times New Roman" w:cs="Arial"/>
          <w:color w:val="000000"/>
          <w:spacing w:val="0"/>
          <w:highlight w:val="darkGray"/>
        </w:rPr>
        <w:t>atients</w:t>
      </w:r>
      <w:r w:rsidR="00C04651" w:rsidRPr="00B9629C">
        <w:rPr>
          <w:rFonts w:eastAsia="Times New Roman" w:cs="Arial"/>
          <w:color w:val="000000"/>
          <w:spacing w:val="0"/>
          <w:highlight w:val="darkGray"/>
        </w:rPr>
        <w:t xml:space="preserve"> on atazanavir or darunavir, or if double dose LPV/r is not tolerated, replace rifampicin with</w:t>
      </w:r>
      <w:r w:rsidR="00B3576F" w:rsidRPr="00B9629C">
        <w:rPr>
          <w:rFonts w:eastAsia="Times New Roman" w:cs="Arial"/>
          <w:color w:val="000000"/>
          <w:spacing w:val="0"/>
          <w:highlight w:val="darkGray"/>
        </w:rPr>
        <w:t xml:space="preserve"> rifabutin</w:t>
      </w:r>
      <w:r w:rsidR="0022015C" w:rsidRPr="00B9629C">
        <w:rPr>
          <w:rFonts w:eastAsia="Times New Roman" w:cs="Arial"/>
          <w:color w:val="000000"/>
          <w:spacing w:val="0"/>
          <w:highlight w:val="darkGray"/>
        </w:rPr>
        <w:t xml:space="preserve"> (doctor prescribed) – see Adult H</w:t>
      </w:r>
      <w:r w:rsidRPr="00B9629C">
        <w:rPr>
          <w:rFonts w:eastAsia="Times New Roman" w:cs="Arial"/>
          <w:color w:val="000000"/>
          <w:spacing w:val="0"/>
          <w:highlight w:val="darkGray"/>
        </w:rPr>
        <w:t>o</w:t>
      </w:r>
      <w:r w:rsidR="0022015C" w:rsidRPr="00B9629C">
        <w:rPr>
          <w:rFonts w:eastAsia="Times New Roman" w:cs="Arial"/>
          <w:color w:val="000000"/>
          <w:spacing w:val="0"/>
          <w:highlight w:val="darkGray"/>
        </w:rPr>
        <w:t>spital L</w:t>
      </w:r>
      <w:r w:rsidR="00B3576F" w:rsidRPr="00B9629C">
        <w:rPr>
          <w:rFonts w:eastAsia="Times New Roman" w:cs="Arial"/>
          <w:color w:val="000000"/>
          <w:spacing w:val="0"/>
          <w:highlight w:val="darkGray"/>
        </w:rPr>
        <w:t xml:space="preserve">evel </w:t>
      </w:r>
      <w:r w:rsidR="0022015C" w:rsidRPr="00B9629C">
        <w:rPr>
          <w:rFonts w:eastAsia="Times New Roman" w:cs="Arial"/>
          <w:color w:val="000000"/>
          <w:spacing w:val="0"/>
          <w:highlight w:val="darkGray"/>
        </w:rPr>
        <w:t>STGs and EML</w:t>
      </w:r>
      <w:r w:rsidR="003553F6" w:rsidRPr="00B9629C">
        <w:rPr>
          <w:rFonts w:eastAsia="Times New Roman" w:cs="Arial"/>
          <w:color w:val="000000"/>
          <w:spacing w:val="0"/>
          <w:highlight w:val="darkGray"/>
        </w:rPr>
        <w:t>,</w:t>
      </w:r>
      <w:r w:rsidR="0022015C" w:rsidRPr="00B9629C">
        <w:rPr>
          <w:rFonts w:eastAsia="Times New Roman" w:cs="Arial"/>
          <w:color w:val="000000"/>
          <w:spacing w:val="0"/>
          <w:highlight w:val="darkGray"/>
        </w:rPr>
        <w:t xml:space="preserve"> </w:t>
      </w:r>
      <w:r w:rsidR="00135592" w:rsidRPr="00B9629C">
        <w:rPr>
          <w:rFonts w:eastAsia="Times New Roman" w:cs="Arial"/>
          <w:color w:val="000000"/>
          <w:spacing w:val="0"/>
          <w:highlight w:val="darkGray"/>
        </w:rPr>
        <w:t>S</w:t>
      </w:r>
      <w:r w:rsidR="00B3576F" w:rsidRPr="00B9629C">
        <w:rPr>
          <w:rFonts w:eastAsia="Times New Roman" w:cs="Arial"/>
          <w:color w:val="000000"/>
          <w:spacing w:val="0"/>
          <w:highlight w:val="darkGray"/>
        </w:rPr>
        <w:t xml:space="preserve">ection </w:t>
      </w:r>
      <w:r w:rsidR="0022015C" w:rsidRPr="00B9629C">
        <w:rPr>
          <w:rFonts w:eastAsia="Times New Roman" w:cs="Arial"/>
          <w:color w:val="000000"/>
          <w:spacing w:val="0"/>
          <w:highlight w:val="darkGray"/>
        </w:rPr>
        <w:t>10.1: Antiretroviral therapy.</w:t>
      </w:r>
    </w:p>
    <w:tbl>
      <w:tblPr>
        <w:tblStyle w:val="SamplePHCTable"/>
        <w:tblW w:w="5000" w:type="pct"/>
        <w:tblLook w:val="04A0" w:firstRow="1" w:lastRow="0" w:firstColumn="1" w:lastColumn="0" w:noHBand="0" w:noVBand="1"/>
      </w:tblPr>
      <w:tblGrid>
        <w:gridCol w:w="1524"/>
        <w:gridCol w:w="1800"/>
        <w:gridCol w:w="3357"/>
      </w:tblGrid>
      <w:tr w:rsidR="00E5138C" w:rsidRPr="00B9629C" w14:paraId="638D7137" w14:textId="77777777" w:rsidTr="00FD1B5C">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tcPr>
          <w:p w14:paraId="204DCBBA" w14:textId="777835FA" w:rsidR="00E5138C" w:rsidRPr="00B9629C" w:rsidRDefault="0022015C" w:rsidP="0022015C">
            <w:pPr>
              <w:pStyle w:val="NoSpacing"/>
              <w:spacing w:before="120" w:after="120"/>
              <w:rPr>
                <w:highlight w:val="darkGray"/>
              </w:rPr>
            </w:pPr>
            <w:r w:rsidRPr="00B9629C">
              <w:rPr>
                <w:highlight w:val="darkGray"/>
              </w:rPr>
              <w:t>DRUG INTERACTIONS WITH DOLUTEGRAVIR</w:t>
            </w:r>
          </w:p>
        </w:tc>
      </w:tr>
      <w:tr w:rsidR="00E5138C" w:rsidRPr="00B9629C" w14:paraId="6F9517FF" w14:textId="77777777" w:rsidTr="00831610">
        <w:trPr>
          <w:trHeight w:val="20"/>
        </w:trPr>
        <w:tc>
          <w:tcPr>
            <w:tcW w:w="1141" w:type="pct"/>
          </w:tcPr>
          <w:p w14:paraId="443D323B" w14:textId="77777777" w:rsidR="00E5138C" w:rsidRPr="00B9629C" w:rsidRDefault="00E5138C" w:rsidP="00352DAD">
            <w:pPr>
              <w:pStyle w:val="NoSpacing"/>
              <w:rPr>
                <w:rStyle w:val="Strong"/>
                <w:highlight w:val="darkGray"/>
              </w:rPr>
            </w:pPr>
            <w:r w:rsidRPr="00B9629C">
              <w:rPr>
                <w:rStyle w:val="Strong"/>
                <w:highlight w:val="darkGray"/>
              </w:rPr>
              <w:t>Interacting medicine</w:t>
            </w:r>
          </w:p>
        </w:tc>
        <w:tc>
          <w:tcPr>
            <w:tcW w:w="1347" w:type="pct"/>
          </w:tcPr>
          <w:p w14:paraId="7ABCE6CF" w14:textId="77777777" w:rsidR="00E5138C" w:rsidRPr="00B9629C" w:rsidRDefault="00E5138C" w:rsidP="00352DAD">
            <w:pPr>
              <w:pStyle w:val="NoSpacing"/>
              <w:rPr>
                <w:rStyle w:val="Strong"/>
                <w:highlight w:val="darkGray"/>
              </w:rPr>
            </w:pPr>
            <w:r w:rsidRPr="00B9629C">
              <w:rPr>
                <w:rStyle w:val="Strong"/>
                <w:highlight w:val="darkGray"/>
              </w:rPr>
              <w:t>Effect of co-administration</w:t>
            </w:r>
          </w:p>
        </w:tc>
        <w:tc>
          <w:tcPr>
            <w:tcW w:w="2512" w:type="pct"/>
          </w:tcPr>
          <w:p w14:paraId="3BEF8A30" w14:textId="77777777" w:rsidR="00E5138C" w:rsidRPr="00B9629C" w:rsidRDefault="00E5138C" w:rsidP="00352DAD">
            <w:pPr>
              <w:pStyle w:val="NoSpacing"/>
              <w:rPr>
                <w:rStyle w:val="Strong"/>
                <w:highlight w:val="darkGray"/>
              </w:rPr>
            </w:pPr>
            <w:r w:rsidRPr="00B9629C">
              <w:rPr>
                <w:rStyle w:val="Strong"/>
                <w:highlight w:val="darkGray"/>
              </w:rPr>
              <w:t>Recommendation</w:t>
            </w:r>
          </w:p>
        </w:tc>
      </w:tr>
      <w:tr w:rsidR="00E5138C" w:rsidRPr="00B9629C" w14:paraId="6ACAF3AC" w14:textId="77777777" w:rsidTr="00831610">
        <w:trPr>
          <w:trHeight w:val="20"/>
        </w:trPr>
        <w:tc>
          <w:tcPr>
            <w:tcW w:w="1141" w:type="pct"/>
          </w:tcPr>
          <w:p w14:paraId="45C67331" w14:textId="77777777" w:rsidR="00E5138C" w:rsidRPr="00B9629C" w:rsidRDefault="00E5138C" w:rsidP="00F71B50">
            <w:pPr>
              <w:pStyle w:val="NoSpacing"/>
              <w:jc w:val="left"/>
              <w:rPr>
                <w:highlight w:val="darkGray"/>
                <w:u w:val="single"/>
              </w:rPr>
            </w:pPr>
            <w:r w:rsidRPr="00B9629C">
              <w:rPr>
                <w:highlight w:val="darkGray"/>
                <w:u w:val="single"/>
              </w:rPr>
              <w:t>Preparations containing polyvalent cations (Mg</w:t>
            </w:r>
            <w:r w:rsidRPr="00B9629C">
              <w:rPr>
                <w:highlight w:val="darkGray"/>
                <w:u w:val="single"/>
                <w:vertAlign w:val="superscript"/>
              </w:rPr>
              <w:t>2+</w:t>
            </w:r>
            <w:r w:rsidRPr="00B9629C">
              <w:rPr>
                <w:highlight w:val="darkGray"/>
                <w:u w:val="single"/>
              </w:rPr>
              <w:t>, Ca</w:t>
            </w:r>
            <w:r w:rsidRPr="00B9629C">
              <w:rPr>
                <w:highlight w:val="darkGray"/>
                <w:u w:val="single"/>
                <w:vertAlign w:val="superscript"/>
              </w:rPr>
              <w:t>2+</w:t>
            </w:r>
            <w:r w:rsidRPr="00B9629C">
              <w:rPr>
                <w:highlight w:val="darkGray"/>
                <w:u w:val="single"/>
              </w:rPr>
              <w:t>, Fe</w:t>
            </w:r>
            <w:r w:rsidRPr="00B9629C">
              <w:rPr>
                <w:highlight w:val="darkGray"/>
                <w:u w:val="single"/>
                <w:vertAlign w:val="superscript"/>
              </w:rPr>
              <w:t>2+</w:t>
            </w:r>
            <w:r w:rsidRPr="00B9629C">
              <w:rPr>
                <w:highlight w:val="darkGray"/>
                <w:u w:val="single"/>
              </w:rPr>
              <w:t>, Al</w:t>
            </w:r>
            <w:r w:rsidRPr="00B9629C">
              <w:rPr>
                <w:highlight w:val="darkGray"/>
                <w:u w:val="single"/>
                <w:vertAlign w:val="superscript"/>
              </w:rPr>
              <w:t>3+</w:t>
            </w:r>
            <w:r w:rsidRPr="00B9629C">
              <w:rPr>
                <w:highlight w:val="darkGray"/>
                <w:u w:val="single"/>
              </w:rPr>
              <w:t>, Zn</w:t>
            </w:r>
            <w:r w:rsidRPr="00B9629C">
              <w:rPr>
                <w:highlight w:val="darkGray"/>
                <w:u w:val="single"/>
                <w:vertAlign w:val="superscript"/>
              </w:rPr>
              <w:t>2+</w:t>
            </w:r>
            <w:r w:rsidRPr="00B9629C">
              <w:rPr>
                <w:highlight w:val="darkGray"/>
                <w:u w:val="single"/>
              </w:rPr>
              <w:t>)</w:t>
            </w:r>
          </w:p>
          <w:p w14:paraId="693E0BD2" w14:textId="77777777" w:rsidR="00E5138C" w:rsidRPr="00B9629C" w:rsidRDefault="00E5138C" w:rsidP="00F71B50">
            <w:pPr>
              <w:pStyle w:val="NoSpacing"/>
              <w:jc w:val="left"/>
              <w:rPr>
                <w:highlight w:val="darkGray"/>
              </w:rPr>
            </w:pPr>
            <w:r w:rsidRPr="00B9629C">
              <w:rPr>
                <w:highlight w:val="darkGray"/>
              </w:rPr>
              <w:t>Antacids</w:t>
            </w:r>
          </w:p>
          <w:p w14:paraId="0C585C25" w14:textId="77777777" w:rsidR="00E5138C" w:rsidRPr="00B9629C" w:rsidRDefault="00E5138C" w:rsidP="00F71B50">
            <w:pPr>
              <w:pStyle w:val="NoSpacing"/>
              <w:jc w:val="left"/>
              <w:rPr>
                <w:highlight w:val="darkGray"/>
              </w:rPr>
            </w:pPr>
            <w:r w:rsidRPr="00B9629C">
              <w:rPr>
                <w:highlight w:val="darkGray"/>
              </w:rPr>
              <w:t>Sucralfate</w:t>
            </w:r>
          </w:p>
          <w:p w14:paraId="3A1F6AB6" w14:textId="57A0A77E" w:rsidR="00E5138C" w:rsidRPr="00B9629C" w:rsidRDefault="00417DEC" w:rsidP="00F71B50">
            <w:pPr>
              <w:pStyle w:val="NoSpacing"/>
              <w:jc w:val="left"/>
              <w:rPr>
                <w:highlight w:val="darkGray"/>
              </w:rPr>
            </w:pPr>
            <w:r w:rsidRPr="00B9629C">
              <w:rPr>
                <w:highlight w:val="darkGray"/>
              </w:rPr>
              <w:t xml:space="preserve">Mineral </w:t>
            </w:r>
            <w:r w:rsidR="00E5138C" w:rsidRPr="00B9629C">
              <w:rPr>
                <w:highlight w:val="darkGray"/>
              </w:rPr>
              <w:t>supplements</w:t>
            </w:r>
          </w:p>
          <w:p w14:paraId="624DA70D" w14:textId="77777777" w:rsidR="00E5138C" w:rsidRPr="00B9629C" w:rsidRDefault="00E5138C" w:rsidP="00F71B50">
            <w:pPr>
              <w:pStyle w:val="NoSpacing"/>
              <w:jc w:val="left"/>
              <w:rPr>
                <w:highlight w:val="darkGray"/>
              </w:rPr>
            </w:pPr>
          </w:p>
        </w:tc>
        <w:tc>
          <w:tcPr>
            <w:tcW w:w="1347" w:type="pct"/>
          </w:tcPr>
          <w:p w14:paraId="580E7CE1" w14:textId="3B7C986F" w:rsidR="00E5138C" w:rsidRPr="00B9629C" w:rsidRDefault="00E5138C" w:rsidP="00F71B50">
            <w:pPr>
              <w:pStyle w:val="NoSpacing"/>
              <w:jc w:val="left"/>
              <w:rPr>
                <w:highlight w:val="darkGray"/>
              </w:rPr>
            </w:pPr>
            <w:r w:rsidRPr="00B9629C">
              <w:rPr>
                <w:highlight w:val="darkGray"/>
              </w:rPr>
              <w:t>Significant reduction in concentration of DTG</w:t>
            </w:r>
            <w:r w:rsidR="002E7E26" w:rsidRPr="00B9629C">
              <w:rPr>
                <w:highlight w:val="darkGray"/>
              </w:rPr>
              <w:t>.</w:t>
            </w:r>
          </w:p>
        </w:tc>
        <w:tc>
          <w:tcPr>
            <w:tcW w:w="2512" w:type="pct"/>
          </w:tcPr>
          <w:p w14:paraId="3ED9B7CD" w14:textId="447D4B48" w:rsidR="00E5138C" w:rsidRPr="00B9629C" w:rsidRDefault="00E5138C" w:rsidP="00F71B50">
            <w:pPr>
              <w:pStyle w:val="NoSpacing"/>
              <w:jc w:val="left"/>
              <w:rPr>
                <w:highlight w:val="darkGray"/>
              </w:rPr>
            </w:pPr>
            <w:r w:rsidRPr="00B9629C">
              <w:rPr>
                <w:highlight w:val="darkGray"/>
              </w:rPr>
              <w:t>Magnesium- and aluminum-containing preparations should be taken 6 hours before or 2 hours after DTG</w:t>
            </w:r>
            <w:r w:rsidR="002E7E26" w:rsidRPr="00B9629C">
              <w:rPr>
                <w:highlight w:val="darkGray"/>
              </w:rPr>
              <w:t>.</w:t>
            </w:r>
          </w:p>
          <w:p w14:paraId="416D1B2C" w14:textId="77777777" w:rsidR="00E5138C" w:rsidRPr="00B9629C" w:rsidRDefault="00E5138C" w:rsidP="00F71B50">
            <w:pPr>
              <w:pStyle w:val="NoSpacing"/>
              <w:jc w:val="left"/>
              <w:rPr>
                <w:highlight w:val="darkGray"/>
              </w:rPr>
            </w:pPr>
          </w:p>
          <w:p w14:paraId="11B84FD0" w14:textId="2FEF38A7" w:rsidR="00E5138C" w:rsidRPr="00B9629C" w:rsidRDefault="00E5138C" w:rsidP="00F71B50">
            <w:pPr>
              <w:pStyle w:val="NoSpacing"/>
              <w:jc w:val="left"/>
              <w:rPr>
                <w:highlight w:val="darkGray"/>
              </w:rPr>
            </w:pPr>
            <w:r w:rsidRPr="00B9629C">
              <w:rPr>
                <w:highlight w:val="darkGray"/>
              </w:rPr>
              <w:t xml:space="preserve">Calcium- and iron- containing preparations can be taken </w:t>
            </w:r>
            <w:r w:rsidR="001930F7" w:rsidRPr="00B9629C">
              <w:rPr>
                <w:highlight w:val="darkGray"/>
              </w:rPr>
              <w:t xml:space="preserve">concomitantly </w:t>
            </w:r>
            <w:r w:rsidRPr="00B9629C">
              <w:rPr>
                <w:highlight w:val="darkGray"/>
              </w:rPr>
              <w:t xml:space="preserve">with DTG </w:t>
            </w:r>
            <w:r w:rsidR="00A56383" w:rsidRPr="00B9629C">
              <w:rPr>
                <w:highlight w:val="darkGray"/>
              </w:rPr>
              <w:t xml:space="preserve">when </w:t>
            </w:r>
            <w:r w:rsidR="00F71C10" w:rsidRPr="00B9629C">
              <w:rPr>
                <w:highlight w:val="darkGray"/>
              </w:rPr>
              <w:t xml:space="preserve">administered </w:t>
            </w:r>
            <w:r w:rsidRPr="00B9629C">
              <w:rPr>
                <w:highlight w:val="darkGray"/>
              </w:rPr>
              <w:t>with food.</w:t>
            </w:r>
          </w:p>
          <w:p w14:paraId="66DA9675" w14:textId="77777777" w:rsidR="00E5138C" w:rsidRPr="00B9629C" w:rsidRDefault="00E5138C" w:rsidP="00F71B50">
            <w:pPr>
              <w:pStyle w:val="NoSpacing"/>
              <w:jc w:val="left"/>
              <w:rPr>
                <w:highlight w:val="darkGray"/>
              </w:rPr>
            </w:pPr>
            <w:r w:rsidRPr="00B9629C">
              <w:rPr>
                <w:rStyle w:val="Strong"/>
                <w:highlight w:val="darkGray"/>
              </w:rPr>
              <w:t>Note:</w:t>
            </w:r>
            <w:r w:rsidRPr="00B9629C">
              <w:rPr>
                <w:highlight w:val="darkGray"/>
              </w:rPr>
              <w:t xml:space="preserve"> Iron and calcium should be taken at least 4 hours apart from one another.</w:t>
            </w:r>
          </w:p>
        </w:tc>
      </w:tr>
      <w:tr w:rsidR="00E5138C" w:rsidRPr="00B9629C" w14:paraId="6871CA1E" w14:textId="77777777" w:rsidTr="00831610">
        <w:trPr>
          <w:trHeight w:val="20"/>
        </w:trPr>
        <w:tc>
          <w:tcPr>
            <w:tcW w:w="1141" w:type="pct"/>
          </w:tcPr>
          <w:p w14:paraId="06F30047" w14:textId="77777777" w:rsidR="00E5138C" w:rsidRPr="00B9629C" w:rsidRDefault="00E5138C" w:rsidP="00F71B50">
            <w:pPr>
              <w:pStyle w:val="NoSpacing"/>
              <w:jc w:val="left"/>
              <w:rPr>
                <w:rStyle w:val="Emphasis"/>
                <w:highlight w:val="darkGray"/>
                <w:u w:val="single"/>
              </w:rPr>
            </w:pPr>
            <w:r w:rsidRPr="00B9629C">
              <w:rPr>
                <w:rStyle w:val="Emphasis"/>
                <w:highlight w:val="darkGray"/>
                <w:u w:val="single"/>
              </w:rPr>
              <w:lastRenderedPageBreak/>
              <w:t>Anticonvulsants:</w:t>
            </w:r>
          </w:p>
          <w:p w14:paraId="335E61C3" w14:textId="1B5C4D34" w:rsidR="00E5138C" w:rsidRPr="00B9629C" w:rsidRDefault="00E5138C" w:rsidP="00F71B50">
            <w:pPr>
              <w:pStyle w:val="NoSpacing"/>
              <w:jc w:val="left"/>
              <w:rPr>
                <w:highlight w:val="darkGray"/>
              </w:rPr>
            </w:pPr>
            <w:r w:rsidRPr="00B9629C">
              <w:rPr>
                <w:highlight w:val="darkGray"/>
              </w:rPr>
              <w:t xml:space="preserve">Carbamazepine </w:t>
            </w:r>
            <w:r w:rsidR="003273F4" w:rsidRPr="00B9629C">
              <w:rPr>
                <w:highlight w:val="darkGray"/>
              </w:rPr>
              <w:br/>
            </w:r>
            <w:r w:rsidRPr="00B9629C">
              <w:rPr>
                <w:highlight w:val="darkGray"/>
              </w:rPr>
              <w:t>Phenobarbital</w:t>
            </w:r>
          </w:p>
          <w:p w14:paraId="46D931A2" w14:textId="77777777" w:rsidR="00E5138C" w:rsidRPr="00B9629C" w:rsidRDefault="00E5138C" w:rsidP="00F71B50">
            <w:pPr>
              <w:pStyle w:val="NoSpacing"/>
              <w:jc w:val="left"/>
              <w:rPr>
                <w:highlight w:val="darkGray"/>
              </w:rPr>
            </w:pPr>
            <w:r w:rsidRPr="00B9629C">
              <w:rPr>
                <w:highlight w:val="darkGray"/>
              </w:rPr>
              <w:t>Phenytoin</w:t>
            </w:r>
          </w:p>
          <w:p w14:paraId="1551EBBF" w14:textId="77777777" w:rsidR="00E5138C" w:rsidRPr="00B9629C" w:rsidRDefault="00E5138C" w:rsidP="00F71B50">
            <w:pPr>
              <w:pStyle w:val="NoSpacing"/>
              <w:jc w:val="left"/>
              <w:rPr>
                <w:highlight w:val="darkGray"/>
              </w:rPr>
            </w:pPr>
          </w:p>
        </w:tc>
        <w:tc>
          <w:tcPr>
            <w:tcW w:w="1347" w:type="pct"/>
          </w:tcPr>
          <w:p w14:paraId="02CDB457" w14:textId="2956A037" w:rsidR="00E5138C" w:rsidRPr="00B9629C" w:rsidRDefault="00E5138C" w:rsidP="00F71B50">
            <w:pPr>
              <w:pStyle w:val="NoSpacing"/>
              <w:jc w:val="left"/>
              <w:rPr>
                <w:highlight w:val="darkGray"/>
              </w:rPr>
            </w:pPr>
            <w:r w:rsidRPr="00B9629C">
              <w:rPr>
                <w:highlight w:val="darkGray"/>
              </w:rPr>
              <w:t xml:space="preserve">Significant reduction in </w:t>
            </w:r>
            <w:r w:rsidR="003273F4" w:rsidRPr="00B9629C">
              <w:rPr>
                <w:highlight w:val="darkGray"/>
              </w:rPr>
              <w:t xml:space="preserve">DTG </w:t>
            </w:r>
            <w:r w:rsidRPr="00B9629C">
              <w:rPr>
                <w:highlight w:val="darkGray"/>
              </w:rPr>
              <w:t>concentration</w:t>
            </w:r>
            <w:r w:rsidR="002E7E26" w:rsidRPr="00B9629C">
              <w:rPr>
                <w:highlight w:val="darkGray"/>
              </w:rPr>
              <w:t>.</w:t>
            </w:r>
          </w:p>
        </w:tc>
        <w:tc>
          <w:tcPr>
            <w:tcW w:w="2512" w:type="pct"/>
          </w:tcPr>
          <w:p w14:paraId="288C18B1" w14:textId="77777777" w:rsidR="00E5138C" w:rsidRPr="00B9629C" w:rsidRDefault="00E5138C" w:rsidP="00F71B50">
            <w:pPr>
              <w:pStyle w:val="NoSpacing"/>
              <w:jc w:val="left"/>
              <w:rPr>
                <w:highlight w:val="darkGray"/>
              </w:rPr>
            </w:pPr>
            <w:r w:rsidRPr="00B9629C">
              <w:rPr>
                <w:highlight w:val="darkGray"/>
              </w:rPr>
              <w:t>Avoid co-administration if possible.</w:t>
            </w:r>
          </w:p>
          <w:p w14:paraId="219C02CA" w14:textId="77777777" w:rsidR="00E5138C" w:rsidRPr="00B9629C" w:rsidRDefault="00E5138C" w:rsidP="00F71B50">
            <w:pPr>
              <w:pStyle w:val="NoSpacing"/>
              <w:jc w:val="left"/>
              <w:rPr>
                <w:highlight w:val="darkGray"/>
              </w:rPr>
            </w:pPr>
            <w:r w:rsidRPr="00B9629C">
              <w:rPr>
                <w:highlight w:val="darkGray"/>
              </w:rPr>
              <w:t>Consider valproate or lamotrigine.</w:t>
            </w:r>
          </w:p>
          <w:p w14:paraId="7923CA9C" w14:textId="77777777" w:rsidR="00E5138C" w:rsidRPr="00B9629C" w:rsidRDefault="00E5138C" w:rsidP="00F71B50">
            <w:pPr>
              <w:pStyle w:val="NoSpacing"/>
              <w:jc w:val="left"/>
              <w:rPr>
                <w:highlight w:val="darkGray"/>
              </w:rPr>
            </w:pPr>
          </w:p>
          <w:p w14:paraId="6D20AA98" w14:textId="77777777" w:rsidR="00E5138C" w:rsidRPr="00B9629C" w:rsidRDefault="00E5138C" w:rsidP="00F71B50">
            <w:pPr>
              <w:pStyle w:val="NoSpacing"/>
              <w:jc w:val="left"/>
              <w:rPr>
                <w:rStyle w:val="Emphasis"/>
                <w:highlight w:val="darkGray"/>
                <w:u w:val="single"/>
              </w:rPr>
            </w:pPr>
            <w:r w:rsidRPr="00B9629C">
              <w:rPr>
                <w:rStyle w:val="Emphasis"/>
                <w:highlight w:val="darkGray"/>
                <w:u w:val="single"/>
              </w:rPr>
              <w:t>For carbamazepine:</w:t>
            </w:r>
          </w:p>
          <w:p w14:paraId="193D8707" w14:textId="14FC8216" w:rsidR="00E5138C" w:rsidRPr="00B9629C" w:rsidRDefault="00E5138C" w:rsidP="00F71B50">
            <w:pPr>
              <w:pStyle w:val="NoSpacing"/>
              <w:jc w:val="left"/>
              <w:rPr>
                <w:highlight w:val="darkGray"/>
              </w:rPr>
            </w:pPr>
            <w:r w:rsidRPr="00B9629C">
              <w:rPr>
                <w:highlight w:val="darkGray"/>
              </w:rPr>
              <w:t>Double DTG</w:t>
            </w:r>
            <w:r w:rsidR="00042E17" w:rsidRPr="00B9629C">
              <w:rPr>
                <w:highlight w:val="darkGray"/>
              </w:rPr>
              <w:t xml:space="preserve"> </w:t>
            </w:r>
            <w:r w:rsidRPr="00B9629C">
              <w:rPr>
                <w:highlight w:val="darkGray"/>
              </w:rPr>
              <w:t>dose to 50 mg 12 hourly.</w:t>
            </w:r>
          </w:p>
        </w:tc>
      </w:tr>
      <w:tr w:rsidR="00E5138C" w:rsidRPr="00B9629C" w14:paraId="3982D839" w14:textId="77777777" w:rsidTr="00831610">
        <w:trPr>
          <w:trHeight w:val="20"/>
        </w:trPr>
        <w:tc>
          <w:tcPr>
            <w:tcW w:w="1141" w:type="pct"/>
          </w:tcPr>
          <w:p w14:paraId="7063D20A" w14:textId="77777777" w:rsidR="00E5138C" w:rsidRPr="00B9629C" w:rsidRDefault="00E5138C" w:rsidP="00F71B50">
            <w:pPr>
              <w:pStyle w:val="NoSpacing"/>
              <w:jc w:val="left"/>
              <w:rPr>
                <w:highlight w:val="darkGray"/>
              </w:rPr>
            </w:pPr>
            <w:r w:rsidRPr="00B9629C">
              <w:rPr>
                <w:highlight w:val="darkGray"/>
              </w:rPr>
              <w:t>Metformin</w:t>
            </w:r>
          </w:p>
        </w:tc>
        <w:tc>
          <w:tcPr>
            <w:tcW w:w="1347" w:type="pct"/>
          </w:tcPr>
          <w:p w14:paraId="407DAE1D" w14:textId="6BA20A7E" w:rsidR="00E5138C" w:rsidRPr="00B9629C" w:rsidRDefault="00831610" w:rsidP="00F71B50">
            <w:pPr>
              <w:pStyle w:val="NoSpacing"/>
              <w:jc w:val="left"/>
              <w:rPr>
                <w:highlight w:val="darkGray"/>
              </w:rPr>
            </w:pPr>
            <w:r w:rsidRPr="00B9629C">
              <w:rPr>
                <w:highlight w:val="darkGray"/>
              </w:rPr>
              <w:t>May increase metformin concentration</w:t>
            </w:r>
            <w:r w:rsidR="002E7E26" w:rsidRPr="00B9629C">
              <w:rPr>
                <w:highlight w:val="darkGray"/>
              </w:rPr>
              <w:t>.</w:t>
            </w:r>
          </w:p>
        </w:tc>
        <w:tc>
          <w:tcPr>
            <w:tcW w:w="2512" w:type="pct"/>
          </w:tcPr>
          <w:p w14:paraId="6BED2D33" w14:textId="77777777" w:rsidR="00831610" w:rsidRPr="00B9629C" w:rsidRDefault="00831610" w:rsidP="00831610">
            <w:pPr>
              <w:widowControl w:val="0"/>
              <w:suppressAutoHyphens/>
              <w:autoSpaceDE w:val="0"/>
              <w:autoSpaceDN w:val="0"/>
              <w:adjustRightInd w:val="0"/>
              <w:spacing w:before="0" w:after="0"/>
              <w:jc w:val="both"/>
              <w:textAlignment w:val="baseline"/>
              <w:rPr>
                <w:rStyle w:val="Emphasis"/>
                <w:highlight w:val="darkGray"/>
                <w:u w:val="single"/>
              </w:rPr>
            </w:pPr>
            <w:r w:rsidRPr="00B9629C">
              <w:rPr>
                <w:rStyle w:val="Emphasis"/>
                <w:highlight w:val="darkGray"/>
                <w:u w:val="single"/>
              </w:rPr>
              <w:t>Metformin initiation:</w:t>
            </w:r>
          </w:p>
          <w:p w14:paraId="04EBF784" w14:textId="46DB9DF6" w:rsidR="00831610" w:rsidRPr="00B9629C" w:rsidRDefault="00831610" w:rsidP="00831610">
            <w:pPr>
              <w:pStyle w:val="NoSpacing"/>
              <w:jc w:val="left"/>
              <w:rPr>
                <w:highlight w:val="darkGray"/>
              </w:rPr>
            </w:pPr>
            <w:r w:rsidRPr="00B9629C">
              <w:rPr>
                <w:highlight w:val="darkGray"/>
              </w:rPr>
              <w:t>Initiate metformin at a low dose (500</w:t>
            </w:r>
            <w:r w:rsidR="002E7E26" w:rsidRPr="00B9629C">
              <w:rPr>
                <w:highlight w:val="darkGray"/>
              </w:rPr>
              <w:t xml:space="preserve"> mg to </w:t>
            </w:r>
            <w:r w:rsidRPr="00B9629C">
              <w:rPr>
                <w:highlight w:val="darkGray"/>
              </w:rPr>
              <w:t>1000</w:t>
            </w:r>
            <w:r w:rsidR="002E7E26" w:rsidRPr="00B9629C">
              <w:rPr>
                <w:highlight w:val="darkGray"/>
              </w:rPr>
              <w:t xml:space="preserve"> </w:t>
            </w:r>
            <w:r w:rsidRPr="00B9629C">
              <w:rPr>
                <w:highlight w:val="darkGray"/>
              </w:rPr>
              <w:t>mg total daily dose), titrating up as needed. Do not exceed 2 g daily.</w:t>
            </w:r>
          </w:p>
          <w:p w14:paraId="110E5433" w14:textId="77777777" w:rsidR="00831610" w:rsidRPr="00B9629C" w:rsidRDefault="00831610" w:rsidP="00831610">
            <w:pPr>
              <w:widowControl w:val="0"/>
              <w:suppressAutoHyphens/>
              <w:autoSpaceDE w:val="0"/>
              <w:autoSpaceDN w:val="0"/>
              <w:adjustRightInd w:val="0"/>
              <w:spacing w:before="0" w:after="0"/>
              <w:jc w:val="both"/>
              <w:textAlignment w:val="baseline"/>
              <w:rPr>
                <w:rStyle w:val="Emphasis"/>
                <w:highlight w:val="darkGray"/>
                <w:u w:val="single"/>
              </w:rPr>
            </w:pPr>
          </w:p>
          <w:p w14:paraId="22227EC6" w14:textId="77777777" w:rsidR="00831610" w:rsidRPr="00B9629C" w:rsidRDefault="00831610" w:rsidP="00831610">
            <w:pPr>
              <w:widowControl w:val="0"/>
              <w:suppressAutoHyphens/>
              <w:autoSpaceDE w:val="0"/>
              <w:autoSpaceDN w:val="0"/>
              <w:adjustRightInd w:val="0"/>
              <w:spacing w:before="0" w:after="0"/>
              <w:jc w:val="both"/>
              <w:textAlignment w:val="baseline"/>
              <w:rPr>
                <w:rStyle w:val="Emphasis"/>
                <w:highlight w:val="darkGray"/>
                <w:u w:val="single"/>
              </w:rPr>
            </w:pPr>
            <w:r w:rsidRPr="00B9629C">
              <w:rPr>
                <w:rStyle w:val="Emphasis"/>
                <w:highlight w:val="darkGray"/>
                <w:u w:val="single"/>
              </w:rPr>
              <w:t>DTG initiation:</w:t>
            </w:r>
          </w:p>
          <w:p w14:paraId="20664793" w14:textId="4D8863D3" w:rsidR="00831610" w:rsidRPr="00B9629C" w:rsidRDefault="00831610" w:rsidP="00831610">
            <w:pPr>
              <w:widowControl w:val="0"/>
              <w:suppressAutoHyphens/>
              <w:autoSpaceDE w:val="0"/>
              <w:autoSpaceDN w:val="0"/>
              <w:adjustRightInd w:val="0"/>
              <w:spacing w:before="0" w:after="0"/>
              <w:jc w:val="both"/>
              <w:textAlignment w:val="baseline"/>
              <w:rPr>
                <w:iCs/>
                <w:highlight w:val="darkGray"/>
              </w:rPr>
            </w:pPr>
            <w:r w:rsidRPr="00B9629C">
              <w:rPr>
                <w:iCs/>
                <w:highlight w:val="darkGray"/>
              </w:rPr>
              <w:t xml:space="preserve">If patient stabilised on metformin dose </w:t>
            </w:r>
            <w:r w:rsidRPr="00B9629C">
              <w:rPr>
                <w:rFonts w:cs="Arial"/>
                <w:iCs/>
                <w:highlight w:val="darkGray"/>
              </w:rPr>
              <w:t>≤</w:t>
            </w:r>
            <w:r w:rsidRPr="00B9629C">
              <w:rPr>
                <w:iCs/>
                <w:highlight w:val="darkGray"/>
              </w:rPr>
              <w:t xml:space="preserve"> 2g daily, retain metformin dose and monitor for side effects. </w:t>
            </w:r>
          </w:p>
          <w:p w14:paraId="0ED49D7C" w14:textId="7247B27E" w:rsidR="00831610" w:rsidRPr="00B9629C" w:rsidRDefault="00831610" w:rsidP="00831610">
            <w:pPr>
              <w:widowControl w:val="0"/>
              <w:suppressAutoHyphens/>
              <w:autoSpaceDE w:val="0"/>
              <w:autoSpaceDN w:val="0"/>
              <w:adjustRightInd w:val="0"/>
              <w:spacing w:before="0" w:after="0"/>
              <w:jc w:val="both"/>
              <w:textAlignment w:val="baseline"/>
              <w:rPr>
                <w:highlight w:val="darkGray"/>
              </w:rPr>
            </w:pPr>
            <w:r w:rsidRPr="00B9629C">
              <w:rPr>
                <w:iCs/>
                <w:highlight w:val="darkGray"/>
              </w:rPr>
              <w:t>If patient stabilised on &gt;2</w:t>
            </w:r>
            <w:r w:rsidR="002E7E26" w:rsidRPr="00B9629C">
              <w:rPr>
                <w:iCs/>
                <w:highlight w:val="darkGray"/>
              </w:rPr>
              <w:t xml:space="preserve"> </w:t>
            </w:r>
            <w:r w:rsidRPr="00B9629C">
              <w:rPr>
                <w:iCs/>
                <w:highlight w:val="darkGray"/>
              </w:rPr>
              <w:t xml:space="preserve">g daily, reduce dose of </w:t>
            </w:r>
            <w:r w:rsidRPr="00B9629C">
              <w:rPr>
                <w:highlight w:val="darkGray"/>
              </w:rPr>
              <w:t xml:space="preserve">metformin to </w:t>
            </w:r>
            <w:r w:rsidRPr="00B9629C">
              <w:rPr>
                <w:rFonts w:cs="Arial"/>
                <w:highlight w:val="darkGray"/>
              </w:rPr>
              <w:t>≤</w:t>
            </w:r>
            <w:r w:rsidRPr="00B9629C">
              <w:rPr>
                <w:highlight w:val="darkGray"/>
              </w:rPr>
              <w:t>2</w:t>
            </w:r>
            <w:r w:rsidR="002E7E26" w:rsidRPr="00B9629C">
              <w:rPr>
                <w:highlight w:val="darkGray"/>
              </w:rPr>
              <w:t xml:space="preserve"> </w:t>
            </w:r>
            <w:r w:rsidRPr="00B9629C">
              <w:rPr>
                <w:highlight w:val="darkGray"/>
              </w:rPr>
              <w:t>g daily and monitor.</w:t>
            </w:r>
          </w:p>
          <w:p w14:paraId="0DAA51AD" w14:textId="77777777" w:rsidR="00831610" w:rsidRPr="00B9629C" w:rsidRDefault="00831610" w:rsidP="00831610">
            <w:pPr>
              <w:widowControl w:val="0"/>
              <w:suppressAutoHyphens/>
              <w:autoSpaceDE w:val="0"/>
              <w:autoSpaceDN w:val="0"/>
              <w:adjustRightInd w:val="0"/>
              <w:spacing w:before="0" w:after="0"/>
              <w:jc w:val="both"/>
              <w:textAlignment w:val="baseline"/>
              <w:rPr>
                <w:rFonts w:eastAsia="Aptos" w:cs="Arial"/>
                <w:color w:val="FF0000"/>
                <w:spacing w:val="0"/>
                <w:kern w:val="3"/>
                <w:sz w:val="14"/>
                <w:szCs w:val="14"/>
                <w:highlight w:val="darkGray"/>
              </w:rPr>
            </w:pPr>
          </w:p>
          <w:p w14:paraId="5A0C1317" w14:textId="77777777" w:rsidR="00831610" w:rsidRPr="00B9629C" w:rsidRDefault="00831610" w:rsidP="00831610">
            <w:pPr>
              <w:widowControl w:val="0"/>
              <w:suppressAutoHyphens/>
              <w:autoSpaceDE w:val="0"/>
              <w:autoSpaceDN w:val="0"/>
              <w:adjustRightInd w:val="0"/>
              <w:spacing w:before="0" w:after="0"/>
              <w:jc w:val="both"/>
              <w:textAlignment w:val="baseline"/>
              <w:rPr>
                <w:rStyle w:val="Emphasis"/>
                <w:highlight w:val="darkGray"/>
                <w:u w:val="single"/>
              </w:rPr>
            </w:pPr>
            <w:r w:rsidRPr="00B9629C">
              <w:rPr>
                <w:rStyle w:val="Emphasis"/>
                <w:highlight w:val="darkGray"/>
                <w:u w:val="single"/>
              </w:rPr>
              <w:t>Patients with renal impairment:</w:t>
            </w:r>
          </w:p>
          <w:p w14:paraId="1C4550DE" w14:textId="155CF1BD" w:rsidR="00831610" w:rsidRPr="00B9629C" w:rsidRDefault="00831610" w:rsidP="00831610">
            <w:pPr>
              <w:widowControl w:val="0"/>
              <w:suppressAutoHyphens/>
              <w:autoSpaceDE w:val="0"/>
              <w:autoSpaceDN w:val="0"/>
              <w:adjustRightInd w:val="0"/>
              <w:spacing w:before="0" w:after="0"/>
              <w:jc w:val="both"/>
              <w:textAlignment w:val="baseline"/>
              <w:rPr>
                <w:iCs/>
                <w:highlight w:val="darkGray"/>
              </w:rPr>
            </w:pPr>
            <w:r w:rsidRPr="00B9629C">
              <w:rPr>
                <w:iCs/>
                <w:highlight w:val="darkGray"/>
              </w:rPr>
              <w:t>Close monitoring of renal function required. Do not co-prescribe if eGFR &lt;30</w:t>
            </w:r>
            <w:r w:rsidR="002E7E26" w:rsidRPr="00B9629C">
              <w:rPr>
                <w:iCs/>
                <w:highlight w:val="darkGray"/>
              </w:rPr>
              <w:t xml:space="preserve"> </w:t>
            </w:r>
            <w:r w:rsidRPr="00B9629C">
              <w:rPr>
                <w:iCs/>
                <w:highlight w:val="darkGray"/>
              </w:rPr>
              <w:t>mL/min.</w:t>
            </w:r>
          </w:p>
          <w:p w14:paraId="308D5857" w14:textId="0CA68947" w:rsidR="00E5138C" w:rsidRPr="00B9629C" w:rsidRDefault="00E5138C" w:rsidP="006025AF">
            <w:pPr>
              <w:widowControl w:val="0"/>
              <w:suppressAutoHyphens/>
              <w:autoSpaceDE w:val="0"/>
              <w:autoSpaceDN w:val="0"/>
              <w:adjustRightInd w:val="0"/>
              <w:spacing w:before="0" w:after="0"/>
              <w:jc w:val="both"/>
              <w:textAlignment w:val="baseline"/>
              <w:rPr>
                <w:highlight w:val="darkGray"/>
              </w:rPr>
            </w:pPr>
          </w:p>
        </w:tc>
      </w:tr>
      <w:tr w:rsidR="00E5138C" w:rsidRPr="00B9629C" w14:paraId="74B5E7A4" w14:textId="77777777" w:rsidTr="00831610">
        <w:trPr>
          <w:trHeight w:val="20"/>
        </w:trPr>
        <w:tc>
          <w:tcPr>
            <w:tcW w:w="1141" w:type="pct"/>
          </w:tcPr>
          <w:p w14:paraId="6BADDBA5" w14:textId="77777777" w:rsidR="00E5138C" w:rsidRPr="00B9629C" w:rsidRDefault="00E5138C" w:rsidP="00F71B50">
            <w:pPr>
              <w:pStyle w:val="NoSpacing"/>
              <w:jc w:val="left"/>
              <w:rPr>
                <w:highlight w:val="darkGray"/>
              </w:rPr>
            </w:pPr>
            <w:r w:rsidRPr="00B9629C">
              <w:rPr>
                <w:highlight w:val="darkGray"/>
              </w:rPr>
              <w:t>Rifampicin</w:t>
            </w:r>
          </w:p>
        </w:tc>
        <w:tc>
          <w:tcPr>
            <w:tcW w:w="1347" w:type="pct"/>
          </w:tcPr>
          <w:p w14:paraId="07D03A16" w14:textId="577D294C" w:rsidR="00E5138C" w:rsidRPr="00B9629C" w:rsidRDefault="00E5138C" w:rsidP="00F71B50">
            <w:pPr>
              <w:pStyle w:val="NoSpacing"/>
              <w:jc w:val="left"/>
              <w:rPr>
                <w:highlight w:val="darkGray"/>
              </w:rPr>
            </w:pPr>
            <w:r w:rsidRPr="00B9629C">
              <w:rPr>
                <w:highlight w:val="darkGray"/>
              </w:rPr>
              <w:t>Significant reduction in DTG</w:t>
            </w:r>
            <w:r w:rsidR="00ED2020" w:rsidRPr="00B9629C">
              <w:rPr>
                <w:highlight w:val="darkGray"/>
              </w:rPr>
              <w:t xml:space="preserve"> concentration</w:t>
            </w:r>
          </w:p>
        </w:tc>
        <w:tc>
          <w:tcPr>
            <w:tcW w:w="2512" w:type="pct"/>
          </w:tcPr>
          <w:p w14:paraId="5A511C42" w14:textId="04A632A5" w:rsidR="00E5138C" w:rsidRPr="00B9629C" w:rsidRDefault="00E5138C" w:rsidP="00F71B50">
            <w:pPr>
              <w:pStyle w:val="NoSpacing"/>
              <w:jc w:val="left"/>
              <w:rPr>
                <w:highlight w:val="darkGray"/>
              </w:rPr>
            </w:pPr>
            <w:r w:rsidRPr="00B9629C">
              <w:rPr>
                <w:highlight w:val="darkGray"/>
              </w:rPr>
              <w:t>Double DTG</w:t>
            </w:r>
            <w:r w:rsidR="00042E17" w:rsidRPr="00B9629C">
              <w:rPr>
                <w:highlight w:val="darkGray"/>
              </w:rPr>
              <w:t xml:space="preserve"> </w:t>
            </w:r>
            <w:r w:rsidRPr="00B9629C">
              <w:rPr>
                <w:highlight w:val="darkGray"/>
              </w:rPr>
              <w:t>dose to 50 mg 12 hourly.</w:t>
            </w:r>
          </w:p>
        </w:tc>
      </w:tr>
    </w:tbl>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6"/>
      </w:tblGrid>
      <w:tr w:rsidR="008A660A" w:rsidRPr="00B9629C" w14:paraId="2B1FE6F7" w14:textId="77777777" w:rsidTr="00F12F3B">
        <w:tc>
          <w:tcPr>
            <w:tcW w:w="786" w:type="dxa"/>
            <w:shd w:val="clear" w:color="auto" w:fill="auto"/>
          </w:tcPr>
          <w:p w14:paraId="7037E382" w14:textId="77777777" w:rsidR="008A660A" w:rsidRPr="00B9629C" w:rsidRDefault="008A660A" w:rsidP="00F12F3B">
            <w:pPr>
              <w:keepLines/>
              <w:spacing w:before="0" w:after="0"/>
              <w:outlineLvl w:val="0"/>
              <w:rPr>
                <w:rFonts w:eastAsiaTheme="majorEastAsia" w:cs="Arial"/>
                <w:bCs/>
                <w:i/>
                <w:sz w:val="14"/>
                <w:szCs w:val="16"/>
                <w:highlight w:val="darkGray"/>
              </w:rPr>
            </w:pPr>
            <w:r w:rsidRPr="00B9629C">
              <w:rPr>
                <w:rFonts w:eastAsiaTheme="majorEastAsia" w:cs="Arial"/>
                <w:bCs/>
                <w:i/>
                <w:sz w:val="14"/>
                <w:szCs w:val="16"/>
                <w:highlight w:val="darkGray"/>
              </w:rPr>
              <w:t>LoE:IIIb</w:t>
            </w:r>
            <w:r w:rsidRPr="00B9629C">
              <w:rPr>
                <w:rStyle w:val="EndnoteReference"/>
                <w:rFonts w:cs="Arial"/>
                <w:bCs/>
                <w:i/>
                <w:sz w:val="14"/>
                <w:szCs w:val="16"/>
                <w:highlight w:val="darkGray"/>
              </w:rPr>
              <w:endnoteReference w:id="27"/>
            </w:r>
          </w:p>
        </w:tc>
      </w:tr>
    </w:tbl>
    <w:p w14:paraId="6006DEAC" w14:textId="534D25DC" w:rsidR="00E5138C" w:rsidRPr="00B9629C" w:rsidRDefault="003F5BA0" w:rsidP="003F5BA0">
      <w:pPr>
        <w:pStyle w:val="Medicinebullet1"/>
        <w:jc w:val="both"/>
        <w:rPr>
          <w:rFonts w:cs="Arial"/>
          <w:color w:val="000000"/>
          <w:sz w:val="20"/>
          <w:highlight w:val="darkGray"/>
        </w:rPr>
      </w:pPr>
      <w:r w:rsidRPr="00B9629C">
        <w:rPr>
          <w:rFonts w:cs="Arial"/>
          <w:b/>
          <w:color w:val="000000"/>
          <w:sz w:val="16"/>
          <w:highlight w:val="darkGray"/>
        </w:rPr>
        <w:t>Table 11.5:</w:t>
      </w:r>
      <w:r w:rsidRPr="00B9629C">
        <w:rPr>
          <w:rFonts w:cs="Arial"/>
          <w:color w:val="000000"/>
          <w:sz w:val="16"/>
          <w:highlight w:val="darkGray"/>
        </w:rPr>
        <w:t xml:space="preserve"> Drug interactions with DTG</w:t>
      </w:r>
    </w:p>
    <w:p w14:paraId="4FF76F9F" w14:textId="77777777" w:rsidR="00E5138C" w:rsidRPr="00B9629C" w:rsidRDefault="00E5138C" w:rsidP="00E5138C">
      <w:pPr>
        <w:pStyle w:val="NoSpacing"/>
        <w:rPr>
          <w:highlight w:val="darkGray"/>
        </w:rPr>
      </w:pPr>
    </w:p>
    <w:tbl>
      <w:tblPr>
        <w:tblStyle w:val="SamplePHCTable"/>
        <w:tblW w:w="5000" w:type="pct"/>
        <w:tblLook w:val="04A0" w:firstRow="1" w:lastRow="0" w:firstColumn="1" w:lastColumn="0" w:noHBand="0" w:noVBand="1"/>
      </w:tblPr>
      <w:tblGrid>
        <w:gridCol w:w="1705"/>
        <w:gridCol w:w="1980"/>
        <w:gridCol w:w="2996"/>
      </w:tblGrid>
      <w:tr w:rsidR="00E5138C" w:rsidRPr="00B9629C" w14:paraId="31BF8CB7" w14:textId="77777777" w:rsidTr="006D4144">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tcPr>
          <w:p w14:paraId="628209D1" w14:textId="77777777" w:rsidR="00E5138C" w:rsidRPr="00B9629C" w:rsidRDefault="00E5138C" w:rsidP="00352DAD">
            <w:pPr>
              <w:pStyle w:val="NoSpacing"/>
              <w:rPr>
                <w:highlight w:val="darkGray"/>
              </w:rPr>
            </w:pPr>
            <w:r w:rsidRPr="00B9629C">
              <w:rPr>
                <w:highlight w:val="darkGray"/>
              </w:rPr>
              <w:t>DRUG INTERACTIONS WITH BOOSTED PIs</w:t>
            </w:r>
          </w:p>
        </w:tc>
      </w:tr>
      <w:tr w:rsidR="00E5138C" w:rsidRPr="00B9629C" w14:paraId="46D80759" w14:textId="77777777" w:rsidTr="00014361">
        <w:trPr>
          <w:trHeight w:val="20"/>
        </w:trPr>
        <w:tc>
          <w:tcPr>
            <w:tcW w:w="1276" w:type="pct"/>
          </w:tcPr>
          <w:p w14:paraId="1C8610A4" w14:textId="77777777" w:rsidR="00E5138C" w:rsidRPr="00B9629C" w:rsidRDefault="00E5138C" w:rsidP="00352DAD">
            <w:pPr>
              <w:pStyle w:val="NoSpacing"/>
              <w:rPr>
                <w:rStyle w:val="Strong"/>
                <w:highlight w:val="darkGray"/>
              </w:rPr>
            </w:pPr>
            <w:r w:rsidRPr="00B9629C">
              <w:rPr>
                <w:rStyle w:val="Strong"/>
                <w:highlight w:val="darkGray"/>
              </w:rPr>
              <w:t>Interacting medicine</w:t>
            </w:r>
          </w:p>
        </w:tc>
        <w:tc>
          <w:tcPr>
            <w:tcW w:w="1482" w:type="pct"/>
          </w:tcPr>
          <w:p w14:paraId="5E3913FB" w14:textId="77777777" w:rsidR="00E5138C" w:rsidRPr="00B9629C" w:rsidRDefault="00E5138C" w:rsidP="00352DAD">
            <w:pPr>
              <w:pStyle w:val="NoSpacing"/>
              <w:rPr>
                <w:rStyle w:val="Strong"/>
                <w:highlight w:val="darkGray"/>
              </w:rPr>
            </w:pPr>
            <w:r w:rsidRPr="00B9629C">
              <w:rPr>
                <w:rStyle w:val="Strong"/>
                <w:highlight w:val="darkGray"/>
              </w:rPr>
              <w:t>Effect of co-administration</w:t>
            </w:r>
          </w:p>
        </w:tc>
        <w:tc>
          <w:tcPr>
            <w:tcW w:w="2242" w:type="pct"/>
          </w:tcPr>
          <w:p w14:paraId="4EC06B0F" w14:textId="77777777" w:rsidR="00E5138C" w:rsidRPr="00B9629C" w:rsidRDefault="00E5138C" w:rsidP="00352DAD">
            <w:pPr>
              <w:pStyle w:val="NoSpacing"/>
              <w:rPr>
                <w:rStyle w:val="Strong"/>
                <w:highlight w:val="darkGray"/>
              </w:rPr>
            </w:pPr>
            <w:r w:rsidRPr="00B9629C">
              <w:rPr>
                <w:rStyle w:val="Strong"/>
                <w:highlight w:val="darkGray"/>
              </w:rPr>
              <w:t>Recommendation</w:t>
            </w:r>
          </w:p>
        </w:tc>
      </w:tr>
      <w:tr w:rsidR="00E5138C" w:rsidRPr="00B9629C" w14:paraId="2E14E248" w14:textId="77777777" w:rsidTr="00014361">
        <w:trPr>
          <w:trHeight w:val="20"/>
        </w:trPr>
        <w:tc>
          <w:tcPr>
            <w:tcW w:w="1276" w:type="pct"/>
          </w:tcPr>
          <w:p w14:paraId="689EC68F" w14:textId="77777777" w:rsidR="00E5138C" w:rsidRPr="00B9629C" w:rsidRDefault="00E5138C" w:rsidP="00E53C93">
            <w:pPr>
              <w:pStyle w:val="NoSpacing"/>
              <w:jc w:val="left"/>
              <w:rPr>
                <w:highlight w:val="darkGray"/>
              </w:rPr>
            </w:pPr>
            <w:r w:rsidRPr="00B9629C">
              <w:rPr>
                <w:highlight w:val="darkGray"/>
              </w:rPr>
              <w:t xml:space="preserve">Substrates of cytochrome P450 3A4 (e.g. most statins, calcium channel blockers, most SSRIs, most benzodiazepines) </w:t>
            </w:r>
          </w:p>
        </w:tc>
        <w:tc>
          <w:tcPr>
            <w:tcW w:w="1482" w:type="pct"/>
          </w:tcPr>
          <w:p w14:paraId="2E344500" w14:textId="793F71D0" w:rsidR="00E5138C" w:rsidRPr="00B9629C" w:rsidRDefault="00E5138C" w:rsidP="00E53C93">
            <w:pPr>
              <w:pStyle w:val="NoSpacing"/>
              <w:jc w:val="left"/>
              <w:rPr>
                <w:highlight w:val="darkGray"/>
              </w:rPr>
            </w:pPr>
            <w:r w:rsidRPr="00B9629C">
              <w:rPr>
                <w:highlight w:val="darkGray"/>
              </w:rPr>
              <w:t xml:space="preserve">Significant increase in </w:t>
            </w:r>
            <w:r w:rsidR="00A53A79" w:rsidRPr="00B9629C">
              <w:rPr>
                <w:highlight w:val="darkGray"/>
              </w:rPr>
              <w:t xml:space="preserve">concentrations  </w:t>
            </w:r>
            <w:r w:rsidRPr="00B9629C">
              <w:rPr>
                <w:highlight w:val="darkGray"/>
              </w:rPr>
              <w:t>of CYP3A4 substrates</w:t>
            </w:r>
            <w:r w:rsidR="002E7E26" w:rsidRPr="00B9629C">
              <w:rPr>
                <w:highlight w:val="darkGray"/>
              </w:rPr>
              <w:t>.</w:t>
            </w:r>
          </w:p>
        </w:tc>
        <w:tc>
          <w:tcPr>
            <w:tcW w:w="2242" w:type="pct"/>
          </w:tcPr>
          <w:p w14:paraId="2647DDCE" w14:textId="32D5CEE2" w:rsidR="00E5138C" w:rsidRPr="00B9629C" w:rsidRDefault="00E5138C" w:rsidP="00E53C93">
            <w:pPr>
              <w:pStyle w:val="NoSpacing"/>
              <w:jc w:val="left"/>
              <w:rPr>
                <w:highlight w:val="darkGray"/>
              </w:rPr>
            </w:pPr>
            <w:r w:rsidRPr="00B9629C">
              <w:rPr>
                <w:highlight w:val="darkGray"/>
              </w:rPr>
              <w:t>Avoid co-administration or use lower doses of CYP3A4 substrates (always consult interaction resources)</w:t>
            </w:r>
            <w:r w:rsidR="002E7E26" w:rsidRPr="00B9629C">
              <w:rPr>
                <w:highlight w:val="darkGray"/>
              </w:rPr>
              <w:t>.</w:t>
            </w:r>
          </w:p>
        </w:tc>
      </w:tr>
      <w:tr w:rsidR="00E5138C" w:rsidRPr="00B9629C" w14:paraId="5B9032BF" w14:textId="77777777" w:rsidTr="00014361">
        <w:trPr>
          <w:trHeight w:val="20"/>
        </w:trPr>
        <w:tc>
          <w:tcPr>
            <w:tcW w:w="1276" w:type="pct"/>
          </w:tcPr>
          <w:p w14:paraId="7239B1B4" w14:textId="77777777" w:rsidR="00E5138C" w:rsidRPr="00B9629C" w:rsidRDefault="00E5138C" w:rsidP="00E53C93">
            <w:pPr>
              <w:pStyle w:val="NoSpacing"/>
              <w:jc w:val="left"/>
              <w:rPr>
                <w:rStyle w:val="Emphasis"/>
                <w:highlight w:val="darkGray"/>
                <w:u w:val="single"/>
              </w:rPr>
            </w:pPr>
            <w:r w:rsidRPr="00B9629C">
              <w:rPr>
                <w:rStyle w:val="Emphasis"/>
                <w:highlight w:val="darkGray"/>
                <w:u w:val="single"/>
              </w:rPr>
              <w:t>Anticonvulsants:</w:t>
            </w:r>
          </w:p>
          <w:p w14:paraId="2A634685" w14:textId="77777777" w:rsidR="00E5138C" w:rsidRPr="00B9629C" w:rsidRDefault="00E5138C" w:rsidP="00E53C93">
            <w:pPr>
              <w:pStyle w:val="NoSpacing"/>
              <w:jc w:val="left"/>
              <w:rPr>
                <w:highlight w:val="darkGray"/>
              </w:rPr>
            </w:pPr>
            <w:r w:rsidRPr="00B9629C">
              <w:rPr>
                <w:highlight w:val="darkGray"/>
              </w:rPr>
              <w:t>Carbamazepine Phenobarbital</w:t>
            </w:r>
          </w:p>
          <w:p w14:paraId="3D95272C" w14:textId="77777777" w:rsidR="00E5138C" w:rsidRPr="00B9629C" w:rsidRDefault="00E5138C" w:rsidP="00E53C93">
            <w:pPr>
              <w:pStyle w:val="NoSpacing"/>
              <w:jc w:val="left"/>
              <w:rPr>
                <w:highlight w:val="darkGray"/>
              </w:rPr>
            </w:pPr>
            <w:r w:rsidRPr="00B9629C">
              <w:rPr>
                <w:highlight w:val="darkGray"/>
              </w:rPr>
              <w:t>Phenytoin</w:t>
            </w:r>
          </w:p>
        </w:tc>
        <w:tc>
          <w:tcPr>
            <w:tcW w:w="1482" w:type="pct"/>
          </w:tcPr>
          <w:p w14:paraId="1E0C8812" w14:textId="2A0E549A" w:rsidR="00E5138C" w:rsidRPr="00B9629C" w:rsidRDefault="00E5138C" w:rsidP="00E53C93">
            <w:pPr>
              <w:pStyle w:val="NoSpacing"/>
              <w:jc w:val="left"/>
              <w:rPr>
                <w:highlight w:val="darkGray"/>
              </w:rPr>
            </w:pPr>
            <w:r w:rsidRPr="00B9629C">
              <w:rPr>
                <w:highlight w:val="darkGray"/>
              </w:rPr>
              <w:t>Significant reduction in concentration of PI</w:t>
            </w:r>
            <w:r w:rsidR="002E7E26" w:rsidRPr="00B9629C">
              <w:rPr>
                <w:highlight w:val="darkGray"/>
              </w:rPr>
              <w:t>.</w:t>
            </w:r>
          </w:p>
        </w:tc>
        <w:tc>
          <w:tcPr>
            <w:tcW w:w="2242" w:type="pct"/>
          </w:tcPr>
          <w:p w14:paraId="61CCE025" w14:textId="77777777" w:rsidR="00E5138C" w:rsidRPr="00B9629C" w:rsidRDefault="00E5138C" w:rsidP="00E53C93">
            <w:pPr>
              <w:pStyle w:val="NoSpacing"/>
              <w:jc w:val="left"/>
              <w:rPr>
                <w:highlight w:val="darkGray"/>
              </w:rPr>
            </w:pPr>
            <w:r w:rsidRPr="00B9629C">
              <w:rPr>
                <w:highlight w:val="darkGray"/>
              </w:rPr>
              <w:t>Avoid co-administration.</w:t>
            </w:r>
          </w:p>
          <w:p w14:paraId="5B475B8E" w14:textId="5FA59A2C" w:rsidR="00E5138C" w:rsidRPr="00B9629C" w:rsidRDefault="00E5138C" w:rsidP="00E53C93">
            <w:pPr>
              <w:pStyle w:val="NoSpacing"/>
              <w:jc w:val="left"/>
              <w:rPr>
                <w:highlight w:val="darkGray"/>
              </w:rPr>
            </w:pPr>
            <w:r w:rsidRPr="00B9629C">
              <w:rPr>
                <w:highlight w:val="darkGray"/>
              </w:rPr>
              <w:t>Consider valproate or lamotrigine.</w:t>
            </w:r>
          </w:p>
        </w:tc>
      </w:tr>
      <w:tr w:rsidR="00E5138C" w:rsidRPr="00B9629C" w14:paraId="1E1BB9F7" w14:textId="77777777" w:rsidTr="00014361">
        <w:trPr>
          <w:trHeight w:val="20"/>
        </w:trPr>
        <w:tc>
          <w:tcPr>
            <w:tcW w:w="1276" w:type="pct"/>
          </w:tcPr>
          <w:p w14:paraId="45F7B343" w14:textId="77777777" w:rsidR="00E5138C" w:rsidRPr="00B9629C" w:rsidRDefault="00E5138C" w:rsidP="00E53C93">
            <w:pPr>
              <w:pStyle w:val="NoSpacing"/>
              <w:jc w:val="left"/>
              <w:rPr>
                <w:highlight w:val="darkGray"/>
              </w:rPr>
            </w:pPr>
            <w:r w:rsidRPr="00B9629C">
              <w:rPr>
                <w:highlight w:val="darkGray"/>
              </w:rPr>
              <w:t>Proton pump inhibitors</w:t>
            </w:r>
          </w:p>
        </w:tc>
        <w:tc>
          <w:tcPr>
            <w:tcW w:w="1482" w:type="pct"/>
          </w:tcPr>
          <w:p w14:paraId="4AA4DE11" w14:textId="43977A98" w:rsidR="00E5138C" w:rsidRPr="00B9629C" w:rsidRDefault="00E5138C" w:rsidP="00E53C93">
            <w:pPr>
              <w:pStyle w:val="NoSpacing"/>
              <w:jc w:val="left"/>
              <w:rPr>
                <w:highlight w:val="darkGray"/>
              </w:rPr>
            </w:pPr>
            <w:r w:rsidRPr="00B9629C">
              <w:rPr>
                <w:highlight w:val="darkGray"/>
              </w:rPr>
              <w:t xml:space="preserve">Significant reduction in ATV  </w:t>
            </w:r>
            <w:r w:rsidR="00821662" w:rsidRPr="00B9629C">
              <w:rPr>
                <w:highlight w:val="darkGray"/>
              </w:rPr>
              <w:t>concentration</w:t>
            </w:r>
            <w:r w:rsidR="002E7E26" w:rsidRPr="00B9629C">
              <w:rPr>
                <w:highlight w:val="darkGray"/>
              </w:rPr>
              <w:t>.</w:t>
            </w:r>
          </w:p>
        </w:tc>
        <w:tc>
          <w:tcPr>
            <w:tcW w:w="2242" w:type="pct"/>
          </w:tcPr>
          <w:p w14:paraId="31E80C04" w14:textId="77777777" w:rsidR="00E5138C" w:rsidRPr="00B9629C" w:rsidRDefault="00E5138C" w:rsidP="00E53C93">
            <w:pPr>
              <w:pStyle w:val="NoSpacing"/>
              <w:jc w:val="left"/>
              <w:rPr>
                <w:highlight w:val="darkGray"/>
              </w:rPr>
            </w:pPr>
            <w:r w:rsidRPr="00B9629C">
              <w:rPr>
                <w:highlight w:val="darkGray"/>
              </w:rPr>
              <w:t>Avoid co-administration.</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E5138C" w:rsidRPr="00B9629C" w14:paraId="60E0F003" w14:textId="77777777" w:rsidTr="00E53C93">
              <w:tc>
                <w:tcPr>
                  <w:tcW w:w="907" w:type="dxa"/>
                  <w:shd w:val="clear" w:color="auto" w:fill="auto"/>
                </w:tcPr>
                <w:p w14:paraId="2E21C720" w14:textId="3EB28D54" w:rsidR="00E5138C" w:rsidRPr="00B9629C" w:rsidRDefault="00E5138C" w:rsidP="00E53C93">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8A660A" w:rsidRPr="00B9629C">
                    <w:rPr>
                      <w:sz w:val="14"/>
                      <w:szCs w:val="14"/>
                      <w:highlight w:val="darkGray"/>
                    </w:rPr>
                    <w:t>b</w:t>
                  </w:r>
                  <w:r w:rsidRPr="00B9629C">
                    <w:rPr>
                      <w:rStyle w:val="EndnoteReference"/>
                      <w:sz w:val="14"/>
                      <w:szCs w:val="14"/>
                      <w:highlight w:val="darkGray"/>
                    </w:rPr>
                    <w:endnoteReference w:id="28"/>
                  </w:r>
                </w:p>
              </w:tc>
            </w:tr>
          </w:tbl>
          <w:p w14:paraId="306497AE" w14:textId="77777777" w:rsidR="00E5138C" w:rsidRPr="00B9629C" w:rsidRDefault="00E5138C" w:rsidP="00352DAD">
            <w:pPr>
              <w:pStyle w:val="NoSpacing"/>
              <w:rPr>
                <w:highlight w:val="darkGray"/>
              </w:rPr>
            </w:pPr>
          </w:p>
        </w:tc>
      </w:tr>
      <w:tr w:rsidR="00E5138C" w:rsidRPr="00B9629C" w14:paraId="4481B2F1" w14:textId="77777777" w:rsidTr="00014361">
        <w:trPr>
          <w:trHeight w:val="20"/>
        </w:trPr>
        <w:tc>
          <w:tcPr>
            <w:tcW w:w="1276" w:type="pct"/>
          </w:tcPr>
          <w:p w14:paraId="28BA04B6" w14:textId="77777777" w:rsidR="00E5138C" w:rsidRPr="00B9629C" w:rsidRDefault="00E5138C" w:rsidP="00E53C93">
            <w:pPr>
              <w:pStyle w:val="NoSpacing"/>
              <w:jc w:val="left"/>
              <w:rPr>
                <w:highlight w:val="darkGray"/>
              </w:rPr>
            </w:pPr>
            <w:r w:rsidRPr="00B9629C">
              <w:rPr>
                <w:highlight w:val="darkGray"/>
              </w:rPr>
              <w:t xml:space="preserve">Rifampicin </w:t>
            </w:r>
          </w:p>
        </w:tc>
        <w:tc>
          <w:tcPr>
            <w:tcW w:w="1482" w:type="pct"/>
          </w:tcPr>
          <w:p w14:paraId="035374A4" w14:textId="54F35185" w:rsidR="00E5138C" w:rsidRPr="00B9629C" w:rsidRDefault="00E5138C" w:rsidP="00E53C93">
            <w:pPr>
              <w:pStyle w:val="NoSpacing"/>
              <w:jc w:val="left"/>
              <w:rPr>
                <w:highlight w:val="darkGray"/>
              </w:rPr>
            </w:pPr>
            <w:r w:rsidRPr="00B9629C">
              <w:rPr>
                <w:highlight w:val="darkGray"/>
              </w:rPr>
              <w:t>Significant reduction in PI</w:t>
            </w:r>
            <w:r w:rsidR="00821662" w:rsidRPr="00B9629C">
              <w:rPr>
                <w:highlight w:val="darkGray"/>
              </w:rPr>
              <w:t xml:space="preserve"> concentration</w:t>
            </w:r>
            <w:r w:rsidR="002E7E26" w:rsidRPr="00B9629C">
              <w:rPr>
                <w:highlight w:val="darkGray"/>
              </w:rPr>
              <w:t>.</w:t>
            </w:r>
          </w:p>
        </w:tc>
        <w:tc>
          <w:tcPr>
            <w:tcW w:w="2242" w:type="pct"/>
          </w:tcPr>
          <w:p w14:paraId="10FE549D" w14:textId="0B55363E" w:rsidR="009C7672" w:rsidRPr="00B9629C" w:rsidRDefault="00E5138C" w:rsidP="009C7672">
            <w:pPr>
              <w:pStyle w:val="NoSpacing"/>
              <w:jc w:val="left"/>
              <w:rPr>
                <w:highlight w:val="darkGray"/>
              </w:rPr>
            </w:pPr>
            <w:r w:rsidRPr="00B9629C">
              <w:rPr>
                <w:highlight w:val="darkGray"/>
              </w:rPr>
              <w:t>Double LPV/r dose.</w:t>
            </w:r>
          </w:p>
          <w:p w14:paraId="7C5D0177" w14:textId="1F35CD0C" w:rsidR="00C50516" w:rsidRPr="00B9629C" w:rsidRDefault="00C50516" w:rsidP="00C50516">
            <w:pPr>
              <w:jc w:val="both"/>
              <w:rPr>
                <w:rFonts w:cs="Arial"/>
                <w:b/>
                <w:spacing w:val="-2"/>
                <w:szCs w:val="16"/>
                <w:highlight w:val="darkGray"/>
              </w:rPr>
            </w:pPr>
            <w:r w:rsidRPr="00B9629C">
              <w:rPr>
                <w:rFonts w:cs="Arial"/>
                <w:b/>
                <w:spacing w:val="-2"/>
                <w:szCs w:val="16"/>
                <w:highlight w:val="darkGray"/>
              </w:rPr>
              <w:t xml:space="preserve">Note: </w:t>
            </w:r>
            <w:r w:rsidRPr="00B9629C">
              <w:rPr>
                <w:rFonts w:cs="Arial"/>
                <w:spacing w:val="-2"/>
                <w:szCs w:val="16"/>
                <w:highlight w:val="darkGray"/>
              </w:rPr>
              <w:t>There is an increased risk of ALT/AST elevations and gastrointestinal disorders. LPV/r dose should be gradually titrated upward over 1-2 weeks (e.g. 600/150 mg and then 800/200 mg).</w:t>
            </w:r>
          </w:p>
          <w:p w14:paraId="58156F09" w14:textId="747F989F" w:rsidR="00107E0C" w:rsidRPr="00B9629C" w:rsidRDefault="00107E0C" w:rsidP="00C50516">
            <w:pPr>
              <w:pStyle w:val="NoSpacing"/>
              <w:jc w:val="left"/>
              <w:rPr>
                <w:highlight w:val="darkGray"/>
              </w:rPr>
            </w:pPr>
            <w:r w:rsidRPr="00B9629C">
              <w:rPr>
                <w:highlight w:val="darkGray"/>
              </w:rPr>
              <w:t>Adjusted dose of LPV/r should be continued for 2 weeks after rifampicin is stopped.</w:t>
            </w:r>
          </w:p>
          <w:p w14:paraId="2A1E5080" w14:textId="77777777" w:rsidR="00107E0C" w:rsidRPr="00B9629C" w:rsidRDefault="00107E0C" w:rsidP="00C50516">
            <w:pPr>
              <w:pStyle w:val="NoSpacing"/>
              <w:jc w:val="left"/>
              <w:rPr>
                <w:rFonts w:cs="Arial"/>
                <w:szCs w:val="16"/>
                <w:highlight w:val="darkGray"/>
              </w:rPr>
            </w:pPr>
          </w:p>
          <w:p w14:paraId="4B6AE9B9" w14:textId="162A8414" w:rsidR="00C50516" w:rsidRPr="00B9629C" w:rsidRDefault="00C50516" w:rsidP="00C50516">
            <w:pPr>
              <w:pStyle w:val="NoSpacing"/>
              <w:jc w:val="left"/>
              <w:rPr>
                <w:highlight w:val="darkGray"/>
              </w:rPr>
            </w:pPr>
            <w:r w:rsidRPr="00B9629C">
              <w:rPr>
                <w:rFonts w:cs="Arial"/>
                <w:szCs w:val="16"/>
                <w:highlight w:val="darkGray"/>
              </w:rPr>
              <w:lastRenderedPageBreak/>
              <w:t>The LPV/r can be switched back to ATV/r two weeks after completion of TB therapy.</w:t>
            </w:r>
          </w:p>
          <w:p w14:paraId="5F9543F5" w14:textId="77777777" w:rsidR="00C50516" w:rsidRPr="00B9629C" w:rsidRDefault="00C50516" w:rsidP="009C7672">
            <w:pPr>
              <w:pStyle w:val="NoSpacing"/>
              <w:jc w:val="left"/>
              <w:rPr>
                <w:highlight w:val="darkGray"/>
              </w:rPr>
            </w:pPr>
          </w:p>
          <w:p w14:paraId="7F616137" w14:textId="26086C0D" w:rsidR="006C33BD" w:rsidRPr="00B9629C" w:rsidRDefault="009C7672" w:rsidP="00F60313">
            <w:pPr>
              <w:pStyle w:val="NoSpacing"/>
              <w:jc w:val="left"/>
              <w:rPr>
                <w:rFonts w:cs="Arial"/>
                <w:color w:val="000000"/>
                <w:highlight w:val="darkGray"/>
              </w:rPr>
            </w:pPr>
            <w:r w:rsidRPr="00B9629C">
              <w:rPr>
                <w:highlight w:val="darkGray"/>
              </w:rPr>
              <w:t>If ATV/r or DVR/r is required</w:t>
            </w:r>
            <w:r w:rsidR="00E61B9D" w:rsidRPr="00B9629C">
              <w:rPr>
                <w:highlight w:val="darkGray"/>
              </w:rPr>
              <w:t>, r</w:t>
            </w:r>
            <w:r w:rsidRPr="00B9629C">
              <w:rPr>
                <w:highlight w:val="darkGray"/>
              </w:rPr>
              <w:t>ifampicin must be replaced with dose-adjusted rifabutin</w:t>
            </w:r>
            <w:r w:rsidR="00F60313" w:rsidRPr="00B9629C">
              <w:rPr>
                <w:highlight w:val="darkGray"/>
              </w:rPr>
              <w:t xml:space="preserve"> (doctor prescribed) - </w:t>
            </w:r>
            <w:r w:rsidR="00F60313" w:rsidRPr="00B9629C">
              <w:rPr>
                <w:rFonts w:eastAsia="Times New Roman" w:cs="Arial"/>
                <w:color w:val="000000"/>
                <w:spacing w:val="0"/>
                <w:highlight w:val="darkGray"/>
              </w:rPr>
              <w:t>see A</w:t>
            </w:r>
            <w:r w:rsidR="009506CD" w:rsidRPr="00B9629C">
              <w:rPr>
                <w:rFonts w:eastAsia="Times New Roman" w:cs="Arial"/>
                <w:color w:val="000000"/>
                <w:spacing w:val="0"/>
                <w:highlight w:val="darkGray"/>
              </w:rPr>
              <w:t>dult Hospital Level</w:t>
            </w:r>
            <w:r w:rsidR="00F60313" w:rsidRPr="00B9629C">
              <w:rPr>
                <w:rFonts w:eastAsia="Times New Roman" w:cs="Arial"/>
                <w:color w:val="000000"/>
                <w:spacing w:val="0"/>
                <w:highlight w:val="darkGray"/>
              </w:rPr>
              <w:t xml:space="preserve"> STG Section 10.1: Antiretroviral therapy.</w:t>
            </w:r>
          </w:p>
          <w:p w14:paraId="33AE65BC" w14:textId="0BA08F9E" w:rsidR="006C33BD" w:rsidRPr="00B9629C" w:rsidRDefault="006C33BD" w:rsidP="009C7672">
            <w:pPr>
              <w:pStyle w:val="NoSpacing"/>
              <w:jc w:val="left"/>
              <w:rPr>
                <w:highlight w:val="darkGray"/>
              </w:rPr>
            </w:pPr>
          </w:p>
        </w:tc>
      </w:tr>
    </w:tbl>
    <w:p w14:paraId="55BC564C" w14:textId="371BE98A" w:rsidR="007C7A1F" w:rsidRPr="00B9629C" w:rsidRDefault="003F5BA0" w:rsidP="003F5BA0">
      <w:pPr>
        <w:pStyle w:val="Medicinebullet1"/>
        <w:jc w:val="both"/>
        <w:rPr>
          <w:rFonts w:cs="Arial"/>
          <w:color w:val="000000"/>
          <w:sz w:val="20"/>
          <w:highlight w:val="darkGray"/>
        </w:rPr>
      </w:pPr>
      <w:r w:rsidRPr="00B9629C">
        <w:rPr>
          <w:rFonts w:cs="Arial"/>
          <w:b/>
          <w:color w:val="000000"/>
          <w:sz w:val="16"/>
          <w:highlight w:val="darkGray"/>
        </w:rPr>
        <w:lastRenderedPageBreak/>
        <w:t>Table 11.6:</w:t>
      </w:r>
      <w:r w:rsidRPr="00B9629C">
        <w:rPr>
          <w:rFonts w:cs="Arial"/>
          <w:color w:val="000000"/>
          <w:sz w:val="16"/>
          <w:highlight w:val="darkGray"/>
        </w:rPr>
        <w:t xml:space="preserve"> Drug interactions with boosted PIs</w:t>
      </w:r>
      <w:r w:rsidR="009C7672" w:rsidRPr="00B9629C">
        <w:rPr>
          <w:rFonts w:cs="Arial"/>
          <w:color w:val="000000"/>
          <w:sz w:val="16"/>
          <w:highlight w:val="darkGray"/>
        </w:rPr>
        <w:t xml:space="preserve">. </w:t>
      </w:r>
    </w:p>
    <w:p w14:paraId="5D173EEA" w14:textId="77777777" w:rsidR="00014361" w:rsidRPr="00B9629C" w:rsidRDefault="00014361" w:rsidP="00014361">
      <w:pPr>
        <w:pStyle w:val="Heading5"/>
        <w:spacing w:before="0"/>
        <w:rPr>
          <w:highlight w:val="darkGray"/>
        </w:rPr>
      </w:pPr>
    </w:p>
    <w:p w14:paraId="7E1EF8DB" w14:textId="77777777" w:rsidR="00E5138C" w:rsidRPr="00B9629C" w:rsidRDefault="00E5138C" w:rsidP="00014361">
      <w:pPr>
        <w:pStyle w:val="Heading5"/>
        <w:spacing w:before="0"/>
        <w:rPr>
          <w:highlight w:val="darkGray"/>
        </w:rPr>
      </w:pPr>
      <w:r w:rsidRPr="00B9629C">
        <w:rPr>
          <w:highlight w:val="darkGray"/>
        </w:rPr>
        <w:t>REFERRAL</w:t>
      </w:r>
    </w:p>
    <w:p w14:paraId="30918E5E" w14:textId="063595E1" w:rsidR="00E5138C" w:rsidRPr="00B9629C" w:rsidRDefault="00634A83" w:rsidP="00014361">
      <w:pPr>
        <w:spacing w:before="0" w:after="0"/>
        <w:rPr>
          <w:highlight w:val="darkGray"/>
        </w:rPr>
      </w:pPr>
      <w:r w:rsidRPr="00B9629C">
        <w:rPr>
          <w:highlight w:val="darkGray"/>
        </w:rPr>
        <w:t>Dolutegravir resistance demonstrated on resistance testing.</w:t>
      </w:r>
    </w:p>
    <w:p w14:paraId="0C91B248" w14:textId="2FAAAF3F" w:rsidR="00E5138C" w:rsidRPr="00B9629C" w:rsidRDefault="00313114" w:rsidP="00F12F3B">
      <w:pPr>
        <w:pStyle w:val="Heading2"/>
        <w:rPr>
          <w:highlight w:val="darkGray"/>
        </w:rPr>
      </w:pPr>
      <w:bookmarkStart w:id="10" w:name="_Toc57132040"/>
      <w:bookmarkStart w:id="11" w:name="_Toc177151089"/>
      <w:r w:rsidRPr="00B9629C">
        <w:rPr>
          <w:highlight w:val="darkGray"/>
        </w:rPr>
        <w:t>Opportunistic infections, prophylaxis in adults</w:t>
      </w:r>
      <w:bookmarkEnd w:id="10"/>
      <w:bookmarkEnd w:id="11"/>
      <w:r w:rsidR="006D4857" w:rsidRPr="00B9629C">
        <w:rPr>
          <w:highlight w:val="darkGray"/>
        </w:rPr>
        <w:fldChar w:fldCharType="begin"/>
      </w:r>
      <w:r w:rsidR="006D4857" w:rsidRPr="00B9629C">
        <w:rPr>
          <w:highlight w:val="darkGray"/>
        </w:rPr>
        <w:instrText xml:space="preserve"> XE "Opportunistic infections, prophylaxis in adults" \f “c”</w:instrText>
      </w:r>
      <w:r w:rsidR="006D4857" w:rsidRPr="00B9629C">
        <w:rPr>
          <w:highlight w:val="darkGray"/>
        </w:rPr>
        <w:fldChar w:fldCharType="end"/>
      </w:r>
    </w:p>
    <w:p w14:paraId="4C713651" w14:textId="77777777" w:rsidR="00E5138C" w:rsidRPr="00B9629C" w:rsidRDefault="00E5138C" w:rsidP="00E5138C">
      <w:pPr>
        <w:pStyle w:val="NoSpacing"/>
        <w:rPr>
          <w:highlight w:val="darkGray"/>
        </w:rPr>
      </w:pPr>
    </w:p>
    <w:p w14:paraId="2E3DAA2D" w14:textId="27121504" w:rsidR="00E5138C" w:rsidRPr="00B9629C" w:rsidRDefault="00313114" w:rsidP="00D224D2">
      <w:pPr>
        <w:pStyle w:val="Heading3"/>
        <w:rPr>
          <w:highlight w:val="darkGray"/>
        </w:rPr>
      </w:pPr>
      <w:bookmarkStart w:id="12" w:name="_Toc57132041"/>
      <w:bookmarkStart w:id="13" w:name="_Toc177151090"/>
      <w:r w:rsidRPr="00B9629C">
        <w:rPr>
          <w:highlight w:val="darkGray"/>
        </w:rPr>
        <w:t>Cotrimoxazole prophylaxis</w:t>
      </w:r>
      <w:bookmarkEnd w:id="12"/>
      <w:bookmarkEnd w:id="13"/>
      <w:r w:rsidR="006D4857" w:rsidRPr="00B9629C">
        <w:rPr>
          <w:highlight w:val="darkGray"/>
        </w:rPr>
        <w:fldChar w:fldCharType="begin"/>
      </w:r>
      <w:r w:rsidR="006D4857" w:rsidRPr="00B9629C">
        <w:rPr>
          <w:highlight w:val="darkGray"/>
        </w:rPr>
        <w:instrText xml:space="preserve"> XE "Cotrimoxazole prophylaxis" \f “c”</w:instrText>
      </w:r>
      <w:r w:rsidR="006D4857" w:rsidRPr="00B9629C">
        <w:rPr>
          <w:highlight w:val="darkGray"/>
        </w:rPr>
        <w:fldChar w:fldCharType="end"/>
      </w:r>
    </w:p>
    <w:p w14:paraId="0EB657A4"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Z29.2 + (B24)</w:t>
      </w:r>
    </w:p>
    <w:p w14:paraId="180CBC48" w14:textId="77777777" w:rsidR="00E5138C" w:rsidRPr="00B9629C" w:rsidRDefault="00E5138C" w:rsidP="001B2500">
      <w:pPr>
        <w:pStyle w:val="Heading5"/>
        <w:rPr>
          <w:highlight w:val="darkGray"/>
        </w:rPr>
      </w:pPr>
      <w:r w:rsidRPr="00B9629C">
        <w:rPr>
          <w:highlight w:val="darkGray"/>
        </w:rPr>
        <w:t>DESCRIPTION</w:t>
      </w:r>
    </w:p>
    <w:p w14:paraId="3B9FD7A5" w14:textId="652821D0" w:rsidR="00E5138C" w:rsidRPr="00B9629C" w:rsidRDefault="00E5138C" w:rsidP="00E5138C">
      <w:pPr>
        <w:pStyle w:val="NoSpacing"/>
        <w:rPr>
          <w:highlight w:val="darkGray"/>
        </w:rPr>
      </w:pPr>
      <w:r w:rsidRPr="00B9629C">
        <w:rPr>
          <w:highlight w:val="darkGray"/>
        </w:rPr>
        <w:t>Primary prophylaxis reduces the probability of developing many infections, e.g.: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0"/>
        <w:gridCol w:w="3340"/>
      </w:tblGrid>
      <w:tr w:rsidR="00A4094F" w:rsidRPr="00B9629C" w14:paraId="782D3E95" w14:textId="77777777" w:rsidTr="00245685">
        <w:tc>
          <w:tcPr>
            <w:tcW w:w="3340" w:type="dxa"/>
          </w:tcPr>
          <w:p w14:paraId="3EA2979A" w14:textId="6532BA16" w:rsidR="00A4094F" w:rsidRPr="00B9629C" w:rsidRDefault="00E770F8" w:rsidP="00245685">
            <w:pPr>
              <w:pStyle w:val="ListParagraph"/>
              <w:rPr>
                <w:highlight w:val="darkGray"/>
              </w:rPr>
            </w:pPr>
            <w:r w:rsidRPr="00B9629C">
              <w:rPr>
                <w:highlight w:val="darkGray"/>
              </w:rPr>
              <w:t>p</w:t>
            </w:r>
            <w:r w:rsidR="00245685" w:rsidRPr="00B9629C">
              <w:rPr>
                <w:highlight w:val="darkGray"/>
              </w:rPr>
              <w:t>neumocystis pneumonia</w:t>
            </w:r>
          </w:p>
          <w:p w14:paraId="30CAA011" w14:textId="6619DB1F" w:rsidR="00245685" w:rsidRPr="00B9629C" w:rsidRDefault="00E770F8" w:rsidP="00245685">
            <w:pPr>
              <w:pStyle w:val="ListParagraph"/>
              <w:rPr>
                <w:highlight w:val="darkGray"/>
              </w:rPr>
            </w:pPr>
            <w:r w:rsidRPr="00B9629C">
              <w:rPr>
                <w:highlight w:val="darkGray"/>
              </w:rPr>
              <w:t>t</w:t>
            </w:r>
            <w:r w:rsidR="00245685" w:rsidRPr="00B9629C">
              <w:rPr>
                <w:highlight w:val="darkGray"/>
              </w:rPr>
              <w:t>oxoplasmosis</w:t>
            </w:r>
          </w:p>
          <w:p w14:paraId="571EB717" w14:textId="592B8B82" w:rsidR="00245685" w:rsidRPr="00B9629C" w:rsidRDefault="00245685" w:rsidP="00245685">
            <w:pPr>
              <w:pStyle w:val="ListParagraph"/>
              <w:rPr>
                <w:highlight w:val="darkGray"/>
              </w:rPr>
            </w:pPr>
            <w:r w:rsidRPr="00B9629C">
              <w:rPr>
                <w:highlight w:val="darkGray"/>
              </w:rPr>
              <w:t>bacterial pneumonia</w:t>
            </w:r>
          </w:p>
        </w:tc>
        <w:tc>
          <w:tcPr>
            <w:tcW w:w="3340" w:type="dxa"/>
          </w:tcPr>
          <w:p w14:paraId="6D53F0EB" w14:textId="08F81B24" w:rsidR="00A4094F" w:rsidRPr="00B9629C" w:rsidRDefault="00E770F8" w:rsidP="00245685">
            <w:pPr>
              <w:pStyle w:val="ListParagraph"/>
              <w:rPr>
                <w:highlight w:val="darkGray"/>
              </w:rPr>
            </w:pPr>
            <w:r w:rsidRPr="00B9629C">
              <w:rPr>
                <w:highlight w:val="darkGray"/>
              </w:rPr>
              <w:t>b</w:t>
            </w:r>
            <w:r w:rsidR="00245685" w:rsidRPr="00B9629C">
              <w:rPr>
                <w:highlight w:val="darkGray"/>
              </w:rPr>
              <w:t>acteraemia</w:t>
            </w:r>
          </w:p>
          <w:p w14:paraId="5062C505" w14:textId="574AB8FC" w:rsidR="00245685" w:rsidRPr="00B9629C" w:rsidRDefault="00245685" w:rsidP="00245685">
            <w:pPr>
              <w:pStyle w:val="ListParagraph"/>
              <w:rPr>
                <w:highlight w:val="darkGray"/>
              </w:rPr>
            </w:pPr>
            <w:r w:rsidRPr="00B9629C">
              <w:rPr>
                <w:highlight w:val="darkGray"/>
              </w:rPr>
              <w:t>cystoisosporiasis</w:t>
            </w:r>
          </w:p>
        </w:tc>
      </w:tr>
    </w:tbl>
    <w:p w14:paraId="792B777C" w14:textId="77777777" w:rsidR="00E5138C" w:rsidRPr="00B9629C" w:rsidRDefault="00E5138C" w:rsidP="00245685">
      <w:pPr>
        <w:pStyle w:val="Heading6"/>
        <w:rPr>
          <w:highlight w:val="darkGray"/>
        </w:rPr>
      </w:pPr>
      <w:r w:rsidRPr="00B9629C">
        <w:rPr>
          <w:highlight w:val="darkGray"/>
        </w:rPr>
        <w:t>Indications for primary prophylaxis:</w:t>
      </w:r>
    </w:p>
    <w:tbl>
      <w:tblPr>
        <w:tblpPr w:leftFromText="180" w:rightFromText="180" w:vertAnchor="text" w:horzAnchor="margin" w:tblpXSpec="right" w:tblpY="186"/>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4208D8" w:rsidRPr="00B9629C" w14:paraId="44EB725A" w14:textId="77777777" w:rsidTr="004208D8">
        <w:tc>
          <w:tcPr>
            <w:tcW w:w="907" w:type="dxa"/>
            <w:shd w:val="clear" w:color="auto" w:fill="auto"/>
          </w:tcPr>
          <w:p w14:paraId="183BB069" w14:textId="126C4F5A" w:rsidR="004208D8" w:rsidRPr="00B9629C" w:rsidRDefault="004208D8" w:rsidP="004208D8">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0A1037" w:rsidRPr="00B9629C">
              <w:rPr>
                <w:sz w:val="14"/>
                <w:szCs w:val="14"/>
                <w:highlight w:val="darkGray"/>
              </w:rPr>
              <w:t>b</w:t>
            </w:r>
            <w:r w:rsidRPr="00B9629C">
              <w:rPr>
                <w:rStyle w:val="EndnoteReference"/>
                <w:sz w:val="14"/>
                <w:szCs w:val="14"/>
                <w:highlight w:val="darkGray"/>
              </w:rPr>
              <w:endnoteReference w:id="29"/>
            </w:r>
          </w:p>
        </w:tc>
      </w:tr>
    </w:tbl>
    <w:p w14:paraId="1393B5F4" w14:textId="1B121F69" w:rsidR="00E5138C" w:rsidRPr="00B9629C" w:rsidRDefault="00E5138C" w:rsidP="00245685">
      <w:pPr>
        <w:pStyle w:val="ListParagraph"/>
        <w:rPr>
          <w:highlight w:val="darkGray"/>
        </w:rPr>
      </w:pPr>
      <w:r w:rsidRPr="00B9629C">
        <w:rPr>
          <w:highlight w:val="darkGray"/>
        </w:rPr>
        <w:t xml:space="preserve">WHO Clinical stage </w:t>
      </w:r>
      <w:r w:rsidR="00177296" w:rsidRPr="00B9629C">
        <w:rPr>
          <w:highlight w:val="darkGray"/>
        </w:rPr>
        <w:t>3</w:t>
      </w:r>
      <w:r w:rsidRPr="00B9629C">
        <w:rPr>
          <w:highlight w:val="darkGray"/>
        </w:rPr>
        <w:t xml:space="preserve"> or </w:t>
      </w:r>
      <w:r w:rsidR="00177296" w:rsidRPr="00B9629C">
        <w:rPr>
          <w:highlight w:val="darkGray"/>
        </w:rPr>
        <w:t>4</w:t>
      </w:r>
      <w:r w:rsidRPr="00B9629C">
        <w:rPr>
          <w:highlight w:val="darkGray"/>
        </w:rPr>
        <w:t>.</w:t>
      </w:r>
    </w:p>
    <w:p w14:paraId="24B80651" w14:textId="2546E593" w:rsidR="00E5138C" w:rsidRPr="00B9629C" w:rsidRDefault="00E5138C" w:rsidP="00245685">
      <w:pPr>
        <w:pStyle w:val="ListParagraph"/>
        <w:rPr>
          <w:highlight w:val="darkGray"/>
        </w:rPr>
      </w:pPr>
      <w:r w:rsidRPr="00B9629C">
        <w:rPr>
          <w:highlight w:val="darkGray"/>
        </w:rPr>
        <w:t xml:space="preserve">CD4 count </w:t>
      </w:r>
      <w:r w:rsidR="00724290" w:rsidRPr="00B9629C">
        <w:rPr>
          <w:highlight w:val="darkGray"/>
        </w:rPr>
        <w:t>&lt;</w:t>
      </w:r>
      <w:r w:rsidRPr="00B9629C">
        <w:rPr>
          <w:highlight w:val="darkGray"/>
        </w:rPr>
        <w:t>200 cells/mm</w:t>
      </w:r>
      <w:r w:rsidRPr="00B9629C">
        <w:rPr>
          <w:highlight w:val="darkGray"/>
          <w:vertAlign w:val="superscript"/>
        </w:rPr>
        <w:t>3</w:t>
      </w:r>
      <w:r w:rsidRPr="00B9629C">
        <w:rPr>
          <w:highlight w:val="darkGray"/>
        </w:rPr>
        <w:t>.</w:t>
      </w:r>
    </w:p>
    <w:p w14:paraId="116D0419" w14:textId="77777777" w:rsidR="00E5138C" w:rsidRPr="00B9629C" w:rsidRDefault="00E5138C" w:rsidP="004208D8">
      <w:pPr>
        <w:pStyle w:val="Heading5"/>
        <w:rPr>
          <w:highlight w:val="darkGray"/>
        </w:rPr>
      </w:pPr>
      <w:r w:rsidRPr="00B9629C">
        <w:rPr>
          <w:highlight w:val="darkGray"/>
        </w:rPr>
        <w:t>MEDICINE TREATMENT</w:t>
      </w:r>
    </w:p>
    <w:p w14:paraId="1E42E849" w14:textId="77777777" w:rsidR="00E5138C" w:rsidRPr="00B9629C" w:rsidRDefault="00E5138C" w:rsidP="00D67E57">
      <w:pPr>
        <w:pStyle w:val="Heading6"/>
        <w:spacing w:before="0"/>
        <w:rPr>
          <w:highlight w:val="darkGray"/>
        </w:rPr>
      </w:pPr>
      <w:r w:rsidRPr="00B9629C">
        <w:rPr>
          <w:highlight w:val="darkGray"/>
        </w:rPr>
        <w:t>Prophylaxis</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E5138C" w:rsidRPr="00B9629C" w14:paraId="3497A9A3" w14:textId="77777777" w:rsidTr="004208D8">
        <w:tc>
          <w:tcPr>
            <w:tcW w:w="907" w:type="dxa"/>
            <w:shd w:val="clear" w:color="auto" w:fill="auto"/>
          </w:tcPr>
          <w:p w14:paraId="07D5EAA6" w14:textId="6C3FAB5F" w:rsidR="00E5138C" w:rsidRPr="00B9629C" w:rsidRDefault="00E5138C" w:rsidP="004208D8">
            <w:pPr>
              <w:pStyle w:val="LoEText"/>
              <w:framePr w:hSpace="0" w:wrap="auto" w:vAnchor="margin" w:hAnchor="text" w:xAlign="left" w:yAlign="inline"/>
              <w:suppressOverlap w:val="0"/>
              <w:rPr>
                <w:sz w:val="14"/>
                <w:szCs w:val="14"/>
                <w:highlight w:val="darkGray"/>
              </w:rPr>
            </w:pPr>
            <w:r w:rsidRPr="00B9629C">
              <w:rPr>
                <w:sz w:val="14"/>
                <w:szCs w:val="14"/>
                <w:highlight w:val="darkGray"/>
              </w:rPr>
              <w:t>LoE:I</w:t>
            </w:r>
            <w:r w:rsidR="000A1037" w:rsidRPr="00B9629C">
              <w:rPr>
                <w:sz w:val="14"/>
                <w:szCs w:val="14"/>
                <w:highlight w:val="darkGray"/>
              </w:rPr>
              <w:t>Ib</w:t>
            </w:r>
            <w:r w:rsidRPr="00B9629C">
              <w:rPr>
                <w:rStyle w:val="EndnoteReference"/>
                <w:sz w:val="14"/>
                <w:szCs w:val="14"/>
                <w:highlight w:val="darkGray"/>
              </w:rPr>
              <w:endnoteReference w:id="30"/>
            </w:r>
          </w:p>
        </w:tc>
      </w:tr>
    </w:tbl>
    <w:p w14:paraId="59896BEE" w14:textId="3563F276" w:rsidR="00E5138C" w:rsidRPr="00B9629C" w:rsidRDefault="00E5138C" w:rsidP="004208D8">
      <w:pPr>
        <w:pStyle w:val="BulletMedicine"/>
        <w:rPr>
          <w:highlight w:val="darkGray"/>
        </w:rPr>
      </w:pPr>
      <w:r w:rsidRPr="00B9629C">
        <w:rPr>
          <w:highlight w:val="darkGray"/>
        </w:rPr>
        <w:t>Cotrimoxazole, oral</w:t>
      </w:r>
      <w:r w:rsidR="00042E17" w:rsidRPr="00B9629C">
        <w:rPr>
          <w:highlight w:val="darkGray"/>
        </w:rPr>
        <w:fldChar w:fldCharType="begin"/>
      </w:r>
      <w:r w:rsidR="00042E17" w:rsidRPr="00B9629C">
        <w:rPr>
          <w:highlight w:val="darkGray"/>
        </w:rPr>
        <w:instrText xml:space="preserve"> XE "Cotrimoxazole, oral" \f "m" </w:instrText>
      </w:r>
      <w:r w:rsidR="00042E17" w:rsidRPr="00B9629C">
        <w:rPr>
          <w:highlight w:val="darkGray"/>
        </w:rPr>
        <w:fldChar w:fldCharType="end"/>
      </w:r>
      <w:r w:rsidRPr="00B9629C">
        <w:rPr>
          <w:highlight w:val="darkGray"/>
        </w:rPr>
        <w:t xml:space="preserve">, 160/800 </w:t>
      </w:r>
      <w:r w:rsidR="00177296" w:rsidRPr="00B9629C">
        <w:rPr>
          <w:highlight w:val="darkGray"/>
        </w:rPr>
        <w:t xml:space="preserve">mg </w:t>
      </w:r>
      <w:r w:rsidRPr="00B9629C">
        <w:rPr>
          <w:highlight w:val="darkGray"/>
        </w:rPr>
        <w:t>daily.</w:t>
      </w:r>
    </w:p>
    <w:p w14:paraId="07FE6E3E" w14:textId="77777777" w:rsidR="00E5138C" w:rsidRPr="00B9629C" w:rsidRDefault="00E5138C" w:rsidP="00E5138C">
      <w:pPr>
        <w:pStyle w:val="NoSpacing"/>
        <w:rPr>
          <w:rStyle w:val="Strong"/>
          <w:highlight w:val="darkGray"/>
        </w:rPr>
      </w:pPr>
      <w:r w:rsidRPr="00B9629C">
        <w:rPr>
          <w:rStyle w:val="Strong"/>
          <w:highlight w:val="darkGray"/>
        </w:rPr>
        <w:t xml:space="preserve">Note: </w:t>
      </w:r>
    </w:p>
    <w:p w14:paraId="677BC15E" w14:textId="15AA0256" w:rsidR="00E5138C" w:rsidRPr="00B9629C" w:rsidRDefault="00E5138C" w:rsidP="00600B4A">
      <w:pPr>
        <w:pStyle w:val="ListParagraph"/>
        <w:jc w:val="both"/>
        <w:rPr>
          <w:highlight w:val="darkGray"/>
        </w:rPr>
      </w:pPr>
      <w:r w:rsidRPr="00B9629C">
        <w:rPr>
          <w:highlight w:val="darkGray"/>
        </w:rPr>
        <w:t>Once the CD4 &gt;200 cells/mm</w:t>
      </w:r>
      <w:r w:rsidRPr="00B9629C">
        <w:rPr>
          <w:highlight w:val="darkGray"/>
          <w:vertAlign w:val="superscript"/>
        </w:rPr>
        <w:t>3</w:t>
      </w:r>
      <w:r w:rsidRPr="00B9629C">
        <w:rPr>
          <w:highlight w:val="darkGray"/>
        </w:rPr>
        <w:t xml:space="preserve"> discontinue prophylaxis. If the CD4 count was &gt;200 cells/mm</w:t>
      </w:r>
      <w:r w:rsidRPr="00B9629C">
        <w:rPr>
          <w:highlight w:val="darkGray"/>
          <w:vertAlign w:val="superscript"/>
        </w:rPr>
        <w:t>3</w:t>
      </w:r>
      <w:r w:rsidRPr="00B9629C">
        <w:rPr>
          <w:highlight w:val="darkGray"/>
        </w:rPr>
        <w:t xml:space="preserve"> when cotrimoxazole was commenced (e.g. patients with TB) continue for 6 months</w:t>
      </w:r>
      <w:r w:rsidR="002E7E26" w:rsidRPr="00B9629C">
        <w:rPr>
          <w:highlight w:val="darkGray"/>
        </w:rPr>
        <w:t>.</w:t>
      </w:r>
      <w:r w:rsidR="00DE5FD1" w:rsidRPr="00B9629C">
        <w:rPr>
          <w:highlight w:val="darkGray"/>
        </w:rPr>
        <w:t xml:space="preserve"> </w:t>
      </w:r>
      <w:r w:rsidRPr="00B9629C">
        <w:rPr>
          <w:highlight w:val="darkGray"/>
        </w:rPr>
        <w:t>(</w:t>
      </w:r>
      <w:r w:rsidR="002E7E26" w:rsidRPr="00B9629C">
        <w:rPr>
          <w:highlight w:val="darkGray"/>
        </w:rPr>
        <w:t>S</w:t>
      </w:r>
      <w:r w:rsidRPr="00B9629C">
        <w:rPr>
          <w:highlight w:val="darkGray"/>
        </w:rPr>
        <w:t>ee Section 17.3.4.2.4: Pneumocystis pneumonia</w:t>
      </w:r>
      <w:r w:rsidR="00353E2A" w:rsidRPr="00B9629C">
        <w:rPr>
          <w:highlight w:val="darkGray"/>
        </w:rPr>
        <w:t>,</w:t>
      </w:r>
      <w:r w:rsidRPr="00B9629C">
        <w:rPr>
          <w:highlight w:val="darkGray"/>
        </w:rPr>
        <w:t xml:space="preserve"> for secondary prophylaxis</w:t>
      </w:r>
      <w:r w:rsidR="002E7E26" w:rsidRPr="00B9629C">
        <w:rPr>
          <w:highlight w:val="darkGray"/>
        </w:rPr>
        <w:t>.</w:t>
      </w:r>
      <w:r w:rsidRPr="00B9629C">
        <w:rPr>
          <w:highlight w:val="darkGray"/>
        </w:rPr>
        <w:t>)</w:t>
      </w:r>
    </w:p>
    <w:tbl>
      <w:tblPr>
        <w:tblpPr w:leftFromText="180" w:rightFromText="180" w:vertAnchor="text" w:horzAnchor="margin" w:tblpXSpec="right" w:tblpY="726"/>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DE5FD1" w:rsidRPr="00B9629C" w14:paraId="552CF0D7" w14:textId="77777777" w:rsidTr="003F5BA0">
        <w:tc>
          <w:tcPr>
            <w:tcW w:w="907" w:type="dxa"/>
            <w:shd w:val="clear" w:color="auto" w:fill="auto"/>
          </w:tcPr>
          <w:p w14:paraId="74F77ABF" w14:textId="77777777" w:rsidR="00DE5FD1" w:rsidRPr="00B9629C" w:rsidRDefault="00DE5FD1" w:rsidP="003F5BA0">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LoE:IIIb</w:t>
            </w:r>
            <w:r w:rsidRPr="00B9629C">
              <w:rPr>
                <w:rStyle w:val="EndnoteReference"/>
                <w:sz w:val="14"/>
                <w:szCs w:val="14"/>
                <w:highlight w:val="darkGray"/>
              </w:rPr>
              <w:endnoteReference w:id="31"/>
            </w:r>
          </w:p>
        </w:tc>
      </w:tr>
    </w:tbl>
    <w:p w14:paraId="5A487006" w14:textId="522A56C9" w:rsidR="009F4B26" w:rsidRPr="00B9629C" w:rsidRDefault="00E5138C" w:rsidP="00600B4A">
      <w:pPr>
        <w:pStyle w:val="ListParagraph"/>
        <w:spacing w:after="240"/>
        <w:jc w:val="both"/>
        <w:rPr>
          <w:highlight w:val="darkGray"/>
        </w:rPr>
      </w:pPr>
      <w:r w:rsidRPr="00B9629C">
        <w:rPr>
          <w:highlight w:val="darkGray"/>
        </w:rPr>
        <w:t xml:space="preserve">Cotrimoxazole hypersensitivity is common and usually presents as a maculopapular rash. If there are systemic features or mucosal involvement associated with the use of cotrimoxazole, </w:t>
      </w:r>
      <w:r w:rsidR="00421C2B" w:rsidRPr="00B9629C">
        <w:rPr>
          <w:highlight w:val="darkGray"/>
        </w:rPr>
        <w:t xml:space="preserve">stop </w:t>
      </w:r>
      <w:r w:rsidRPr="00B9629C">
        <w:rPr>
          <w:highlight w:val="darkGray"/>
        </w:rPr>
        <w:t>the medicine immediately and permanently</w:t>
      </w:r>
      <w:r w:rsidR="00600B4A" w:rsidRPr="00B9629C">
        <w:rPr>
          <w:highlight w:val="darkGray"/>
        </w:rPr>
        <w:t>,</w:t>
      </w:r>
      <w:r w:rsidRPr="00B9629C">
        <w:rPr>
          <w:highlight w:val="darkGray"/>
        </w:rPr>
        <w:t xml:space="preserve"> </w:t>
      </w:r>
      <w:r w:rsidR="00B7735A" w:rsidRPr="00B9629C">
        <w:rPr>
          <w:highlight w:val="darkGray"/>
        </w:rPr>
        <w:t xml:space="preserve">and </w:t>
      </w:r>
      <w:r w:rsidR="00421C2B" w:rsidRPr="00B9629C">
        <w:rPr>
          <w:highlight w:val="darkGray"/>
        </w:rPr>
        <w:t>refer</w:t>
      </w:r>
      <w:r w:rsidRPr="00B9629C">
        <w:rPr>
          <w:highlight w:val="darkGray"/>
        </w:rPr>
        <w:t xml:space="preserve"> the patient to hospital.</w:t>
      </w:r>
    </w:p>
    <w:p w14:paraId="1CDF9854" w14:textId="77777777" w:rsidR="00831610" w:rsidRPr="00B9629C" w:rsidRDefault="00831610" w:rsidP="002E7F99">
      <w:pPr>
        <w:pStyle w:val="ListParagraph"/>
        <w:numPr>
          <w:ilvl w:val="0"/>
          <w:numId w:val="0"/>
        </w:numPr>
        <w:spacing w:after="240"/>
        <w:ind w:left="360"/>
        <w:jc w:val="both"/>
        <w:rPr>
          <w:highlight w:val="darkGray"/>
        </w:rPr>
      </w:pPr>
    </w:p>
    <w:p w14:paraId="56903E55" w14:textId="06133652" w:rsidR="00E5138C" w:rsidRPr="00B9629C" w:rsidRDefault="00313114" w:rsidP="00EF0E5D">
      <w:pPr>
        <w:pStyle w:val="Heading3"/>
        <w:ind w:left="851" w:hanging="851"/>
        <w:rPr>
          <w:highlight w:val="darkGray"/>
        </w:rPr>
      </w:pPr>
      <w:bookmarkStart w:id="14" w:name="_Toc57132042"/>
      <w:bookmarkStart w:id="15" w:name="_Toc177151091"/>
      <w:r w:rsidRPr="00B9629C">
        <w:rPr>
          <w:highlight w:val="darkGray"/>
        </w:rPr>
        <w:t>Tuberculosis preventive therapy (</w:t>
      </w:r>
      <w:r w:rsidR="00D95D25" w:rsidRPr="00B9629C">
        <w:rPr>
          <w:highlight w:val="darkGray"/>
        </w:rPr>
        <w:t>TPT</w:t>
      </w:r>
      <w:r w:rsidRPr="00B9629C">
        <w:rPr>
          <w:highlight w:val="darkGray"/>
        </w:rPr>
        <w:t>)</w:t>
      </w:r>
      <w:bookmarkEnd w:id="14"/>
      <w:bookmarkEnd w:id="15"/>
      <w:r w:rsidR="006D4857" w:rsidRPr="00B9629C">
        <w:rPr>
          <w:highlight w:val="darkGray"/>
        </w:rPr>
        <w:fldChar w:fldCharType="begin"/>
      </w:r>
      <w:r w:rsidR="006D4857" w:rsidRPr="00B9629C">
        <w:rPr>
          <w:highlight w:val="darkGray"/>
        </w:rPr>
        <w:instrText xml:space="preserve"> XE "Tuberculosis preventive therapy (TPT)" \f “c”</w:instrText>
      </w:r>
      <w:r w:rsidR="006D4857" w:rsidRPr="00B9629C">
        <w:rPr>
          <w:highlight w:val="darkGray"/>
        </w:rPr>
        <w:fldChar w:fldCharType="end"/>
      </w:r>
      <w:r w:rsidRPr="00B9629C">
        <w:rPr>
          <w:highlight w:val="darkGray"/>
        </w:rPr>
        <w:t xml:space="preserve"> </w:t>
      </w:r>
    </w:p>
    <w:p w14:paraId="76B426AE"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Z29.2 + (B24)</w:t>
      </w:r>
    </w:p>
    <w:p w14:paraId="783CDF50" w14:textId="271CB314" w:rsidR="00E5138C" w:rsidRPr="00B9629C" w:rsidRDefault="00A73D66" w:rsidP="00600B4A">
      <w:pPr>
        <w:jc w:val="both"/>
        <w:rPr>
          <w:highlight w:val="darkGray"/>
        </w:rPr>
      </w:pPr>
      <w:r w:rsidRPr="00B9629C">
        <w:rPr>
          <w:highlight w:val="darkGray"/>
        </w:rPr>
        <w:t>PLHIV</w:t>
      </w:r>
      <w:r w:rsidR="00210608" w:rsidRPr="00B9629C">
        <w:rPr>
          <w:highlight w:val="darkGray"/>
        </w:rPr>
        <w:t>,</w:t>
      </w:r>
      <w:r w:rsidR="00E5138C" w:rsidRPr="00B9629C">
        <w:rPr>
          <w:highlight w:val="darkGray"/>
        </w:rPr>
        <w:t xml:space="preserve"> </w:t>
      </w:r>
      <w:r w:rsidR="00210608" w:rsidRPr="00B9629C">
        <w:rPr>
          <w:highlight w:val="darkGray"/>
        </w:rPr>
        <w:t xml:space="preserve">at any CD4 count, </w:t>
      </w:r>
      <w:r w:rsidR="00E5138C" w:rsidRPr="00B9629C">
        <w:rPr>
          <w:highlight w:val="darkGray"/>
        </w:rPr>
        <w:t>are more susceptible to TB infection than HIV-uninfected p</w:t>
      </w:r>
      <w:r w:rsidR="0015640A" w:rsidRPr="00B9629C">
        <w:rPr>
          <w:highlight w:val="darkGray"/>
        </w:rPr>
        <w:t>eople</w:t>
      </w:r>
      <w:r w:rsidR="00E5138C" w:rsidRPr="00B9629C">
        <w:rPr>
          <w:highlight w:val="darkGray"/>
        </w:rPr>
        <w:t xml:space="preserve">. TPT is an effective intervention for reducing the incidence of TB in </w:t>
      </w:r>
      <w:r w:rsidRPr="00B9629C">
        <w:rPr>
          <w:highlight w:val="darkGray"/>
        </w:rPr>
        <w:t>PLHIV</w:t>
      </w:r>
      <w:r w:rsidR="00D67E57" w:rsidRPr="00B9629C">
        <w:rPr>
          <w:highlight w:val="darkGray"/>
        </w:rPr>
        <w:t>.</w:t>
      </w:r>
    </w:p>
    <w:p w14:paraId="6072161B" w14:textId="77777777" w:rsidR="00E5138C" w:rsidRPr="00B9629C" w:rsidRDefault="00E5138C" w:rsidP="00FA545F">
      <w:pPr>
        <w:pStyle w:val="Heading6"/>
        <w:rPr>
          <w:highlight w:val="darkGray"/>
        </w:rPr>
      </w:pPr>
      <w:r w:rsidRPr="00B9629C">
        <w:rPr>
          <w:highlight w:val="darkGray"/>
        </w:rPr>
        <w:lastRenderedPageBreak/>
        <w:t>Eligibility</w:t>
      </w:r>
    </w:p>
    <w:p w14:paraId="13C6F6C2" w14:textId="0C48759D" w:rsidR="00E5138C" w:rsidRPr="00B9629C" w:rsidRDefault="00E5138C" w:rsidP="00E5138C">
      <w:pPr>
        <w:pStyle w:val="NoSpacing"/>
        <w:rPr>
          <w:highlight w:val="darkGray"/>
        </w:rPr>
      </w:pPr>
      <w:r w:rsidRPr="00B9629C">
        <w:rPr>
          <w:highlight w:val="darkGray"/>
        </w:rPr>
        <w:t xml:space="preserve">All </w:t>
      </w:r>
      <w:r w:rsidR="00C0046D" w:rsidRPr="00B9629C">
        <w:rPr>
          <w:highlight w:val="darkGray"/>
        </w:rPr>
        <w:t>adult PLHIV</w:t>
      </w:r>
      <w:r w:rsidRPr="00B9629C">
        <w:rPr>
          <w:highlight w:val="darkGray"/>
        </w:rPr>
        <w:t xml:space="preserve">, irrespective of CD4 count and ART status. </w:t>
      </w:r>
    </w:p>
    <w:p w14:paraId="220C5255" w14:textId="77777777" w:rsidR="00E5138C" w:rsidRPr="00B9629C" w:rsidRDefault="00E5138C" w:rsidP="00FA545F">
      <w:pPr>
        <w:pStyle w:val="Heading6"/>
        <w:rPr>
          <w:highlight w:val="darkGray"/>
        </w:rPr>
      </w:pPr>
      <w:r w:rsidRPr="00B9629C">
        <w:rPr>
          <w:highlight w:val="darkGray"/>
        </w:rPr>
        <w:t>Exclusions</w:t>
      </w:r>
    </w:p>
    <w:tbl>
      <w:tblPr>
        <w:tblW w:w="0" w:type="auto"/>
        <w:tblLook w:val="04A0" w:firstRow="1" w:lastRow="0" w:firstColumn="1" w:lastColumn="0" w:noHBand="0" w:noVBand="1"/>
      </w:tblPr>
      <w:tblGrid>
        <w:gridCol w:w="3167"/>
        <w:gridCol w:w="3168"/>
      </w:tblGrid>
      <w:tr w:rsidR="00E5138C" w:rsidRPr="00B9629C" w14:paraId="3A5B42D4" w14:textId="77777777" w:rsidTr="00352DAD">
        <w:tc>
          <w:tcPr>
            <w:tcW w:w="3167" w:type="dxa"/>
          </w:tcPr>
          <w:p w14:paraId="4DBF418C" w14:textId="3DEE6ADF" w:rsidR="00E5138C" w:rsidRPr="00B9629C" w:rsidRDefault="00DF58E0" w:rsidP="00FA545F">
            <w:pPr>
              <w:pStyle w:val="ListParagraph"/>
              <w:rPr>
                <w:highlight w:val="darkGray"/>
              </w:rPr>
            </w:pPr>
            <w:r w:rsidRPr="00B9629C">
              <w:rPr>
                <w:highlight w:val="darkGray"/>
              </w:rPr>
              <w:t>s</w:t>
            </w:r>
            <w:r w:rsidR="00E5138C" w:rsidRPr="00B9629C">
              <w:rPr>
                <w:highlight w:val="darkGray"/>
              </w:rPr>
              <w:t>uspected or confirmed TB</w:t>
            </w:r>
          </w:p>
        </w:tc>
        <w:tc>
          <w:tcPr>
            <w:tcW w:w="3168" w:type="dxa"/>
          </w:tcPr>
          <w:p w14:paraId="3D427A51" w14:textId="7E86C307" w:rsidR="00E5138C" w:rsidRPr="00B9629C" w:rsidRDefault="00DF58E0" w:rsidP="00FA545F">
            <w:pPr>
              <w:pStyle w:val="ListParagraph"/>
              <w:rPr>
                <w:highlight w:val="darkGray"/>
              </w:rPr>
            </w:pPr>
            <w:r w:rsidRPr="00B9629C">
              <w:rPr>
                <w:highlight w:val="darkGray"/>
              </w:rPr>
              <w:t>p</w:t>
            </w:r>
            <w:r w:rsidR="00E5138C" w:rsidRPr="00B9629C">
              <w:rPr>
                <w:highlight w:val="darkGray"/>
              </w:rPr>
              <w:t>ainful peripheral neuropathy</w:t>
            </w:r>
          </w:p>
        </w:tc>
      </w:tr>
      <w:tr w:rsidR="00E5138C" w:rsidRPr="00B9629C" w14:paraId="3172E645" w14:textId="77777777" w:rsidTr="00352DAD">
        <w:tc>
          <w:tcPr>
            <w:tcW w:w="3167" w:type="dxa"/>
          </w:tcPr>
          <w:p w14:paraId="5A1F8AD7" w14:textId="551487B0" w:rsidR="00E5138C" w:rsidRPr="00B9629C" w:rsidRDefault="00DF58E0" w:rsidP="00FA545F">
            <w:pPr>
              <w:pStyle w:val="ListParagraph"/>
              <w:rPr>
                <w:highlight w:val="darkGray"/>
              </w:rPr>
            </w:pPr>
            <w:r w:rsidRPr="00B9629C">
              <w:rPr>
                <w:highlight w:val="darkGray"/>
              </w:rPr>
              <w:t>l</w:t>
            </w:r>
            <w:r w:rsidR="00E5138C" w:rsidRPr="00B9629C">
              <w:rPr>
                <w:highlight w:val="darkGray"/>
              </w:rPr>
              <w:t xml:space="preserve">iver </w:t>
            </w:r>
            <w:r w:rsidR="00FC036C" w:rsidRPr="00B9629C">
              <w:rPr>
                <w:highlight w:val="darkGray"/>
              </w:rPr>
              <w:t>d</w:t>
            </w:r>
            <w:r w:rsidR="00E5138C" w:rsidRPr="00B9629C">
              <w:rPr>
                <w:highlight w:val="darkGray"/>
              </w:rPr>
              <w:t xml:space="preserve">isease </w:t>
            </w:r>
          </w:p>
        </w:tc>
        <w:tc>
          <w:tcPr>
            <w:tcW w:w="3168" w:type="dxa"/>
          </w:tcPr>
          <w:p w14:paraId="071E536B" w14:textId="64B5F343" w:rsidR="00E5138C" w:rsidRPr="00B9629C" w:rsidRDefault="00DF58E0" w:rsidP="00D67E57">
            <w:pPr>
              <w:pStyle w:val="ListParagraph"/>
              <w:rPr>
                <w:highlight w:val="darkGray"/>
              </w:rPr>
            </w:pPr>
            <w:r w:rsidRPr="00B9629C">
              <w:rPr>
                <w:highlight w:val="darkGray"/>
              </w:rPr>
              <w:t>a</w:t>
            </w:r>
            <w:r w:rsidR="00E5138C" w:rsidRPr="00B9629C">
              <w:rPr>
                <w:highlight w:val="darkGray"/>
              </w:rPr>
              <w:t xml:space="preserve">lcohol </w:t>
            </w:r>
            <w:r w:rsidR="00D67E57" w:rsidRPr="00B9629C">
              <w:rPr>
                <w:highlight w:val="darkGray"/>
              </w:rPr>
              <w:t>use disorder</w:t>
            </w:r>
          </w:p>
        </w:tc>
      </w:tr>
      <w:tr w:rsidR="00E5138C" w:rsidRPr="00B9629C" w14:paraId="1E046C40" w14:textId="77777777" w:rsidTr="00352DAD">
        <w:tc>
          <w:tcPr>
            <w:tcW w:w="3167" w:type="dxa"/>
          </w:tcPr>
          <w:p w14:paraId="1FF8B9F6" w14:textId="7AD9DEBE" w:rsidR="00E5138C" w:rsidRPr="00B9629C" w:rsidRDefault="00DF58E0" w:rsidP="00FA545F">
            <w:pPr>
              <w:pStyle w:val="ListParagraph"/>
              <w:rPr>
                <w:highlight w:val="darkGray"/>
              </w:rPr>
            </w:pPr>
            <w:r w:rsidRPr="00B9629C">
              <w:rPr>
                <w:highlight w:val="darkGray"/>
              </w:rPr>
              <w:t>p</w:t>
            </w:r>
            <w:r w:rsidR="00E5138C" w:rsidRPr="00B9629C">
              <w:rPr>
                <w:highlight w:val="darkGray"/>
              </w:rPr>
              <w:t>revious MDR- or XDR-TB</w:t>
            </w:r>
          </w:p>
        </w:tc>
        <w:tc>
          <w:tcPr>
            <w:tcW w:w="3168" w:type="dxa"/>
          </w:tcPr>
          <w:p w14:paraId="2402E47E" w14:textId="77777777" w:rsidR="00E5138C" w:rsidRPr="00B9629C" w:rsidRDefault="00E5138C" w:rsidP="00352DAD">
            <w:pPr>
              <w:pStyle w:val="NoSpacing"/>
              <w:rPr>
                <w:highlight w:val="darkGray"/>
              </w:rPr>
            </w:pPr>
          </w:p>
        </w:tc>
      </w:tr>
    </w:tbl>
    <w:p w14:paraId="2229D1F7" w14:textId="77777777" w:rsidR="00E5138C" w:rsidRPr="00B9629C" w:rsidRDefault="00E5138C" w:rsidP="005E1DF7">
      <w:pPr>
        <w:pStyle w:val="NoSpacing"/>
        <w:rPr>
          <w:rStyle w:val="Strong"/>
          <w:highlight w:val="darkGray"/>
        </w:rPr>
      </w:pPr>
      <w:r w:rsidRPr="00B9629C">
        <w:rPr>
          <w:rStyle w:val="Strong"/>
          <w:highlight w:val="darkGray"/>
        </w:rPr>
        <w:t>Note:</w:t>
      </w:r>
    </w:p>
    <w:p w14:paraId="3968A2B5" w14:textId="134320CD" w:rsidR="00E5138C" w:rsidRPr="00B9629C" w:rsidRDefault="00DF58E0" w:rsidP="00846325">
      <w:pPr>
        <w:pStyle w:val="ListParagraph"/>
        <w:rPr>
          <w:highlight w:val="darkGray"/>
        </w:rPr>
      </w:pPr>
      <w:r w:rsidRPr="00B9629C">
        <w:rPr>
          <w:highlight w:val="darkGray"/>
        </w:rPr>
        <w:t xml:space="preserve">Exclude </w:t>
      </w:r>
      <w:r w:rsidR="00E5138C" w:rsidRPr="00B9629C">
        <w:rPr>
          <w:highlight w:val="darkGray"/>
        </w:rPr>
        <w:t xml:space="preserve">TB </w:t>
      </w:r>
      <w:r w:rsidRPr="00B9629C">
        <w:rPr>
          <w:highlight w:val="darkGray"/>
        </w:rPr>
        <w:t>before</w:t>
      </w:r>
      <w:r w:rsidR="00E5138C" w:rsidRPr="00B9629C">
        <w:rPr>
          <w:highlight w:val="darkGray"/>
        </w:rPr>
        <w:t xml:space="preserve"> initiating TPT by screening for the following:</w:t>
      </w:r>
    </w:p>
    <w:tbl>
      <w:tblPr>
        <w:tblW w:w="0" w:type="auto"/>
        <w:tblLook w:val="04A0" w:firstRow="1" w:lastRow="0" w:firstColumn="1" w:lastColumn="0" w:noHBand="0" w:noVBand="1"/>
      </w:tblPr>
      <w:tblGrid>
        <w:gridCol w:w="3167"/>
        <w:gridCol w:w="3168"/>
      </w:tblGrid>
      <w:tr w:rsidR="00E5138C" w:rsidRPr="00B9629C" w14:paraId="473A94A8" w14:textId="77777777" w:rsidTr="00352DAD">
        <w:tc>
          <w:tcPr>
            <w:tcW w:w="3167" w:type="dxa"/>
          </w:tcPr>
          <w:p w14:paraId="7E36D982" w14:textId="114E2308" w:rsidR="00E5138C" w:rsidRPr="00B9629C" w:rsidRDefault="00567F6C" w:rsidP="009750A0">
            <w:pPr>
              <w:pStyle w:val="ListParagraph"/>
              <w:numPr>
                <w:ilvl w:val="1"/>
                <w:numId w:val="5"/>
              </w:numPr>
              <w:rPr>
                <w:highlight w:val="darkGray"/>
              </w:rPr>
            </w:pPr>
            <w:r w:rsidRPr="00B9629C">
              <w:rPr>
                <w:highlight w:val="darkGray"/>
              </w:rPr>
              <w:t>c</w:t>
            </w:r>
            <w:r w:rsidR="00E5138C" w:rsidRPr="00B9629C">
              <w:rPr>
                <w:highlight w:val="darkGray"/>
              </w:rPr>
              <w:t>ough (any duration)</w:t>
            </w:r>
          </w:p>
        </w:tc>
        <w:tc>
          <w:tcPr>
            <w:tcW w:w="3168" w:type="dxa"/>
          </w:tcPr>
          <w:p w14:paraId="194355AD" w14:textId="7DA2931D" w:rsidR="00E5138C" w:rsidRPr="00B9629C" w:rsidRDefault="00567F6C" w:rsidP="009750A0">
            <w:pPr>
              <w:pStyle w:val="ListParagraph"/>
              <w:numPr>
                <w:ilvl w:val="1"/>
                <w:numId w:val="5"/>
              </w:numPr>
              <w:rPr>
                <w:highlight w:val="darkGray"/>
              </w:rPr>
            </w:pPr>
            <w:r w:rsidRPr="00B9629C">
              <w:rPr>
                <w:highlight w:val="darkGray"/>
              </w:rPr>
              <w:t>w</w:t>
            </w:r>
            <w:r w:rsidR="00E5138C" w:rsidRPr="00B9629C">
              <w:rPr>
                <w:highlight w:val="darkGray"/>
              </w:rPr>
              <w:t>eight loss</w:t>
            </w:r>
          </w:p>
        </w:tc>
      </w:tr>
      <w:tr w:rsidR="00E5138C" w:rsidRPr="00B9629C" w14:paraId="3DAC6E89" w14:textId="77777777" w:rsidTr="00352DAD">
        <w:tc>
          <w:tcPr>
            <w:tcW w:w="3167" w:type="dxa"/>
          </w:tcPr>
          <w:p w14:paraId="2D65BD76" w14:textId="60F2BBFD" w:rsidR="00E5138C" w:rsidRPr="00B9629C" w:rsidRDefault="00567F6C" w:rsidP="009750A0">
            <w:pPr>
              <w:pStyle w:val="ListParagraph"/>
              <w:numPr>
                <w:ilvl w:val="1"/>
                <w:numId w:val="5"/>
              </w:numPr>
              <w:rPr>
                <w:highlight w:val="darkGray"/>
              </w:rPr>
            </w:pPr>
            <w:r w:rsidRPr="00B9629C">
              <w:rPr>
                <w:highlight w:val="darkGray"/>
              </w:rPr>
              <w:t>c</w:t>
            </w:r>
            <w:r w:rsidR="00E5138C" w:rsidRPr="00B9629C">
              <w:rPr>
                <w:highlight w:val="darkGray"/>
              </w:rPr>
              <w:t xml:space="preserve">ever </w:t>
            </w:r>
          </w:p>
        </w:tc>
        <w:tc>
          <w:tcPr>
            <w:tcW w:w="3168" w:type="dxa"/>
          </w:tcPr>
          <w:p w14:paraId="332215D6" w14:textId="5B22CDDF" w:rsidR="00E5138C" w:rsidRPr="00B9629C" w:rsidRDefault="00567F6C" w:rsidP="009750A0">
            <w:pPr>
              <w:pStyle w:val="ListParagraph"/>
              <w:numPr>
                <w:ilvl w:val="1"/>
                <w:numId w:val="5"/>
              </w:numPr>
              <w:rPr>
                <w:highlight w:val="darkGray"/>
              </w:rPr>
            </w:pPr>
            <w:r w:rsidRPr="00B9629C">
              <w:rPr>
                <w:highlight w:val="darkGray"/>
              </w:rPr>
              <w:t>n</w:t>
            </w:r>
            <w:r w:rsidR="00E5138C" w:rsidRPr="00B9629C">
              <w:rPr>
                <w:highlight w:val="darkGray"/>
              </w:rPr>
              <w:t>ight sweats</w:t>
            </w:r>
          </w:p>
        </w:tc>
      </w:tr>
    </w:tbl>
    <w:tbl>
      <w:tblPr>
        <w:tblStyle w:val="TableGrid"/>
        <w:tblpPr w:leftFromText="180" w:rightFromText="180" w:vertAnchor="text" w:horzAnchor="margin" w:tblpXSpec="right" w:tblpY="33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9"/>
      </w:tblGrid>
      <w:tr w:rsidR="00F12F3B" w:rsidRPr="00B9629C" w14:paraId="28F4BFE2" w14:textId="77777777" w:rsidTr="00F12F3B">
        <w:tc>
          <w:tcPr>
            <w:tcW w:w="879" w:type="dxa"/>
            <w:shd w:val="clear" w:color="auto" w:fill="auto"/>
          </w:tcPr>
          <w:p w14:paraId="252C20D8" w14:textId="77777777" w:rsidR="00F12F3B" w:rsidRPr="00B9629C" w:rsidRDefault="00F12F3B" w:rsidP="00F12F3B">
            <w:pPr>
              <w:spacing w:before="0" w:after="0"/>
              <w:rPr>
                <w:i/>
                <w:sz w:val="14"/>
                <w:szCs w:val="16"/>
                <w:highlight w:val="darkGray"/>
              </w:rPr>
            </w:pPr>
            <w:r w:rsidRPr="00B9629C">
              <w:rPr>
                <w:i/>
                <w:sz w:val="14"/>
                <w:szCs w:val="16"/>
                <w:highlight w:val="darkGray"/>
              </w:rPr>
              <w:t>LoE:IIb</w:t>
            </w:r>
            <w:r w:rsidRPr="00B9629C">
              <w:rPr>
                <w:i/>
                <w:sz w:val="14"/>
                <w:szCs w:val="16"/>
                <w:highlight w:val="darkGray"/>
                <w:vertAlign w:val="superscript"/>
              </w:rPr>
              <w:endnoteReference w:id="32"/>
            </w:r>
          </w:p>
        </w:tc>
      </w:tr>
    </w:tbl>
    <w:p w14:paraId="2C195CCE" w14:textId="3BF93A18" w:rsidR="00EF35F0" w:rsidRPr="00B9629C" w:rsidRDefault="00567F6C" w:rsidP="00846325">
      <w:pPr>
        <w:pStyle w:val="ListParagraph"/>
        <w:rPr>
          <w:highlight w:val="darkGray"/>
        </w:rPr>
      </w:pPr>
      <w:r w:rsidRPr="00B9629C">
        <w:rPr>
          <w:highlight w:val="darkGray"/>
        </w:rPr>
        <w:t xml:space="preserve">Do not start </w:t>
      </w:r>
      <w:r w:rsidR="00E5138C" w:rsidRPr="00B9629C">
        <w:rPr>
          <w:highlight w:val="darkGray"/>
        </w:rPr>
        <w:t xml:space="preserve">TPT if any of the above </w:t>
      </w:r>
      <w:r w:rsidRPr="00B9629C">
        <w:rPr>
          <w:highlight w:val="darkGray"/>
        </w:rPr>
        <w:t xml:space="preserve">symptoms are </w:t>
      </w:r>
      <w:r w:rsidR="00E5138C" w:rsidRPr="00B9629C">
        <w:rPr>
          <w:highlight w:val="darkGray"/>
        </w:rPr>
        <w:t>present. These patients require further investigation for active TB.</w:t>
      </w:r>
    </w:p>
    <w:p w14:paraId="08A5C134" w14:textId="63368AC6" w:rsidR="00E5138C" w:rsidRPr="00B9629C" w:rsidRDefault="00E5138C" w:rsidP="004116C6">
      <w:pPr>
        <w:pStyle w:val="ListParagraph"/>
        <w:rPr>
          <w:highlight w:val="darkGray"/>
        </w:rPr>
      </w:pPr>
      <w:r w:rsidRPr="00B9629C">
        <w:rPr>
          <w:highlight w:val="darkGray"/>
        </w:rPr>
        <w:t>Start TPT together with ARVs</w:t>
      </w:r>
      <w:r w:rsidR="00EF35F0" w:rsidRPr="00B9629C">
        <w:rPr>
          <w:highlight w:val="darkGray"/>
        </w:rPr>
        <w:t>.</w:t>
      </w:r>
    </w:p>
    <w:p w14:paraId="3788B57C" w14:textId="72CA65C1" w:rsidR="00235F44" w:rsidRPr="00B9629C" w:rsidRDefault="00235F44" w:rsidP="009750A0">
      <w:pPr>
        <w:pStyle w:val="NoSpacing"/>
        <w:numPr>
          <w:ilvl w:val="0"/>
          <w:numId w:val="20"/>
        </w:numPr>
        <w:ind w:left="284" w:hanging="284"/>
        <w:rPr>
          <w:highlight w:val="darkGray"/>
        </w:rPr>
      </w:pPr>
      <w:r w:rsidRPr="00B9629C">
        <w:rPr>
          <w:highlight w:val="darkGray"/>
        </w:rPr>
        <w:t>TPT, e.g.:</w:t>
      </w:r>
    </w:p>
    <w:p w14:paraId="5DCDD4DC" w14:textId="4468B6B6" w:rsidR="00E5138C" w:rsidRPr="00B9629C" w:rsidRDefault="00E5138C" w:rsidP="000C4724">
      <w:pPr>
        <w:pStyle w:val="BulletMedicine"/>
        <w:rPr>
          <w:highlight w:val="darkGray"/>
        </w:rPr>
      </w:pPr>
      <w:r w:rsidRPr="00B9629C">
        <w:rPr>
          <w:highlight w:val="darkGray"/>
        </w:rPr>
        <w:t>Isoniazid, oral</w:t>
      </w:r>
      <w:r w:rsidR="00042E17" w:rsidRPr="00B9629C">
        <w:rPr>
          <w:highlight w:val="darkGray"/>
        </w:rPr>
        <w:fldChar w:fldCharType="begin"/>
      </w:r>
      <w:r w:rsidR="00042E17" w:rsidRPr="00B9629C">
        <w:rPr>
          <w:highlight w:val="darkGray"/>
        </w:rPr>
        <w:instrText xml:space="preserve"> XE "Isoniazid, oral" \f "m" </w:instrText>
      </w:r>
      <w:r w:rsidR="00042E17" w:rsidRPr="00B9629C">
        <w:rPr>
          <w:highlight w:val="darkGray"/>
        </w:rPr>
        <w:fldChar w:fldCharType="end"/>
      </w:r>
      <w:r w:rsidRPr="00B9629C">
        <w:rPr>
          <w:highlight w:val="darkGray"/>
        </w:rPr>
        <w:t>, 300 mg daily for 12 months.</w:t>
      </w:r>
    </w:p>
    <w:p w14:paraId="1FA8E28B" w14:textId="76F3ABCA" w:rsidR="00024411" w:rsidRPr="00B9629C" w:rsidRDefault="00024411" w:rsidP="00275EFF">
      <w:pPr>
        <w:pStyle w:val="BulletMedicine"/>
        <w:numPr>
          <w:ilvl w:val="0"/>
          <w:numId w:val="0"/>
        </w:numPr>
        <w:ind w:left="284" w:hanging="284"/>
        <w:rPr>
          <w:i/>
          <w:highlight w:val="darkGray"/>
        </w:rPr>
      </w:pPr>
    </w:p>
    <w:p w14:paraId="1D34ECFA" w14:textId="77777777" w:rsidR="008E413C" w:rsidRPr="00B9629C" w:rsidRDefault="008E413C" w:rsidP="00BA239A">
      <w:pPr>
        <w:pStyle w:val="Level1"/>
        <w:shd w:val="clear" w:color="auto" w:fill="FFFFFF" w:themeFill="background1"/>
        <w:tabs>
          <w:tab w:val="left" w:pos="-139"/>
        </w:tabs>
        <w:ind w:left="0" w:firstLine="0"/>
        <w:jc w:val="both"/>
        <w:rPr>
          <w:rFonts w:ascii="Arial" w:hAnsi="Arial" w:cs="Arial"/>
          <w:color w:val="000000"/>
          <w:sz w:val="18"/>
          <w:highlight w:val="darkGray"/>
          <w:u w:val="single"/>
          <w:lang w:val="en-ZA"/>
        </w:rPr>
      </w:pPr>
      <w:r w:rsidRPr="00B9629C">
        <w:rPr>
          <w:rFonts w:ascii="Arial" w:hAnsi="Arial" w:cs="Arial"/>
          <w:color w:val="000000"/>
          <w:sz w:val="18"/>
          <w:highlight w:val="darkGray"/>
          <w:u w:val="single"/>
          <w:lang w:val="en-ZA"/>
        </w:rPr>
        <w:t>A</w:t>
      </w:r>
      <w:r w:rsidR="002E7EC9" w:rsidRPr="00B9629C">
        <w:rPr>
          <w:rFonts w:ascii="Arial" w:hAnsi="Arial" w:cs="Arial"/>
          <w:color w:val="000000"/>
          <w:sz w:val="18"/>
          <w:highlight w:val="darkGray"/>
          <w:u w:val="single"/>
          <w:lang w:val="en-ZA"/>
        </w:rPr>
        <w:t>dults and adolescents initiati</w:t>
      </w:r>
      <w:r w:rsidRPr="00B9629C">
        <w:rPr>
          <w:rFonts w:ascii="Arial" w:hAnsi="Arial" w:cs="Arial"/>
          <w:color w:val="000000"/>
          <w:sz w:val="18"/>
          <w:highlight w:val="darkGray"/>
          <w:u w:val="single"/>
          <w:lang w:val="en-ZA"/>
        </w:rPr>
        <w:t>ng a DTG-containing ART regimen:</w:t>
      </w:r>
    </w:p>
    <w:p w14:paraId="787F3C3D" w14:textId="77777777" w:rsidR="008E413C" w:rsidRPr="00B9629C" w:rsidRDefault="008E413C" w:rsidP="00BA239A">
      <w:pPr>
        <w:pStyle w:val="BulletMedicine"/>
        <w:jc w:val="both"/>
        <w:rPr>
          <w:highlight w:val="darkGray"/>
        </w:rPr>
      </w:pPr>
      <w:r w:rsidRPr="00B9629C">
        <w:rPr>
          <w:highlight w:val="darkGray"/>
        </w:rPr>
        <w:t>I</w:t>
      </w:r>
      <w:r w:rsidR="002E7EC9" w:rsidRPr="00B9629C">
        <w:rPr>
          <w:highlight w:val="darkGray"/>
        </w:rPr>
        <w:t xml:space="preserve">soniazid daily for 12 months is the preferred regimen. </w:t>
      </w:r>
    </w:p>
    <w:p w14:paraId="71537E44" w14:textId="77777777" w:rsidR="008E413C" w:rsidRPr="00B9629C" w:rsidRDefault="002E7EC9" w:rsidP="00BA239A">
      <w:pPr>
        <w:pStyle w:val="Level1"/>
        <w:shd w:val="clear" w:color="auto" w:fill="FFFFFF" w:themeFill="background1"/>
        <w:tabs>
          <w:tab w:val="left" w:pos="-139"/>
        </w:tabs>
        <w:ind w:left="0" w:firstLine="0"/>
        <w:jc w:val="both"/>
        <w:rPr>
          <w:rFonts w:ascii="Arial" w:hAnsi="Arial" w:cs="Arial"/>
          <w:sz w:val="18"/>
          <w:highlight w:val="darkGray"/>
          <w:lang w:val="en-ZA"/>
        </w:rPr>
      </w:pPr>
      <w:r w:rsidRPr="00B9629C">
        <w:rPr>
          <w:rFonts w:ascii="Arial" w:hAnsi="Arial" w:cs="Arial"/>
          <w:color w:val="000000"/>
          <w:sz w:val="18"/>
          <w:highlight w:val="darkGray"/>
          <w:u w:val="single"/>
          <w:lang w:val="en-ZA"/>
        </w:rPr>
        <w:t xml:space="preserve">For patients who are already virally suppressed on a DTG-based </w:t>
      </w:r>
      <w:r w:rsidRPr="00B9629C">
        <w:rPr>
          <w:rFonts w:ascii="Arial" w:hAnsi="Arial" w:cs="Arial"/>
          <w:sz w:val="18"/>
          <w:highlight w:val="darkGray"/>
          <w:u w:val="single"/>
          <w:lang w:val="en-ZA"/>
        </w:rPr>
        <w:t>regimen</w:t>
      </w:r>
      <w:r w:rsidR="008E413C" w:rsidRPr="00B9629C">
        <w:rPr>
          <w:rFonts w:ascii="Arial" w:hAnsi="Arial" w:cs="Arial"/>
          <w:sz w:val="18"/>
          <w:highlight w:val="darkGray"/>
          <w:lang w:val="en-ZA"/>
        </w:rPr>
        <w:t>:</w:t>
      </w:r>
    </w:p>
    <w:p w14:paraId="00B8508D" w14:textId="6D552F36" w:rsidR="008E413C" w:rsidRPr="00B9629C" w:rsidRDefault="008E413C" w:rsidP="00BA239A">
      <w:pPr>
        <w:pStyle w:val="BulletMedicine"/>
        <w:jc w:val="both"/>
        <w:rPr>
          <w:highlight w:val="darkGray"/>
        </w:rPr>
      </w:pPr>
      <w:r w:rsidRPr="00B9629C">
        <w:rPr>
          <w:highlight w:val="darkGray"/>
        </w:rPr>
        <w:t>A</w:t>
      </w:r>
      <w:r w:rsidR="002E7EC9" w:rsidRPr="00B9629C">
        <w:rPr>
          <w:highlight w:val="darkGray"/>
        </w:rPr>
        <w:t xml:space="preserve"> weekly combination of isoniazid </w:t>
      </w:r>
      <w:r w:rsidR="00290045" w:rsidRPr="00B9629C">
        <w:rPr>
          <w:highlight w:val="darkGray"/>
        </w:rPr>
        <w:t>(</w:t>
      </w:r>
      <w:r w:rsidR="00290045" w:rsidRPr="00B9629C">
        <w:rPr>
          <w:highlight w:val="darkGray"/>
          <w:u w:val="single"/>
        </w:rPr>
        <w:t>900</w:t>
      </w:r>
      <w:r w:rsidR="002E7E26" w:rsidRPr="00B9629C">
        <w:rPr>
          <w:highlight w:val="darkGray"/>
          <w:u w:val="single"/>
        </w:rPr>
        <w:t xml:space="preserve"> </w:t>
      </w:r>
      <w:r w:rsidR="00290045" w:rsidRPr="00B9629C">
        <w:rPr>
          <w:highlight w:val="darkGray"/>
          <w:u w:val="single"/>
        </w:rPr>
        <w:t>mg if weight &gt;30 kg</w:t>
      </w:r>
      <w:r w:rsidR="00290045" w:rsidRPr="00B9629C">
        <w:rPr>
          <w:highlight w:val="darkGray"/>
        </w:rPr>
        <w:t xml:space="preserve">) </w:t>
      </w:r>
      <w:r w:rsidR="002E7EC9" w:rsidRPr="00B9629C">
        <w:rPr>
          <w:highlight w:val="darkGray"/>
        </w:rPr>
        <w:t xml:space="preserve">plus rifapentine </w:t>
      </w:r>
      <w:r w:rsidR="00290045" w:rsidRPr="00B9629C">
        <w:rPr>
          <w:highlight w:val="darkGray"/>
        </w:rPr>
        <w:t>(</w:t>
      </w:r>
      <w:r w:rsidR="00290045" w:rsidRPr="00B9629C">
        <w:rPr>
          <w:highlight w:val="darkGray"/>
          <w:u w:val="single"/>
        </w:rPr>
        <w:t>900</w:t>
      </w:r>
      <w:r w:rsidR="002E7E26" w:rsidRPr="00B9629C">
        <w:rPr>
          <w:highlight w:val="darkGray"/>
          <w:u w:val="single"/>
        </w:rPr>
        <w:t xml:space="preserve"> </w:t>
      </w:r>
      <w:r w:rsidR="00290045" w:rsidRPr="00B9629C">
        <w:rPr>
          <w:highlight w:val="darkGray"/>
          <w:u w:val="single"/>
        </w:rPr>
        <w:t>mg if weight &gt;30 kg</w:t>
      </w:r>
      <w:r w:rsidR="00290045" w:rsidRPr="00B9629C">
        <w:rPr>
          <w:highlight w:val="darkGray"/>
        </w:rPr>
        <w:t xml:space="preserve">) </w:t>
      </w:r>
      <w:r w:rsidR="002E7EC9" w:rsidRPr="00B9629C">
        <w:rPr>
          <w:highlight w:val="darkGray"/>
        </w:rPr>
        <w:t xml:space="preserve">for three months may be used. </w:t>
      </w:r>
    </w:p>
    <w:p w14:paraId="04260761" w14:textId="2DCA854B" w:rsidR="00D67E57" w:rsidRPr="00B9629C" w:rsidRDefault="002E7EC9" w:rsidP="00BA239A">
      <w:pPr>
        <w:pStyle w:val="BulletDirectionsInstructions"/>
        <w:jc w:val="both"/>
        <w:rPr>
          <w:highlight w:val="darkGray"/>
        </w:rPr>
      </w:pPr>
      <w:r w:rsidRPr="00B9629C">
        <w:rPr>
          <w:highlight w:val="darkGray"/>
        </w:rPr>
        <w:t xml:space="preserve">Do not </w:t>
      </w:r>
      <w:r w:rsidR="004627E4" w:rsidRPr="00B9629C">
        <w:rPr>
          <w:highlight w:val="darkGray"/>
        </w:rPr>
        <w:t xml:space="preserve">use </w:t>
      </w:r>
      <w:r w:rsidRPr="00B9629C">
        <w:rPr>
          <w:highlight w:val="darkGray"/>
        </w:rPr>
        <w:t xml:space="preserve">rifapentine-containing TPT </w:t>
      </w:r>
      <w:r w:rsidR="00D67E57" w:rsidRPr="00B9629C">
        <w:rPr>
          <w:highlight w:val="darkGray"/>
        </w:rPr>
        <w:t>in patients on protease inhibitor-based ART, or in women on hormonal contraceptives. [</w:t>
      </w:r>
      <w:r w:rsidR="00D67E57" w:rsidRPr="00B9629C">
        <w:rPr>
          <w:i/>
          <w:highlight w:val="darkGray"/>
        </w:rPr>
        <w:t>See the therapeutic interchange database for details regarding the rifapentine-containing TPT regimen</w:t>
      </w:r>
      <w:r w:rsidR="00D67E57" w:rsidRPr="00B9629C">
        <w:rPr>
          <w:highlight w:val="darkGray"/>
        </w:rPr>
        <w:t>].</w:t>
      </w:r>
    </w:p>
    <w:p w14:paraId="78BDFB88" w14:textId="1A359B2F" w:rsidR="008E413C" w:rsidRPr="00B9629C" w:rsidRDefault="008E413C" w:rsidP="00BA239A">
      <w:pPr>
        <w:pStyle w:val="BulletDirectionsInstructions"/>
        <w:jc w:val="both"/>
        <w:rPr>
          <w:highlight w:val="darkGray"/>
        </w:rPr>
      </w:pPr>
      <w:r w:rsidRPr="00B9629C">
        <w:rPr>
          <w:highlight w:val="darkGray"/>
        </w:rPr>
        <w:t>Educate patients on the symptoms of hepatotoxicity (nausea, vomiting, yellow eyes, brown urine, and pain in right upper quadrant)</w:t>
      </w:r>
      <w:r w:rsidR="00EE7CF5" w:rsidRPr="00B9629C">
        <w:rPr>
          <w:highlight w:val="darkGray"/>
        </w:rPr>
        <w:t xml:space="preserve"> associated with TPT</w:t>
      </w:r>
      <w:r w:rsidRPr="00B9629C">
        <w:rPr>
          <w:highlight w:val="darkGray"/>
        </w:rPr>
        <w:t>.</w:t>
      </w:r>
    </w:p>
    <w:tbl>
      <w:tblPr>
        <w:tblStyle w:val="TableGrid"/>
        <w:tblpPr w:leftFromText="180" w:rightFromText="180" w:vertAnchor="text" w:horzAnchor="page" w:tblpX="6798" w:tblpY="5"/>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7"/>
      </w:tblGrid>
      <w:tr w:rsidR="003D30F7" w:rsidRPr="00B9629C" w14:paraId="0361CCA0" w14:textId="77777777" w:rsidTr="003D30F7">
        <w:tc>
          <w:tcPr>
            <w:tcW w:w="807" w:type="dxa"/>
            <w:shd w:val="clear" w:color="auto" w:fill="auto"/>
          </w:tcPr>
          <w:p w14:paraId="56512E15" w14:textId="77777777" w:rsidR="003D30F7" w:rsidRPr="00B9629C" w:rsidRDefault="003D30F7" w:rsidP="003D30F7">
            <w:pPr>
              <w:spacing w:before="0" w:after="0"/>
              <w:rPr>
                <w:i/>
                <w:sz w:val="14"/>
                <w:szCs w:val="22"/>
                <w:highlight w:val="darkGray"/>
              </w:rPr>
            </w:pPr>
            <w:r w:rsidRPr="00B9629C">
              <w:rPr>
                <w:i/>
                <w:sz w:val="14"/>
                <w:szCs w:val="22"/>
                <w:highlight w:val="darkGray"/>
              </w:rPr>
              <w:t>LoE:IIb</w:t>
            </w:r>
            <w:r w:rsidRPr="00B9629C">
              <w:rPr>
                <w:rStyle w:val="EndnoteReference"/>
                <w:i/>
                <w:sz w:val="14"/>
                <w:szCs w:val="22"/>
                <w:highlight w:val="darkGray"/>
              </w:rPr>
              <w:endnoteReference w:id="33"/>
            </w:r>
          </w:p>
        </w:tc>
      </w:tr>
    </w:tbl>
    <w:p w14:paraId="3C6BD277" w14:textId="644B1F22" w:rsidR="00E5138C" w:rsidRPr="00B9629C" w:rsidRDefault="00D67E57" w:rsidP="00E5138C">
      <w:pPr>
        <w:pStyle w:val="NoSpacing"/>
        <w:rPr>
          <w:rStyle w:val="Strong"/>
          <w:highlight w:val="darkGray"/>
        </w:rPr>
      </w:pPr>
      <w:r w:rsidRPr="00B9629C">
        <w:rPr>
          <w:rStyle w:val="Strong"/>
          <w:highlight w:val="darkGray"/>
        </w:rPr>
        <w:t>ADD</w:t>
      </w:r>
    </w:p>
    <w:p w14:paraId="0F75F135" w14:textId="09DA3EC7" w:rsidR="00E5138C" w:rsidRPr="00B9629C" w:rsidRDefault="00E5138C" w:rsidP="000C4724">
      <w:pPr>
        <w:pStyle w:val="BulletMedicine"/>
        <w:rPr>
          <w:highlight w:val="darkGray"/>
        </w:rPr>
      </w:pPr>
      <w:r w:rsidRPr="00B9629C">
        <w:rPr>
          <w:highlight w:val="darkGray"/>
        </w:rPr>
        <w:t>Pyridoxine, oral</w:t>
      </w:r>
      <w:r w:rsidR="00042E17" w:rsidRPr="00B9629C">
        <w:rPr>
          <w:highlight w:val="darkGray"/>
        </w:rPr>
        <w:fldChar w:fldCharType="begin"/>
      </w:r>
      <w:r w:rsidR="00042E17" w:rsidRPr="00B9629C">
        <w:rPr>
          <w:highlight w:val="darkGray"/>
        </w:rPr>
        <w:instrText xml:space="preserve"> XE "Pyridoxine, oral" \f "m" </w:instrText>
      </w:r>
      <w:r w:rsidR="00042E17" w:rsidRPr="00B9629C">
        <w:rPr>
          <w:highlight w:val="darkGray"/>
        </w:rPr>
        <w:fldChar w:fldCharType="end"/>
      </w:r>
      <w:r w:rsidRPr="00B9629C">
        <w:rPr>
          <w:highlight w:val="darkGray"/>
        </w:rPr>
        <w:t xml:space="preserve">, 25 mg once daily for </w:t>
      </w:r>
      <w:r w:rsidR="008E413C" w:rsidRPr="00B9629C">
        <w:rPr>
          <w:highlight w:val="darkGray"/>
        </w:rPr>
        <w:t>the full duration of the TPT regimen.</w:t>
      </w:r>
    </w:p>
    <w:p w14:paraId="159A43AA" w14:textId="4F1A681E" w:rsidR="00E5138C" w:rsidRPr="00B9629C" w:rsidRDefault="00E5138C" w:rsidP="00C507A2">
      <w:pPr>
        <w:pStyle w:val="BulletDirectionsInstructions"/>
        <w:rPr>
          <w:highlight w:val="darkGray"/>
        </w:rPr>
      </w:pPr>
      <w:r w:rsidRPr="00B9629C">
        <w:rPr>
          <w:highlight w:val="darkGray"/>
        </w:rPr>
        <w:t>Instruct patient to present early if any of these symptoms arise.</w:t>
      </w:r>
    </w:p>
    <w:p w14:paraId="5A228EA6" w14:textId="68D771D4" w:rsidR="00E5138C" w:rsidRPr="00B9629C" w:rsidRDefault="00BF36A8" w:rsidP="00C507A2">
      <w:pPr>
        <w:pStyle w:val="BulletDirectionsInstructions"/>
        <w:rPr>
          <w:highlight w:val="darkGray"/>
        </w:rPr>
      </w:pPr>
      <w:r w:rsidRPr="00B9629C">
        <w:rPr>
          <w:highlight w:val="darkGray"/>
        </w:rPr>
        <w:t>Follow p</w:t>
      </w:r>
      <w:r w:rsidR="00E5138C" w:rsidRPr="00B9629C">
        <w:rPr>
          <w:highlight w:val="darkGray"/>
        </w:rPr>
        <w:t xml:space="preserve">atients up monthly for the first 3 months. </w:t>
      </w:r>
    </w:p>
    <w:p w14:paraId="602C8A46" w14:textId="2C36C81B" w:rsidR="00BF7B17" w:rsidRPr="00B9629C" w:rsidRDefault="00BF7B17" w:rsidP="00E5138C">
      <w:pPr>
        <w:pStyle w:val="NoSpacing"/>
        <w:rPr>
          <w:sz w:val="6"/>
          <w:highlight w:val="darkGray"/>
        </w:rPr>
      </w:pPr>
    </w:p>
    <w:tbl>
      <w:tblPr>
        <w:tblStyle w:val="TableGrid3"/>
        <w:tblpPr w:leftFromText="180" w:rightFromText="180" w:vertAnchor="text" w:horzAnchor="margin" w:tblpXSpec="right" w:tblpY="66"/>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0"/>
      </w:tblGrid>
      <w:tr w:rsidR="003D30F7" w:rsidRPr="00B9629C" w14:paraId="339441B7" w14:textId="77777777" w:rsidTr="003D30F7">
        <w:tc>
          <w:tcPr>
            <w:tcW w:w="720" w:type="dxa"/>
            <w:shd w:val="clear" w:color="auto" w:fill="auto"/>
          </w:tcPr>
          <w:p w14:paraId="2F8F9D5A" w14:textId="77777777" w:rsidR="003D30F7" w:rsidRPr="00B9629C" w:rsidRDefault="003D30F7" w:rsidP="003D30F7">
            <w:pPr>
              <w:spacing w:before="0" w:after="0"/>
              <w:rPr>
                <w:i/>
                <w:spacing w:val="0"/>
                <w:sz w:val="14"/>
                <w:szCs w:val="22"/>
                <w:highlight w:val="darkGray"/>
              </w:rPr>
            </w:pPr>
            <w:r w:rsidRPr="00B9629C">
              <w:rPr>
                <w:i/>
                <w:spacing w:val="0"/>
                <w:sz w:val="14"/>
                <w:szCs w:val="22"/>
                <w:highlight w:val="darkGray"/>
              </w:rPr>
              <w:t>LoE:IIb</w:t>
            </w:r>
            <w:r w:rsidRPr="00B9629C">
              <w:rPr>
                <w:i/>
                <w:spacing w:val="0"/>
                <w:sz w:val="14"/>
                <w:szCs w:val="22"/>
                <w:highlight w:val="darkGray"/>
                <w:vertAlign w:val="superscript"/>
              </w:rPr>
              <w:endnoteReference w:id="34"/>
            </w:r>
          </w:p>
        </w:tc>
      </w:tr>
    </w:tbl>
    <w:p w14:paraId="405F5793" w14:textId="5E40B2C2" w:rsidR="00637611" w:rsidRPr="00B9629C" w:rsidRDefault="00637611" w:rsidP="00E5138C">
      <w:pPr>
        <w:pStyle w:val="NoSpacing"/>
        <w:rPr>
          <w:highlight w:val="darkGray"/>
        </w:rPr>
      </w:pPr>
      <w:r w:rsidRPr="00B9629C">
        <w:rPr>
          <w:highlight w:val="darkGray"/>
        </w:rPr>
        <w:t xml:space="preserve"> NOTE: </w:t>
      </w:r>
      <w:r w:rsidR="00141A1A" w:rsidRPr="00B9629C">
        <w:rPr>
          <w:highlight w:val="darkGray"/>
        </w:rPr>
        <w:t>For p</w:t>
      </w:r>
      <w:r w:rsidR="00E5138C" w:rsidRPr="00B9629C">
        <w:rPr>
          <w:highlight w:val="darkGray"/>
        </w:rPr>
        <w:t>regnant women</w:t>
      </w:r>
      <w:r w:rsidR="00141A1A" w:rsidRPr="00B9629C">
        <w:rPr>
          <w:highlight w:val="darkGray"/>
        </w:rPr>
        <w:t>:</w:t>
      </w:r>
    </w:p>
    <w:p w14:paraId="7AC7517D" w14:textId="1F14499A" w:rsidR="00E5138C" w:rsidRPr="00B9629C" w:rsidRDefault="00637611" w:rsidP="009750A0">
      <w:pPr>
        <w:pStyle w:val="ListParagraph"/>
        <w:numPr>
          <w:ilvl w:val="0"/>
          <w:numId w:val="32"/>
        </w:numPr>
        <w:rPr>
          <w:highlight w:val="darkGray"/>
        </w:rPr>
      </w:pPr>
      <w:r w:rsidRPr="00B9629C">
        <w:rPr>
          <w:highlight w:val="darkGray"/>
        </w:rPr>
        <w:t>Defer TPT until after delivery</w:t>
      </w:r>
      <w:r w:rsidR="002E7E26" w:rsidRPr="00B9629C">
        <w:rPr>
          <w:highlight w:val="darkGray"/>
        </w:rPr>
        <w:t>.</w:t>
      </w:r>
    </w:p>
    <w:p w14:paraId="13860D12" w14:textId="0DD4A23D" w:rsidR="00637611" w:rsidRPr="00B9629C" w:rsidRDefault="00637611" w:rsidP="009750A0">
      <w:pPr>
        <w:pStyle w:val="ListParagraph"/>
        <w:numPr>
          <w:ilvl w:val="0"/>
          <w:numId w:val="32"/>
        </w:numPr>
        <w:rPr>
          <w:highlight w:val="darkGray"/>
        </w:rPr>
      </w:pPr>
      <w:r w:rsidRPr="00B9629C">
        <w:rPr>
          <w:highlight w:val="darkGray"/>
        </w:rPr>
        <w:t>Ensure that routine screening against TB is conducted at each antenatal visit</w:t>
      </w:r>
      <w:r w:rsidR="00F869C6" w:rsidRPr="00B9629C">
        <w:rPr>
          <w:highlight w:val="darkGray"/>
        </w:rPr>
        <w:t>.</w:t>
      </w:r>
    </w:p>
    <w:p w14:paraId="71DA2DBE" w14:textId="77777777" w:rsidR="00BA239A" w:rsidRPr="00B9629C" w:rsidRDefault="00BA239A" w:rsidP="00BA239A">
      <w:pPr>
        <w:pStyle w:val="ListParagraph"/>
        <w:numPr>
          <w:ilvl w:val="0"/>
          <w:numId w:val="0"/>
        </w:numPr>
        <w:ind w:left="360"/>
        <w:rPr>
          <w:highlight w:val="darkGray"/>
        </w:rPr>
      </w:pPr>
    </w:p>
    <w:p w14:paraId="438393B3" w14:textId="5FE9C2D7" w:rsidR="00E5138C" w:rsidRPr="00B9629C" w:rsidRDefault="00D224D2" w:rsidP="00F12F3B">
      <w:pPr>
        <w:pStyle w:val="Heading2"/>
        <w:rPr>
          <w:highlight w:val="darkGray"/>
        </w:rPr>
      </w:pPr>
      <w:bookmarkStart w:id="16" w:name="_Toc57132043"/>
      <w:bookmarkStart w:id="17" w:name="_Toc177151092"/>
      <w:r w:rsidRPr="00B9629C">
        <w:rPr>
          <w:highlight w:val="darkGray"/>
        </w:rPr>
        <w:t>Opportunistic infections, treatment in adults</w:t>
      </w:r>
      <w:bookmarkEnd w:id="16"/>
      <w:bookmarkEnd w:id="17"/>
      <w:r w:rsidR="006D4857" w:rsidRPr="00B9629C">
        <w:rPr>
          <w:highlight w:val="darkGray"/>
        </w:rPr>
        <w:fldChar w:fldCharType="begin"/>
      </w:r>
      <w:r w:rsidR="006D4857" w:rsidRPr="00B9629C">
        <w:rPr>
          <w:highlight w:val="darkGray"/>
        </w:rPr>
        <w:instrText xml:space="preserve"> XE "Opportunistic infections, treatment in adults" \f “c”</w:instrText>
      </w:r>
      <w:r w:rsidR="006D4857" w:rsidRPr="00B9629C">
        <w:rPr>
          <w:highlight w:val="darkGray"/>
        </w:rPr>
        <w:fldChar w:fldCharType="end"/>
      </w:r>
    </w:p>
    <w:p w14:paraId="3ED02052" w14:textId="49E5718D" w:rsidR="002625D7" w:rsidRPr="00B9629C" w:rsidRDefault="002625D7" w:rsidP="00305C6B">
      <w:pPr>
        <w:pStyle w:val="ICD10"/>
        <w:rPr>
          <w:highlight w:val="darkGray"/>
        </w:rPr>
      </w:pPr>
    </w:p>
    <w:p w14:paraId="358D7F48" w14:textId="77777777" w:rsidR="002625D7" w:rsidRPr="00B9629C" w:rsidRDefault="002625D7" w:rsidP="002625D7">
      <w:pPr>
        <w:pStyle w:val="Heading3"/>
        <w:spacing w:before="0"/>
        <w:rPr>
          <w:highlight w:val="darkGray"/>
        </w:rPr>
      </w:pPr>
      <w:bookmarkStart w:id="18" w:name="_Toc177151093"/>
      <w:r w:rsidRPr="00B9629C">
        <w:rPr>
          <w:highlight w:val="darkGray"/>
        </w:rPr>
        <w:t>Aphthous ulcers in HIV infection</w:t>
      </w:r>
      <w:bookmarkEnd w:id="18"/>
      <w:r w:rsidRPr="00B9629C">
        <w:rPr>
          <w:highlight w:val="darkGray"/>
        </w:rPr>
        <w:fldChar w:fldCharType="begin"/>
      </w:r>
      <w:r w:rsidRPr="00B9629C">
        <w:rPr>
          <w:highlight w:val="darkGray"/>
        </w:rPr>
        <w:instrText xml:space="preserve"> XE "Aphthous ulcers in HIV infection" \f “c”</w:instrText>
      </w:r>
      <w:r w:rsidRPr="00B9629C">
        <w:rPr>
          <w:highlight w:val="darkGray"/>
        </w:rPr>
        <w:fldChar w:fldCharType="end"/>
      </w:r>
    </w:p>
    <w:p w14:paraId="584E1326" w14:textId="3F91289F"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K12.0 + (B24)</w:t>
      </w:r>
    </w:p>
    <w:p w14:paraId="58AF8BEA" w14:textId="77777777" w:rsidR="00E5138C" w:rsidRPr="00B9629C" w:rsidRDefault="00E5138C" w:rsidP="00543042">
      <w:pPr>
        <w:pStyle w:val="Heading5"/>
        <w:rPr>
          <w:highlight w:val="darkGray"/>
        </w:rPr>
      </w:pPr>
      <w:r w:rsidRPr="00B9629C">
        <w:rPr>
          <w:highlight w:val="darkGray"/>
        </w:rPr>
        <w:t>DESCRIPTION</w:t>
      </w:r>
    </w:p>
    <w:p w14:paraId="61976739" w14:textId="77777777" w:rsidR="00E5138C" w:rsidRPr="00B9629C" w:rsidRDefault="00E5138C" w:rsidP="00B01474">
      <w:pPr>
        <w:pStyle w:val="NoSpacing"/>
        <w:jc w:val="both"/>
        <w:rPr>
          <w:highlight w:val="darkGray"/>
        </w:rPr>
      </w:pPr>
      <w:r w:rsidRPr="00B9629C">
        <w:rPr>
          <w:highlight w:val="darkGray"/>
        </w:rPr>
        <w:t>Painful ulcers in the mouth, except the gums, hard palate and dorsum of the tongue.</w:t>
      </w:r>
    </w:p>
    <w:p w14:paraId="085FE009" w14:textId="361C1DED" w:rsidR="00E5138C" w:rsidRPr="00B9629C" w:rsidRDefault="00E5138C" w:rsidP="00B01474">
      <w:pPr>
        <w:pStyle w:val="NoSpacing"/>
        <w:jc w:val="both"/>
        <w:rPr>
          <w:highlight w:val="darkGray"/>
        </w:rPr>
      </w:pPr>
      <w:r w:rsidRPr="00B9629C">
        <w:rPr>
          <w:highlight w:val="darkGray"/>
        </w:rPr>
        <w:t>Minor ulcers (</w:t>
      </w:r>
      <w:r w:rsidR="00724290" w:rsidRPr="00B9629C">
        <w:rPr>
          <w:highlight w:val="darkGray"/>
        </w:rPr>
        <w:t>&lt;</w:t>
      </w:r>
      <w:r w:rsidRPr="00B9629C">
        <w:rPr>
          <w:highlight w:val="darkGray"/>
        </w:rPr>
        <w:t xml:space="preserve">1 cm diameter) usually heal within 2 weeks. </w:t>
      </w:r>
    </w:p>
    <w:p w14:paraId="61226314" w14:textId="6FB4E5BC" w:rsidR="00E5138C" w:rsidRPr="00B9629C" w:rsidRDefault="00E5138C" w:rsidP="00B01474">
      <w:pPr>
        <w:pStyle w:val="NoSpacing"/>
        <w:jc w:val="both"/>
        <w:rPr>
          <w:highlight w:val="darkGray"/>
        </w:rPr>
      </w:pPr>
      <w:r w:rsidRPr="00B9629C">
        <w:rPr>
          <w:highlight w:val="darkGray"/>
        </w:rPr>
        <w:t>Major ulcers (</w:t>
      </w:r>
      <w:r w:rsidR="00724290" w:rsidRPr="00B9629C">
        <w:rPr>
          <w:highlight w:val="darkGray"/>
        </w:rPr>
        <w:t>&gt;</w:t>
      </w:r>
      <w:r w:rsidRPr="00B9629C">
        <w:rPr>
          <w:highlight w:val="darkGray"/>
        </w:rPr>
        <w:t>1 cm diameter) are very painful, often very deep</w:t>
      </w:r>
      <w:r w:rsidR="00AB6DA4" w:rsidRPr="00B9629C">
        <w:rPr>
          <w:highlight w:val="darkGray"/>
        </w:rPr>
        <w:t>,</w:t>
      </w:r>
      <w:r w:rsidRPr="00B9629C">
        <w:rPr>
          <w:highlight w:val="darkGray"/>
        </w:rPr>
        <w:t xml:space="preserve"> and persist</w:t>
      </w:r>
      <w:r w:rsidR="00AB6DA4" w:rsidRPr="00B9629C">
        <w:rPr>
          <w:highlight w:val="darkGray"/>
        </w:rPr>
        <w:t>ant</w:t>
      </w:r>
      <w:r w:rsidRPr="00B9629C">
        <w:rPr>
          <w:highlight w:val="darkGray"/>
        </w:rPr>
        <w:t xml:space="preserve">. Major ulcers generally resolve rapidly on ART. </w:t>
      </w:r>
    </w:p>
    <w:p w14:paraId="7F3FDDBD" w14:textId="77777777" w:rsidR="00E5138C" w:rsidRPr="00B9629C" w:rsidRDefault="00E5138C" w:rsidP="00B01474">
      <w:pPr>
        <w:pStyle w:val="NoSpacing"/>
        <w:jc w:val="both"/>
        <w:rPr>
          <w:highlight w:val="darkGray"/>
        </w:rPr>
      </w:pPr>
      <w:r w:rsidRPr="00B9629C">
        <w:rPr>
          <w:highlight w:val="darkGray"/>
        </w:rPr>
        <w:lastRenderedPageBreak/>
        <w:t>Herpes simplex, histoplasmosis and mycobacteria may also present with major mucosal ulcers.</w:t>
      </w:r>
    </w:p>
    <w:p w14:paraId="0CC7292D" w14:textId="77777777" w:rsidR="00E5138C" w:rsidRPr="00B9629C" w:rsidRDefault="00E5138C" w:rsidP="00543042">
      <w:pPr>
        <w:pStyle w:val="Heading5"/>
        <w:rPr>
          <w:highlight w:val="darkGray"/>
        </w:rPr>
      </w:pPr>
      <w:r w:rsidRPr="00B9629C">
        <w:rPr>
          <w:highlight w:val="darkGray"/>
        </w:rPr>
        <w:t>MEDICINE TREATMENT</w:t>
      </w:r>
    </w:p>
    <w:p w14:paraId="4F836908" w14:textId="77777777" w:rsidR="00E5138C" w:rsidRPr="00B9629C" w:rsidRDefault="00E5138C" w:rsidP="007F2452">
      <w:pPr>
        <w:pStyle w:val="Heading7"/>
        <w:rPr>
          <w:highlight w:val="darkGray"/>
        </w:rPr>
      </w:pPr>
      <w:r w:rsidRPr="00B9629C">
        <w:rPr>
          <w:highlight w:val="darkGray"/>
        </w:rPr>
        <w:t>Minor aphthous ulcers:</w:t>
      </w:r>
    </w:p>
    <w:p w14:paraId="7F612EE5" w14:textId="2C940891" w:rsidR="00E5138C" w:rsidRPr="00B9629C" w:rsidRDefault="00E5138C" w:rsidP="007F2452">
      <w:pPr>
        <w:pStyle w:val="BulletMedicine"/>
        <w:rPr>
          <w:highlight w:val="darkGray"/>
        </w:rPr>
      </w:pPr>
      <w:r w:rsidRPr="00B9629C">
        <w:rPr>
          <w:highlight w:val="darkGray"/>
        </w:rPr>
        <w:t>Tetracaine 0.5 %, oral, topical</w:t>
      </w:r>
      <w:r w:rsidR="00042E17" w:rsidRPr="00B9629C">
        <w:rPr>
          <w:highlight w:val="darkGray"/>
        </w:rPr>
        <w:fldChar w:fldCharType="begin"/>
      </w:r>
      <w:r w:rsidR="00042E17" w:rsidRPr="00B9629C">
        <w:rPr>
          <w:highlight w:val="darkGray"/>
        </w:rPr>
        <w:instrText xml:space="preserve"> XE "Tetracaine 0.5 %, topical" \f "m" </w:instrText>
      </w:r>
      <w:r w:rsidR="00042E17" w:rsidRPr="00B9629C">
        <w:rPr>
          <w:highlight w:val="darkGray"/>
        </w:rPr>
        <w:fldChar w:fldCharType="end"/>
      </w:r>
      <w:r w:rsidRPr="00B9629C">
        <w:rPr>
          <w:highlight w:val="darkGray"/>
        </w:rPr>
        <w:t xml:space="preserve">, applied every 6 hours. </w:t>
      </w:r>
    </w:p>
    <w:p w14:paraId="4E5102F9" w14:textId="77777777" w:rsidR="00E5138C" w:rsidRPr="00B9629C" w:rsidRDefault="00E5138C" w:rsidP="007F2452">
      <w:pPr>
        <w:pStyle w:val="BulletDirectionsInstructions"/>
        <w:rPr>
          <w:highlight w:val="darkGray"/>
        </w:rPr>
      </w:pPr>
      <w:r w:rsidRPr="00B9629C">
        <w:rPr>
          <w:highlight w:val="darkGray"/>
        </w:rPr>
        <w:t>Apply a thin layer on the affected areas only.</w:t>
      </w:r>
    </w:p>
    <w:p w14:paraId="390984A0" w14:textId="77777777" w:rsidR="00E5138C" w:rsidRPr="00B9629C" w:rsidRDefault="00E5138C" w:rsidP="00543042">
      <w:pPr>
        <w:pStyle w:val="Heading5"/>
        <w:rPr>
          <w:highlight w:val="darkGray"/>
        </w:rPr>
      </w:pPr>
      <w:r w:rsidRPr="00B9629C">
        <w:rPr>
          <w:highlight w:val="darkGray"/>
        </w:rPr>
        <w:t>REFERRAL</w:t>
      </w:r>
    </w:p>
    <w:p w14:paraId="3D31CC9C" w14:textId="77777777" w:rsidR="00E5138C" w:rsidRPr="00B9629C" w:rsidRDefault="00E5138C" w:rsidP="007F2452">
      <w:pPr>
        <w:pStyle w:val="NoSpacing"/>
        <w:rPr>
          <w:highlight w:val="darkGray"/>
        </w:rPr>
      </w:pPr>
      <w:r w:rsidRPr="00B9629C">
        <w:rPr>
          <w:highlight w:val="darkGray"/>
        </w:rPr>
        <w:t>Major aphthous ulcers for further diagnostic evaluation.</w:t>
      </w:r>
    </w:p>
    <w:p w14:paraId="73EE5B20" w14:textId="77777777" w:rsidR="00831610" w:rsidRPr="00B9629C" w:rsidRDefault="00831610" w:rsidP="007F2452">
      <w:pPr>
        <w:pStyle w:val="NoSpacing"/>
        <w:rPr>
          <w:highlight w:val="darkGray"/>
        </w:rPr>
      </w:pPr>
    </w:p>
    <w:p w14:paraId="5BE28E07" w14:textId="0DE0AF2E" w:rsidR="00E5138C" w:rsidRPr="00B9629C" w:rsidRDefault="00D224D2" w:rsidP="00D224D2">
      <w:pPr>
        <w:pStyle w:val="Heading3"/>
        <w:rPr>
          <w:highlight w:val="darkGray"/>
        </w:rPr>
      </w:pPr>
      <w:bookmarkStart w:id="19" w:name="_Toc57132045"/>
      <w:bookmarkStart w:id="20" w:name="_Toc177151094"/>
      <w:r w:rsidRPr="00B9629C">
        <w:rPr>
          <w:highlight w:val="darkGray"/>
        </w:rPr>
        <w:t>Candidiasis, oral</w:t>
      </w:r>
      <w:bookmarkEnd w:id="19"/>
      <w:bookmarkEnd w:id="20"/>
      <w:r w:rsidR="006D4857" w:rsidRPr="00B9629C">
        <w:rPr>
          <w:highlight w:val="darkGray"/>
        </w:rPr>
        <w:fldChar w:fldCharType="begin"/>
      </w:r>
      <w:r w:rsidR="006D4857" w:rsidRPr="00B9629C">
        <w:rPr>
          <w:highlight w:val="darkGray"/>
        </w:rPr>
        <w:instrText xml:space="preserve"> XE "Candidiasis, oral" \f “c”</w:instrText>
      </w:r>
      <w:r w:rsidR="006D4857" w:rsidRPr="00B9629C">
        <w:rPr>
          <w:highlight w:val="darkGray"/>
        </w:rPr>
        <w:fldChar w:fldCharType="end"/>
      </w:r>
      <w:r w:rsidRPr="00B9629C">
        <w:rPr>
          <w:highlight w:val="darkGray"/>
        </w:rPr>
        <w:t xml:space="preserve"> </w:t>
      </w:r>
    </w:p>
    <w:p w14:paraId="1D6F8800"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B20.4</w:t>
      </w:r>
    </w:p>
    <w:p w14:paraId="3CF1ACDF" w14:textId="77777777" w:rsidR="00E5138C" w:rsidRPr="00B9629C" w:rsidRDefault="00E5138C" w:rsidP="002E53DE">
      <w:pPr>
        <w:pStyle w:val="NoSpacing"/>
        <w:rPr>
          <w:highlight w:val="darkGray"/>
        </w:rPr>
      </w:pPr>
      <w:r w:rsidRPr="00B9629C">
        <w:rPr>
          <w:highlight w:val="darkGray"/>
        </w:rPr>
        <w:t>See Section 1.2: Candidiasis, oral (thrush).</w:t>
      </w:r>
    </w:p>
    <w:p w14:paraId="1E81C8F2" w14:textId="77777777" w:rsidR="00E5138C" w:rsidRPr="00B9629C" w:rsidRDefault="00E5138C" w:rsidP="00C26165">
      <w:pPr>
        <w:pStyle w:val="BulletMedicine"/>
        <w:rPr>
          <w:highlight w:val="darkGray"/>
        </w:rPr>
      </w:pPr>
      <w:r w:rsidRPr="00B9629C">
        <w:rPr>
          <w:highlight w:val="darkGray"/>
        </w:rPr>
        <w:t>Commence ART.</w:t>
      </w:r>
    </w:p>
    <w:p w14:paraId="46531020" w14:textId="77777777" w:rsidR="002E7F99" w:rsidRPr="00B9629C" w:rsidRDefault="002E7F99" w:rsidP="002E7F99">
      <w:pPr>
        <w:rPr>
          <w:highlight w:val="darkGray"/>
        </w:rPr>
      </w:pPr>
    </w:p>
    <w:p w14:paraId="3F70963B" w14:textId="4CBA5CDE" w:rsidR="00E5138C" w:rsidRPr="00B9629C" w:rsidRDefault="00D224D2" w:rsidP="00211F38">
      <w:pPr>
        <w:pStyle w:val="Heading3"/>
        <w:rPr>
          <w:highlight w:val="darkGray"/>
        </w:rPr>
      </w:pPr>
      <w:bookmarkStart w:id="21" w:name="_Toc57132046"/>
      <w:bookmarkStart w:id="22" w:name="_Toc177151095"/>
      <w:r w:rsidRPr="00B9629C">
        <w:rPr>
          <w:highlight w:val="darkGray"/>
        </w:rPr>
        <w:t>Candidiasis, oesophageal</w:t>
      </w:r>
      <w:bookmarkEnd w:id="21"/>
      <w:bookmarkEnd w:id="22"/>
      <w:r w:rsidR="006D4857" w:rsidRPr="00B9629C">
        <w:rPr>
          <w:highlight w:val="darkGray"/>
        </w:rPr>
        <w:fldChar w:fldCharType="begin"/>
      </w:r>
      <w:r w:rsidR="006D4857" w:rsidRPr="00B9629C">
        <w:rPr>
          <w:highlight w:val="darkGray"/>
        </w:rPr>
        <w:instrText xml:space="preserve"> XE "Candidiasis, oesophageal" \f “c”</w:instrText>
      </w:r>
      <w:r w:rsidR="006D4857" w:rsidRPr="00B9629C">
        <w:rPr>
          <w:highlight w:val="darkGray"/>
        </w:rPr>
        <w:fldChar w:fldCharType="end"/>
      </w:r>
    </w:p>
    <w:p w14:paraId="5D4025D5"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B20.4</w:t>
      </w:r>
    </w:p>
    <w:p w14:paraId="4CB23A9C" w14:textId="77777777" w:rsidR="00E5138C" w:rsidRPr="00B9629C" w:rsidRDefault="00E5138C" w:rsidP="00C26165">
      <w:pPr>
        <w:pStyle w:val="Heading5"/>
        <w:rPr>
          <w:highlight w:val="darkGray"/>
        </w:rPr>
      </w:pPr>
      <w:r w:rsidRPr="00B9629C">
        <w:rPr>
          <w:highlight w:val="darkGray"/>
        </w:rPr>
        <w:t>DESCRIPTION</w:t>
      </w:r>
    </w:p>
    <w:p w14:paraId="6C7F5E6B" w14:textId="20F2F13B" w:rsidR="00E5138C" w:rsidRPr="00B9629C" w:rsidRDefault="00E5138C" w:rsidP="0081699B">
      <w:pPr>
        <w:pStyle w:val="NoSpacing"/>
        <w:jc w:val="both"/>
        <w:rPr>
          <w:highlight w:val="darkGray"/>
        </w:rPr>
      </w:pPr>
      <w:r w:rsidRPr="00B9629C">
        <w:rPr>
          <w:highlight w:val="darkGray"/>
        </w:rPr>
        <w:t xml:space="preserve">Infection of the oesophagus with candida, a fungus </w:t>
      </w:r>
      <w:r w:rsidR="001302C4" w:rsidRPr="00B9629C">
        <w:rPr>
          <w:highlight w:val="darkGray"/>
        </w:rPr>
        <w:t xml:space="preserve">that causes </w:t>
      </w:r>
      <w:r w:rsidRPr="00B9629C">
        <w:rPr>
          <w:highlight w:val="darkGray"/>
        </w:rPr>
        <w:t>oral thrush.</w:t>
      </w:r>
    </w:p>
    <w:p w14:paraId="1B75FEF7" w14:textId="33669B0D" w:rsidR="00E5138C" w:rsidRPr="00B9629C" w:rsidRDefault="00E5138C" w:rsidP="0081699B">
      <w:pPr>
        <w:pStyle w:val="NoSpacing"/>
        <w:jc w:val="both"/>
        <w:rPr>
          <w:highlight w:val="darkGray"/>
        </w:rPr>
      </w:pPr>
      <w:r w:rsidRPr="00B9629C">
        <w:rPr>
          <w:highlight w:val="darkGray"/>
        </w:rPr>
        <w:t>Patients with oral thrush</w:t>
      </w:r>
      <w:r w:rsidR="001302C4" w:rsidRPr="00B9629C">
        <w:rPr>
          <w:highlight w:val="darkGray"/>
        </w:rPr>
        <w:t xml:space="preserve"> </w:t>
      </w:r>
      <w:r w:rsidRPr="00B9629C">
        <w:rPr>
          <w:highlight w:val="darkGray"/>
        </w:rPr>
        <w:t xml:space="preserve">who </w:t>
      </w:r>
      <w:r w:rsidR="001302C4" w:rsidRPr="00B9629C">
        <w:rPr>
          <w:highlight w:val="darkGray"/>
        </w:rPr>
        <w:t xml:space="preserve">also </w:t>
      </w:r>
      <w:r w:rsidRPr="00B9629C">
        <w:rPr>
          <w:highlight w:val="darkGray"/>
        </w:rPr>
        <w:t>have pain or difficulty on swallowing may have oesophageal candidiasis</w:t>
      </w:r>
      <w:r w:rsidR="00B80216" w:rsidRPr="00B9629C">
        <w:rPr>
          <w:highlight w:val="darkGray"/>
        </w:rPr>
        <w:t xml:space="preserve">. </w:t>
      </w:r>
      <w:r w:rsidRPr="00B9629C">
        <w:rPr>
          <w:highlight w:val="darkGray"/>
        </w:rPr>
        <w:t>See Section 1.2: Candidiasis, oral (thrush).</w:t>
      </w:r>
    </w:p>
    <w:p w14:paraId="0B3F2E84" w14:textId="77777777" w:rsidR="00E5138C" w:rsidRPr="00B9629C" w:rsidRDefault="00E5138C" w:rsidP="00C26165">
      <w:pPr>
        <w:pStyle w:val="Heading5"/>
        <w:rPr>
          <w:highlight w:val="darkGray"/>
        </w:rPr>
      </w:pPr>
      <w:r w:rsidRPr="00B9629C">
        <w:rPr>
          <w:highlight w:val="darkGray"/>
        </w:rPr>
        <w:t>GENERAL MEASURES</w:t>
      </w:r>
    </w:p>
    <w:p w14:paraId="11E836AD" w14:textId="77777777" w:rsidR="00E5138C" w:rsidRPr="00B9629C" w:rsidRDefault="00E5138C" w:rsidP="00E5138C">
      <w:pPr>
        <w:rPr>
          <w:highlight w:val="darkGray"/>
        </w:rPr>
      </w:pPr>
      <w:r w:rsidRPr="00B9629C">
        <w:rPr>
          <w:highlight w:val="darkGray"/>
        </w:rPr>
        <w:t>Maintain hydration.</w:t>
      </w:r>
    </w:p>
    <w:p w14:paraId="7FF48695" w14:textId="77777777" w:rsidR="00E5138C" w:rsidRPr="00B9629C" w:rsidRDefault="00E5138C" w:rsidP="00C26165">
      <w:pPr>
        <w:pStyle w:val="Heading5"/>
        <w:rPr>
          <w:highlight w:val="darkGray"/>
        </w:rPr>
      </w:pPr>
      <w:r w:rsidRPr="00B9629C">
        <w:rPr>
          <w:highlight w:val="darkGray"/>
        </w:rPr>
        <w:t>MEDICINE TREATMENT</w:t>
      </w:r>
    </w:p>
    <w:tbl>
      <w:tblPr>
        <w:tblpPr w:leftFromText="180" w:rightFromText="180" w:vertAnchor="text" w:horzAnchor="margin" w:tblpXSpec="right" w:tblpY="12"/>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16"/>
      </w:tblGrid>
      <w:tr w:rsidR="00F869C6" w:rsidRPr="00B9629C" w14:paraId="71BDD834" w14:textId="77777777" w:rsidTr="00F869C6">
        <w:trPr>
          <w:trHeight w:val="112"/>
        </w:trPr>
        <w:tc>
          <w:tcPr>
            <w:tcW w:w="916" w:type="dxa"/>
            <w:shd w:val="clear" w:color="auto" w:fill="auto"/>
          </w:tcPr>
          <w:p w14:paraId="358CB30D" w14:textId="77777777" w:rsidR="00F869C6" w:rsidRPr="00B9629C" w:rsidRDefault="00F869C6" w:rsidP="00F869C6">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LoE:IIIb</w:t>
            </w:r>
            <w:r w:rsidRPr="00B9629C">
              <w:rPr>
                <w:rStyle w:val="EndnoteReference"/>
                <w:sz w:val="14"/>
                <w:szCs w:val="14"/>
                <w:highlight w:val="darkGray"/>
              </w:rPr>
              <w:endnoteReference w:id="35"/>
            </w:r>
          </w:p>
        </w:tc>
      </w:tr>
    </w:tbl>
    <w:p w14:paraId="62DC10F1" w14:textId="17894FC5" w:rsidR="00E5138C" w:rsidRPr="00B9629C" w:rsidRDefault="00E5138C" w:rsidP="002E53DE">
      <w:pPr>
        <w:pStyle w:val="BulletMedicine"/>
        <w:rPr>
          <w:highlight w:val="darkGray"/>
        </w:rPr>
      </w:pPr>
      <w:r w:rsidRPr="00B9629C">
        <w:rPr>
          <w:highlight w:val="darkGray"/>
        </w:rPr>
        <w:t>Fluconazole, oral</w:t>
      </w:r>
      <w:r w:rsidR="00042E17" w:rsidRPr="00B9629C">
        <w:rPr>
          <w:highlight w:val="darkGray"/>
        </w:rPr>
        <w:fldChar w:fldCharType="begin"/>
      </w:r>
      <w:r w:rsidR="00042E17" w:rsidRPr="00B9629C">
        <w:rPr>
          <w:highlight w:val="darkGray"/>
        </w:rPr>
        <w:instrText xml:space="preserve"> XE "Fluconazole, oral" \f "m" </w:instrText>
      </w:r>
      <w:r w:rsidR="00042E17" w:rsidRPr="00B9629C">
        <w:rPr>
          <w:highlight w:val="darkGray"/>
        </w:rPr>
        <w:fldChar w:fldCharType="end"/>
      </w:r>
      <w:r w:rsidRPr="00B9629C">
        <w:rPr>
          <w:highlight w:val="darkGray"/>
        </w:rPr>
        <w:t>, 200 mg daily for 14 days.</w:t>
      </w:r>
    </w:p>
    <w:p w14:paraId="52AD2F30" w14:textId="77777777" w:rsidR="00E5138C" w:rsidRPr="00B9629C" w:rsidRDefault="00E5138C" w:rsidP="00C26165">
      <w:pPr>
        <w:pStyle w:val="Heading5"/>
        <w:rPr>
          <w:highlight w:val="darkGray"/>
        </w:rPr>
      </w:pPr>
      <w:r w:rsidRPr="00B9629C">
        <w:rPr>
          <w:highlight w:val="darkGray"/>
        </w:rPr>
        <w:t>REFERRAL</w:t>
      </w:r>
    </w:p>
    <w:p w14:paraId="58F8367A" w14:textId="77777777" w:rsidR="00E5138C" w:rsidRPr="00B9629C" w:rsidRDefault="00E5138C" w:rsidP="002E53DE">
      <w:pPr>
        <w:pStyle w:val="ListParagraph"/>
        <w:rPr>
          <w:highlight w:val="darkGray"/>
        </w:rPr>
      </w:pPr>
      <w:r w:rsidRPr="00B9629C">
        <w:rPr>
          <w:highlight w:val="darkGray"/>
        </w:rPr>
        <w:t>Inability to swallow.</w:t>
      </w:r>
    </w:p>
    <w:p w14:paraId="454ED1B1" w14:textId="77777777" w:rsidR="00E5138C" w:rsidRPr="00B9629C" w:rsidRDefault="00E5138C" w:rsidP="002E53DE">
      <w:pPr>
        <w:pStyle w:val="ListParagraph"/>
        <w:rPr>
          <w:highlight w:val="darkGray"/>
        </w:rPr>
      </w:pPr>
      <w:r w:rsidRPr="00B9629C">
        <w:rPr>
          <w:highlight w:val="darkGray"/>
        </w:rPr>
        <w:t>Frequent relapses.</w:t>
      </w:r>
    </w:p>
    <w:p w14:paraId="7BCF584D" w14:textId="0EA60E40" w:rsidR="00E5138C" w:rsidRPr="00B9629C" w:rsidRDefault="00E5138C" w:rsidP="002E53DE">
      <w:pPr>
        <w:pStyle w:val="ListParagraph"/>
        <w:rPr>
          <w:highlight w:val="darkGray"/>
        </w:rPr>
      </w:pPr>
      <w:r w:rsidRPr="00B9629C">
        <w:rPr>
          <w:highlight w:val="darkGray"/>
        </w:rPr>
        <w:t>Poor response to fluconazole.</w:t>
      </w:r>
    </w:p>
    <w:p w14:paraId="137D5F3B" w14:textId="77777777" w:rsidR="00B01474" w:rsidRPr="00B9629C" w:rsidRDefault="00B01474" w:rsidP="00B01474">
      <w:pPr>
        <w:pStyle w:val="ListParagraph"/>
        <w:numPr>
          <w:ilvl w:val="0"/>
          <w:numId w:val="0"/>
        </w:numPr>
        <w:ind w:left="284"/>
        <w:rPr>
          <w:highlight w:val="darkGray"/>
        </w:rPr>
      </w:pPr>
    </w:p>
    <w:p w14:paraId="086353ED" w14:textId="42B6924C" w:rsidR="00E5138C" w:rsidRPr="00B9629C" w:rsidRDefault="00705C59" w:rsidP="00705C59">
      <w:pPr>
        <w:pStyle w:val="Heading3"/>
        <w:rPr>
          <w:highlight w:val="darkGray"/>
        </w:rPr>
      </w:pPr>
      <w:bookmarkStart w:id="23" w:name="_Toc57132047"/>
      <w:bookmarkStart w:id="24" w:name="_Toc177151096"/>
      <w:r w:rsidRPr="00B9629C">
        <w:rPr>
          <w:highlight w:val="darkGray"/>
        </w:rPr>
        <w:t>Cryptococcosis</w:t>
      </w:r>
      <w:bookmarkEnd w:id="23"/>
      <w:bookmarkEnd w:id="24"/>
      <w:r w:rsidR="006D4857" w:rsidRPr="00B9629C">
        <w:rPr>
          <w:highlight w:val="darkGray"/>
        </w:rPr>
        <w:fldChar w:fldCharType="begin"/>
      </w:r>
      <w:r w:rsidR="006D4857" w:rsidRPr="00B9629C">
        <w:rPr>
          <w:highlight w:val="darkGray"/>
        </w:rPr>
        <w:instrText xml:space="preserve"> XE "Cryptococcosis" \f “c”</w:instrText>
      </w:r>
      <w:r w:rsidR="006D4857" w:rsidRPr="00B9629C">
        <w:rPr>
          <w:highlight w:val="darkGray"/>
        </w:rPr>
        <w:fldChar w:fldCharType="end"/>
      </w:r>
    </w:p>
    <w:p w14:paraId="5BBD936D" w14:textId="77777777" w:rsidR="006E21AF" w:rsidRPr="00B9629C" w:rsidRDefault="006E21AF" w:rsidP="00F7195A">
      <w:pPr>
        <w:pStyle w:val="ICD10"/>
        <w:shd w:val="clear" w:color="auto" w:fill="F2F2F2" w:themeFill="background1" w:themeFillShade="F2"/>
        <w:tabs>
          <w:tab w:val="left" w:pos="2753"/>
        </w:tabs>
        <w:jc w:val="both"/>
        <w:rPr>
          <w:highlight w:val="darkGray"/>
        </w:rPr>
      </w:pPr>
      <w:r w:rsidRPr="00B9629C">
        <w:rPr>
          <w:highlight w:val="darkGray"/>
        </w:rPr>
        <w:t>B20.5 + B45.0-3/B45.7-9</w:t>
      </w:r>
    </w:p>
    <w:p w14:paraId="72361098" w14:textId="77777777" w:rsidR="00E5138C" w:rsidRPr="00B9629C" w:rsidRDefault="00E5138C" w:rsidP="003D7E8C">
      <w:pPr>
        <w:pStyle w:val="Heading5"/>
        <w:rPr>
          <w:highlight w:val="darkGray"/>
        </w:rPr>
      </w:pPr>
      <w:r w:rsidRPr="00B9629C">
        <w:rPr>
          <w:highlight w:val="darkGray"/>
        </w:rPr>
        <w:t>DESCRIPTION</w:t>
      </w:r>
    </w:p>
    <w:p w14:paraId="1F277F26" w14:textId="77777777" w:rsidR="00E5138C" w:rsidRPr="00B9629C" w:rsidRDefault="00E5138C" w:rsidP="003D7E8C">
      <w:pPr>
        <w:pStyle w:val="NoSpacing"/>
        <w:rPr>
          <w:highlight w:val="darkGray"/>
        </w:rPr>
      </w:pPr>
      <w:r w:rsidRPr="00B9629C">
        <w:rPr>
          <w:highlight w:val="darkGray"/>
        </w:rPr>
        <w:t xml:space="preserve">A life-threatening fungal infection caused by the fungus </w:t>
      </w:r>
      <w:r w:rsidRPr="00B9629C">
        <w:rPr>
          <w:i/>
          <w:iCs/>
          <w:highlight w:val="darkGray"/>
        </w:rPr>
        <w:t>Cryptococcus</w:t>
      </w:r>
      <w:r w:rsidRPr="00B9629C">
        <w:rPr>
          <w:highlight w:val="darkGray"/>
        </w:rPr>
        <w:t xml:space="preserve">. The fungi remain inactive unless a person’s immune system is weakened, such as in transplant recipients or persons with untreated HIV. </w:t>
      </w:r>
    </w:p>
    <w:p w14:paraId="0B2E07F8" w14:textId="77777777" w:rsidR="00E5138C" w:rsidRPr="00B9629C" w:rsidRDefault="00E5138C" w:rsidP="003D7E8C">
      <w:pPr>
        <w:pStyle w:val="Heading5"/>
        <w:rPr>
          <w:highlight w:val="darkGray"/>
        </w:rPr>
      </w:pPr>
      <w:r w:rsidRPr="00B9629C">
        <w:rPr>
          <w:highlight w:val="darkGray"/>
        </w:rPr>
        <w:t>INVESTIGATIONS</w:t>
      </w:r>
    </w:p>
    <w:p w14:paraId="7FF478E6" w14:textId="09DE58EF" w:rsidR="00E5138C" w:rsidRPr="00B9629C" w:rsidRDefault="00E5138C" w:rsidP="00FF4D44">
      <w:pPr>
        <w:pStyle w:val="ListParagraph"/>
        <w:jc w:val="both"/>
        <w:rPr>
          <w:highlight w:val="darkGray"/>
        </w:rPr>
      </w:pPr>
      <w:r w:rsidRPr="00B9629C">
        <w:rPr>
          <w:highlight w:val="darkGray"/>
        </w:rPr>
        <w:t xml:space="preserve">All ART-naïve </w:t>
      </w:r>
      <w:r w:rsidR="00634A83" w:rsidRPr="00B9629C">
        <w:rPr>
          <w:highlight w:val="darkGray"/>
        </w:rPr>
        <w:t xml:space="preserve">adults and adolescents </w:t>
      </w:r>
      <w:r w:rsidRPr="00B9629C">
        <w:rPr>
          <w:highlight w:val="darkGray"/>
        </w:rPr>
        <w:t>with CD4 </w:t>
      </w:r>
      <w:r w:rsidR="00724290" w:rsidRPr="00B9629C">
        <w:rPr>
          <w:highlight w:val="darkGray"/>
        </w:rPr>
        <w:t>&lt;</w:t>
      </w:r>
      <w:r w:rsidR="00326302" w:rsidRPr="00B9629C">
        <w:rPr>
          <w:highlight w:val="darkGray"/>
        </w:rPr>
        <w:t>2</w:t>
      </w:r>
      <w:r w:rsidRPr="00B9629C">
        <w:rPr>
          <w:highlight w:val="darkGray"/>
        </w:rPr>
        <w:t>00 cells/mm</w:t>
      </w:r>
      <w:r w:rsidRPr="00B9629C">
        <w:rPr>
          <w:highlight w:val="darkGray"/>
          <w:vertAlign w:val="superscript"/>
        </w:rPr>
        <w:t>3</w:t>
      </w:r>
      <w:r w:rsidRPr="00B9629C">
        <w:rPr>
          <w:highlight w:val="darkGray"/>
        </w:rPr>
        <w:t xml:space="preserve"> should have </w:t>
      </w:r>
      <w:r w:rsidR="00B56D16" w:rsidRPr="00B9629C">
        <w:rPr>
          <w:highlight w:val="darkGray"/>
        </w:rPr>
        <w:t xml:space="preserve">a serum </w:t>
      </w:r>
      <w:r w:rsidRPr="00B9629C">
        <w:rPr>
          <w:highlight w:val="darkGray"/>
        </w:rPr>
        <w:t xml:space="preserve">cryptococcal antigen (CrAg) test done (unless </w:t>
      </w:r>
      <w:r w:rsidR="00B01474" w:rsidRPr="00B9629C">
        <w:rPr>
          <w:highlight w:val="darkGray"/>
        </w:rPr>
        <w:t xml:space="preserve">confirmed </w:t>
      </w:r>
      <w:r w:rsidRPr="00B9629C">
        <w:rPr>
          <w:highlight w:val="darkGray"/>
        </w:rPr>
        <w:t>diagnosis</w:t>
      </w:r>
      <w:r w:rsidR="00B01474" w:rsidRPr="00B9629C">
        <w:rPr>
          <w:highlight w:val="darkGray"/>
        </w:rPr>
        <w:t xml:space="preserve"> of </w:t>
      </w:r>
      <w:r w:rsidRPr="00B9629C">
        <w:rPr>
          <w:highlight w:val="darkGray"/>
        </w:rPr>
        <w:t xml:space="preserve">cryptococcal </w:t>
      </w:r>
      <w:r w:rsidRPr="00B9629C">
        <w:rPr>
          <w:highlight w:val="darkGray"/>
        </w:rPr>
        <w:lastRenderedPageBreak/>
        <w:t>infection).</w:t>
      </w:r>
      <w:r w:rsidR="00326302" w:rsidRPr="00B9629C">
        <w:rPr>
          <w:highlight w:val="darkGray"/>
        </w:rPr>
        <w:t xml:space="preserve"> This is performed as a reflex test on the patient’s CD4 sample if it is &lt;100 cells/mm</w:t>
      </w:r>
      <w:r w:rsidR="00326302" w:rsidRPr="00B9629C">
        <w:rPr>
          <w:highlight w:val="darkGray"/>
          <w:vertAlign w:val="superscript"/>
        </w:rPr>
        <w:t>3</w:t>
      </w:r>
      <w:r w:rsidR="00326302" w:rsidRPr="00B9629C">
        <w:rPr>
          <w:highlight w:val="darkGray"/>
        </w:rPr>
        <w:t xml:space="preserve">. If the CD4 </w:t>
      </w:r>
      <w:r w:rsidR="0032057A" w:rsidRPr="00B9629C">
        <w:rPr>
          <w:highlight w:val="darkGray"/>
        </w:rPr>
        <w:t xml:space="preserve">cell </w:t>
      </w:r>
      <w:r w:rsidR="00326302" w:rsidRPr="00B9629C">
        <w:rPr>
          <w:highlight w:val="darkGray"/>
        </w:rPr>
        <w:t xml:space="preserve">count is between 100 and 199, a separate sample should be sent for CrAg testing. </w:t>
      </w:r>
    </w:p>
    <w:tbl>
      <w:tblPr>
        <w:tblpPr w:leftFromText="180" w:rightFromText="180" w:vertAnchor="text" w:horzAnchor="margin" w:tblpXSpec="right" w:tblpY="514"/>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6"/>
      </w:tblGrid>
      <w:tr w:rsidR="00831610" w:rsidRPr="00B9629C" w14:paraId="0EFD7886" w14:textId="77777777" w:rsidTr="00831610">
        <w:tc>
          <w:tcPr>
            <w:tcW w:w="886" w:type="dxa"/>
            <w:shd w:val="clear" w:color="auto" w:fill="auto"/>
          </w:tcPr>
          <w:p w14:paraId="6E8F6AB4" w14:textId="77777777" w:rsidR="00831610" w:rsidRPr="00B9629C" w:rsidRDefault="00831610" w:rsidP="00831610">
            <w:pPr>
              <w:spacing w:before="0" w:after="0"/>
              <w:jc w:val="right"/>
              <w:rPr>
                <w:b/>
                <w:i/>
                <w:sz w:val="14"/>
                <w:szCs w:val="16"/>
                <w:highlight w:val="darkGray"/>
              </w:rPr>
            </w:pPr>
            <w:bookmarkStart w:id="25" w:name="_Hlk25235374"/>
            <w:r w:rsidRPr="00B9629C">
              <w:rPr>
                <w:i/>
                <w:sz w:val="14"/>
                <w:szCs w:val="16"/>
                <w:highlight w:val="darkGray"/>
              </w:rPr>
              <w:t>LoE:IIa</w:t>
            </w:r>
            <w:r w:rsidRPr="00B9629C">
              <w:rPr>
                <w:rStyle w:val="EndnoteReference"/>
                <w:rFonts w:cs="Arial"/>
                <w:i/>
                <w:sz w:val="14"/>
                <w:szCs w:val="16"/>
                <w:highlight w:val="darkGray"/>
              </w:rPr>
              <w:endnoteReference w:id="36"/>
            </w:r>
          </w:p>
        </w:tc>
      </w:tr>
    </w:tbl>
    <w:bookmarkEnd w:id="25"/>
    <w:p w14:paraId="60CF1E84" w14:textId="3A059DE4" w:rsidR="00E5138C" w:rsidRPr="00B9629C" w:rsidRDefault="00E5138C" w:rsidP="00B01474">
      <w:pPr>
        <w:pStyle w:val="ListParagraph"/>
        <w:jc w:val="both"/>
        <w:rPr>
          <w:highlight w:val="darkGray"/>
        </w:rPr>
      </w:pPr>
      <w:r w:rsidRPr="00B9629C">
        <w:rPr>
          <w:highlight w:val="darkGray"/>
        </w:rPr>
        <w:t xml:space="preserve">All patients with a positive serum CrAg test should have a lumbar puncture (LP) to exclude cryptococcal meningitis. </w:t>
      </w:r>
      <w:r w:rsidR="00BF7B17" w:rsidRPr="00B9629C">
        <w:rPr>
          <w:highlight w:val="darkGray"/>
        </w:rPr>
        <w:t xml:space="preserve">The CSF </w:t>
      </w:r>
      <w:r w:rsidR="00B01474" w:rsidRPr="00B9629C">
        <w:rPr>
          <w:highlight w:val="darkGray"/>
        </w:rPr>
        <w:t>is</w:t>
      </w:r>
      <w:r w:rsidR="00BF7B17" w:rsidRPr="00B9629C">
        <w:rPr>
          <w:highlight w:val="darkGray"/>
        </w:rPr>
        <w:t xml:space="preserve"> tested for cryptococcal meningitis by CSF CrAg.</w:t>
      </w:r>
    </w:p>
    <w:p w14:paraId="1EF7A2A8" w14:textId="77777777" w:rsidR="00E5138C" w:rsidRPr="00B9629C" w:rsidRDefault="00E5138C" w:rsidP="003D7E8C">
      <w:pPr>
        <w:pStyle w:val="Heading5"/>
        <w:rPr>
          <w:highlight w:val="darkGray"/>
        </w:rPr>
      </w:pPr>
      <w:r w:rsidRPr="00B9629C">
        <w:rPr>
          <w:highlight w:val="darkGray"/>
        </w:rPr>
        <w:t>MEDICINE TREATMENT</w:t>
      </w:r>
    </w:p>
    <w:p w14:paraId="1D27D256" w14:textId="1E7A6800" w:rsidR="00E5138C" w:rsidRPr="00B9629C" w:rsidRDefault="00E5138C" w:rsidP="00B63FD4">
      <w:pPr>
        <w:pStyle w:val="Heading7"/>
        <w:rPr>
          <w:highlight w:val="darkGray"/>
        </w:rPr>
      </w:pPr>
      <w:r w:rsidRPr="00B9629C">
        <w:rPr>
          <w:highlight w:val="darkGray"/>
        </w:rPr>
        <w:t>If CSF Cr</w:t>
      </w:r>
      <w:r w:rsidR="00B56D16" w:rsidRPr="00B9629C">
        <w:rPr>
          <w:highlight w:val="darkGray"/>
        </w:rPr>
        <w:t>A</w:t>
      </w:r>
      <w:r w:rsidRPr="00B9629C">
        <w:rPr>
          <w:highlight w:val="darkGray"/>
        </w:rPr>
        <w:t xml:space="preserve">g positive: </w:t>
      </w:r>
    </w:p>
    <w:p w14:paraId="1BBCF5C6" w14:textId="7E67564B" w:rsidR="00E5138C" w:rsidRPr="00B9629C" w:rsidRDefault="00E5138C" w:rsidP="00A834B4">
      <w:pPr>
        <w:pStyle w:val="NoSpacing"/>
        <w:jc w:val="both"/>
        <w:rPr>
          <w:highlight w:val="darkGray"/>
        </w:rPr>
      </w:pPr>
      <w:r w:rsidRPr="00B9629C">
        <w:rPr>
          <w:highlight w:val="darkGray"/>
        </w:rPr>
        <w:t xml:space="preserve">Refer for </w:t>
      </w:r>
      <w:r w:rsidR="004C0103" w:rsidRPr="00B9629C">
        <w:rPr>
          <w:highlight w:val="darkGray"/>
        </w:rPr>
        <w:t xml:space="preserve">liposomal </w:t>
      </w:r>
      <w:r w:rsidRPr="00B9629C">
        <w:rPr>
          <w:highlight w:val="darkGray"/>
        </w:rPr>
        <w:t xml:space="preserve">amphotericin B, IV (induction phase) </w:t>
      </w:r>
      <w:r w:rsidR="001C6ED3" w:rsidRPr="00B9629C">
        <w:rPr>
          <w:highlight w:val="darkGray"/>
        </w:rPr>
        <w:t xml:space="preserve">and monitoring of intracranial pressure symptoms </w:t>
      </w:r>
      <w:r w:rsidRPr="00B9629C">
        <w:rPr>
          <w:highlight w:val="darkGray"/>
        </w:rPr>
        <w:t xml:space="preserve">- See Adult Hospital STGs and EML, Section 10.2.4: Cryptococcosis. </w:t>
      </w:r>
    </w:p>
    <w:p w14:paraId="3B2D802D" w14:textId="5B4A5D11" w:rsidR="00E5138C" w:rsidRPr="00B9629C" w:rsidRDefault="00E5138C" w:rsidP="00A834B4">
      <w:pPr>
        <w:pStyle w:val="NoSpacing"/>
        <w:jc w:val="both"/>
        <w:rPr>
          <w:spacing w:val="-6"/>
          <w:highlight w:val="darkGray"/>
        </w:rPr>
      </w:pPr>
      <w:r w:rsidRPr="00B9629C">
        <w:rPr>
          <w:spacing w:val="-6"/>
          <w:highlight w:val="darkGray"/>
        </w:rPr>
        <w:t xml:space="preserve">Patients may be down referred for </w:t>
      </w:r>
      <w:r w:rsidR="007B09D0" w:rsidRPr="00B9629C">
        <w:rPr>
          <w:spacing w:val="-6"/>
          <w:highlight w:val="darkGray"/>
        </w:rPr>
        <w:t xml:space="preserve">consolidation </w:t>
      </w:r>
      <w:r w:rsidR="00A834B4" w:rsidRPr="00B9629C">
        <w:rPr>
          <w:spacing w:val="-6"/>
          <w:highlight w:val="darkGray"/>
        </w:rPr>
        <w:t xml:space="preserve">and maintenance </w:t>
      </w:r>
      <w:r w:rsidR="007B09D0" w:rsidRPr="00B9629C">
        <w:rPr>
          <w:spacing w:val="-6"/>
          <w:highlight w:val="darkGray"/>
        </w:rPr>
        <w:t>phase therapy</w:t>
      </w:r>
      <w:r w:rsidRPr="00B9629C">
        <w:rPr>
          <w:spacing w:val="-6"/>
          <w:highlight w:val="darkGray"/>
        </w:rPr>
        <w:t>; see</w:t>
      </w:r>
      <w:r w:rsidR="007B09D0" w:rsidRPr="00B9629C">
        <w:rPr>
          <w:spacing w:val="-6"/>
          <w:highlight w:val="darkGray"/>
        </w:rPr>
        <w:t xml:space="preserve"> </w:t>
      </w:r>
      <w:r w:rsidRPr="00B9629C">
        <w:rPr>
          <w:spacing w:val="-6"/>
          <w:highlight w:val="darkGray"/>
        </w:rPr>
        <w:t>below.</w:t>
      </w:r>
    </w:p>
    <w:p w14:paraId="1A36DF34" w14:textId="77777777" w:rsidR="002E7F99" w:rsidRPr="00B9629C" w:rsidRDefault="002E7F99" w:rsidP="00B63FD4">
      <w:pPr>
        <w:pStyle w:val="Heading7"/>
        <w:rPr>
          <w:highlight w:val="darkGray"/>
        </w:rPr>
      </w:pPr>
    </w:p>
    <w:p w14:paraId="66D9682B" w14:textId="77777777" w:rsidR="00E5138C" w:rsidRPr="00B9629C" w:rsidRDefault="00E5138C" w:rsidP="00B63FD4">
      <w:pPr>
        <w:pStyle w:val="Heading7"/>
        <w:rPr>
          <w:highlight w:val="darkGray"/>
        </w:rPr>
      </w:pPr>
      <w:r w:rsidRPr="00B9629C">
        <w:rPr>
          <w:highlight w:val="darkGray"/>
        </w:rPr>
        <w:t>If there is any delay in performing LP, start oral fluconazole therapy:</w:t>
      </w:r>
    </w:p>
    <w:tbl>
      <w:tblPr>
        <w:tblpPr w:leftFromText="180" w:rightFromText="180" w:vertAnchor="text" w:horzAnchor="margin" w:tblpXSpec="right" w:tblpY="-2"/>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E5138C" w:rsidRPr="00B9629C" w14:paraId="2D8E900F" w14:textId="77777777" w:rsidTr="000B510E">
        <w:tc>
          <w:tcPr>
            <w:tcW w:w="907" w:type="dxa"/>
            <w:shd w:val="clear" w:color="auto" w:fill="auto"/>
          </w:tcPr>
          <w:p w14:paraId="3D7E339B" w14:textId="7A0A8AB3" w:rsidR="00E5138C" w:rsidRPr="00B9629C" w:rsidRDefault="00E5138C" w:rsidP="000B510E">
            <w:pPr>
              <w:pStyle w:val="LoEText"/>
              <w:framePr w:hSpace="0" w:wrap="auto" w:vAnchor="margin" w:hAnchor="text" w:xAlign="left" w:yAlign="inline"/>
              <w:suppressOverlap w:val="0"/>
              <w:rPr>
                <w:sz w:val="14"/>
                <w:szCs w:val="14"/>
                <w:highlight w:val="darkGray"/>
              </w:rPr>
            </w:pPr>
            <w:r w:rsidRPr="00B9629C">
              <w:rPr>
                <w:sz w:val="14"/>
                <w:szCs w:val="14"/>
                <w:highlight w:val="darkGray"/>
              </w:rPr>
              <w:t>LoE:I</w:t>
            </w:r>
            <w:r w:rsidR="009F2C00" w:rsidRPr="00B9629C">
              <w:rPr>
                <w:sz w:val="14"/>
                <w:szCs w:val="14"/>
                <w:highlight w:val="darkGray"/>
              </w:rPr>
              <w:t>Vb</w:t>
            </w:r>
            <w:r w:rsidRPr="00B9629C">
              <w:rPr>
                <w:rStyle w:val="EndnoteReference"/>
                <w:sz w:val="14"/>
                <w:szCs w:val="14"/>
                <w:highlight w:val="darkGray"/>
              </w:rPr>
              <w:endnoteReference w:id="37"/>
            </w:r>
          </w:p>
        </w:tc>
      </w:tr>
    </w:tbl>
    <w:p w14:paraId="5139659E" w14:textId="69420E79" w:rsidR="00E5138C" w:rsidRPr="00B9629C" w:rsidRDefault="003C3581" w:rsidP="00BF0F7D">
      <w:pPr>
        <w:pStyle w:val="BulletMedicine"/>
        <w:rPr>
          <w:highlight w:val="darkGray"/>
        </w:rPr>
      </w:pPr>
      <w:r w:rsidRPr="00B9629C">
        <w:rPr>
          <w:highlight w:val="darkGray"/>
        </w:rPr>
        <w:t xml:space="preserve">Adults: </w:t>
      </w:r>
      <w:r w:rsidR="00E5138C" w:rsidRPr="00B9629C">
        <w:rPr>
          <w:highlight w:val="darkGray"/>
        </w:rPr>
        <w:t>Fluconazole, oral</w:t>
      </w:r>
      <w:r w:rsidR="00042E17" w:rsidRPr="00B9629C">
        <w:rPr>
          <w:highlight w:val="darkGray"/>
        </w:rPr>
        <w:fldChar w:fldCharType="begin"/>
      </w:r>
      <w:r w:rsidR="00042E17" w:rsidRPr="00B9629C">
        <w:rPr>
          <w:highlight w:val="darkGray"/>
        </w:rPr>
        <w:instrText xml:space="preserve"> XE "Fluconazole, oral" \f "m" </w:instrText>
      </w:r>
      <w:r w:rsidR="00042E17" w:rsidRPr="00B9629C">
        <w:rPr>
          <w:highlight w:val="darkGray"/>
        </w:rPr>
        <w:fldChar w:fldCharType="end"/>
      </w:r>
      <w:r w:rsidR="00E5138C" w:rsidRPr="00B9629C">
        <w:rPr>
          <w:highlight w:val="darkGray"/>
        </w:rPr>
        <w:t>, 1200 mg immediately.</w:t>
      </w:r>
    </w:p>
    <w:p w14:paraId="26322C3F" w14:textId="5E0ED074" w:rsidR="003C3581" w:rsidRPr="00B9629C" w:rsidRDefault="00054747" w:rsidP="0065175A">
      <w:pPr>
        <w:pStyle w:val="BulletMedicine"/>
        <w:rPr>
          <w:highlight w:val="darkGray"/>
        </w:rPr>
      </w:pPr>
      <w:r w:rsidRPr="00B9629C">
        <w:rPr>
          <w:highlight w:val="darkGray"/>
        </w:rPr>
        <w:t>Children</w:t>
      </w:r>
      <w:r w:rsidR="003C3581" w:rsidRPr="00B9629C">
        <w:rPr>
          <w:highlight w:val="darkGray"/>
        </w:rPr>
        <w:t>: 12</w:t>
      </w:r>
      <w:r w:rsidR="00D255E7" w:rsidRPr="00B9629C">
        <w:rPr>
          <w:highlight w:val="darkGray"/>
        </w:rPr>
        <w:t xml:space="preserve"> </w:t>
      </w:r>
      <w:r w:rsidR="003C3581" w:rsidRPr="00B9629C">
        <w:rPr>
          <w:highlight w:val="darkGray"/>
        </w:rPr>
        <w:t xml:space="preserve">mg/kg to a maximum dose of </w:t>
      </w:r>
      <w:r w:rsidRPr="00B9629C">
        <w:rPr>
          <w:highlight w:val="darkGray"/>
        </w:rPr>
        <w:t>8</w:t>
      </w:r>
      <w:r w:rsidR="003C3581" w:rsidRPr="00B9629C">
        <w:rPr>
          <w:highlight w:val="darkGray"/>
        </w:rPr>
        <w:t>00</w:t>
      </w:r>
      <w:r w:rsidR="005A1EAF" w:rsidRPr="00B9629C">
        <w:rPr>
          <w:highlight w:val="darkGray"/>
        </w:rPr>
        <w:t xml:space="preserve"> </w:t>
      </w:r>
      <w:r w:rsidR="003C3581" w:rsidRPr="00B9629C">
        <w:rPr>
          <w:highlight w:val="darkGray"/>
        </w:rPr>
        <w:t xml:space="preserve">mg immediately </w:t>
      </w:r>
    </w:p>
    <w:p w14:paraId="4BF89347" w14:textId="77777777" w:rsidR="002E7F99" w:rsidRPr="00B9629C" w:rsidRDefault="002E7F99" w:rsidP="00FA7513">
      <w:pPr>
        <w:pStyle w:val="Heading7"/>
        <w:spacing w:before="0"/>
        <w:rPr>
          <w:highlight w:val="darkGray"/>
        </w:rPr>
      </w:pPr>
    </w:p>
    <w:p w14:paraId="21FC33E5" w14:textId="4BED8570" w:rsidR="00E5138C" w:rsidRPr="00B9629C" w:rsidRDefault="00E5138C" w:rsidP="00FA7513">
      <w:pPr>
        <w:pStyle w:val="Heading7"/>
        <w:spacing w:before="0"/>
        <w:rPr>
          <w:highlight w:val="darkGray"/>
        </w:rPr>
      </w:pPr>
      <w:r w:rsidRPr="00B9629C">
        <w:rPr>
          <w:highlight w:val="darkGray"/>
        </w:rPr>
        <w:t>No symptoms present and CSF CrAg negative (LP):</w:t>
      </w:r>
    </w:p>
    <w:p w14:paraId="635F9555" w14:textId="77777777" w:rsidR="00E5138C" w:rsidRPr="00B9629C" w:rsidRDefault="00E5138C" w:rsidP="00E5138C">
      <w:pPr>
        <w:pStyle w:val="NoSpacing"/>
        <w:rPr>
          <w:rStyle w:val="Strong"/>
          <w:highlight w:val="darkGray"/>
        </w:rPr>
      </w:pPr>
      <w:r w:rsidRPr="00B9629C">
        <w:rPr>
          <w:rStyle w:val="Strong"/>
          <w:highlight w:val="darkGray"/>
        </w:rPr>
        <w:t>Induction phase</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E5138C" w:rsidRPr="00B9629C" w14:paraId="0306D109" w14:textId="77777777" w:rsidTr="000B510E">
        <w:tc>
          <w:tcPr>
            <w:tcW w:w="907" w:type="dxa"/>
            <w:shd w:val="clear" w:color="auto" w:fill="auto"/>
          </w:tcPr>
          <w:p w14:paraId="64F0C01C" w14:textId="019CEAFE" w:rsidR="00E5138C" w:rsidRPr="00B9629C" w:rsidRDefault="00E5138C" w:rsidP="000B510E">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9F2C00" w:rsidRPr="00B9629C">
              <w:rPr>
                <w:sz w:val="14"/>
                <w:szCs w:val="14"/>
                <w:highlight w:val="darkGray"/>
              </w:rPr>
              <w:t>b</w:t>
            </w:r>
            <w:r w:rsidRPr="00B9629C">
              <w:rPr>
                <w:rStyle w:val="EndnoteReference"/>
                <w:sz w:val="14"/>
                <w:szCs w:val="14"/>
                <w:highlight w:val="darkGray"/>
              </w:rPr>
              <w:endnoteReference w:id="38"/>
            </w:r>
          </w:p>
        </w:tc>
      </w:tr>
    </w:tbl>
    <w:p w14:paraId="378DF819" w14:textId="41C92884" w:rsidR="00E5138C" w:rsidRPr="00B9629C" w:rsidRDefault="00E5138C" w:rsidP="00BF0F7D">
      <w:pPr>
        <w:pStyle w:val="BulletMedicine"/>
        <w:rPr>
          <w:highlight w:val="darkGray"/>
        </w:rPr>
      </w:pPr>
      <w:r w:rsidRPr="00B9629C">
        <w:rPr>
          <w:highlight w:val="darkGray"/>
        </w:rPr>
        <w:t>Fluconazole, oral</w:t>
      </w:r>
      <w:r w:rsidR="00042E17" w:rsidRPr="00B9629C">
        <w:rPr>
          <w:highlight w:val="darkGray"/>
        </w:rPr>
        <w:fldChar w:fldCharType="begin"/>
      </w:r>
      <w:r w:rsidR="00042E17" w:rsidRPr="00B9629C">
        <w:rPr>
          <w:highlight w:val="darkGray"/>
        </w:rPr>
        <w:instrText xml:space="preserve"> XE "Fluconazole, oral" \f "m" </w:instrText>
      </w:r>
      <w:r w:rsidR="00042E17" w:rsidRPr="00B9629C">
        <w:rPr>
          <w:highlight w:val="darkGray"/>
        </w:rPr>
        <w:fldChar w:fldCharType="end"/>
      </w:r>
      <w:r w:rsidRPr="00B9629C">
        <w:rPr>
          <w:highlight w:val="darkGray"/>
        </w:rPr>
        <w:t xml:space="preserve"> 1200 mg daily for 14 days.  </w:t>
      </w:r>
    </w:p>
    <w:p w14:paraId="2601A509" w14:textId="77777777" w:rsidR="00052CCC" w:rsidRPr="00B9629C" w:rsidRDefault="00052CCC" w:rsidP="00E5138C">
      <w:pPr>
        <w:pStyle w:val="NoSpacing"/>
        <w:rPr>
          <w:rStyle w:val="Strong"/>
          <w:highlight w:val="darkGray"/>
        </w:rPr>
      </w:pPr>
    </w:p>
    <w:p w14:paraId="5C23A43F" w14:textId="6A324804" w:rsidR="00E5138C" w:rsidRPr="00B9629C" w:rsidRDefault="00E5138C" w:rsidP="00E5138C">
      <w:pPr>
        <w:pStyle w:val="NoSpacing"/>
        <w:rPr>
          <w:rStyle w:val="Strong"/>
          <w:highlight w:val="darkGray"/>
        </w:rPr>
      </w:pPr>
      <w:r w:rsidRPr="00B9629C">
        <w:rPr>
          <w:rStyle w:val="Strong"/>
          <w:highlight w:val="darkGray"/>
        </w:rPr>
        <w:t xml:space="preserve">Consolidation phase </w:t>
      </w:r>
    </w:p>
    <w:p w14:paraId="5E60E82A" w14:textId="77777777" w:rsidR="00E5138C" w:rsidRPr="00B9629C" w:rsidRDefault="00E5138C" w:rsidP="00E5138C">
      <w:pPr>
        <w:pStyle w:val="NoSpacing"/>
        <w:rPr>
          <w:highlight w:val="darkGray"/>
        </w:rPr>
      </w:pPr>
      <w:r w:rsidRPr="00B9629C">
        <w:rPr>
          <w:highlight w:val="darkGray"/>
        </w:rPr>
        <w:t>Follow with:</w:t>
      </w:r>
    </w:p>
    <w:p w14:paraId="46B786F2" w14:textId="4F08268E" w:rsidR="00E5138C" w:rsidRPr="00B9629C" w:rsidRDefault="00E5138C" w:rsidP="00A77601">
      <w:pPr>
        <w:pStyle w:val="BulletMedicine"/>
        <w:rPr>
          <w:highlight w:val="darkGray"/>
        </w:rPr>
      </w:pPr>
      <w:r w:rsidRPr="00B9629C">
        <w:rPr>
          <w:highlight w:val="darkGray"/>
        </w:rPr>
        <w:t>Fluconazole, oral</w:t>
      </w:r>
      <w:r w:rsidR="00042E17" w:rsidRPr="00B9629C">
        <w:rPr>
          <w:highlight w:val="darkGray"/>
        </w:rPr>
        <w:fldChar w:fldCharType="begin"/>
      </w:r>
      <w:r w:rsidR="00042E17" w:rsidRPr="00B9629C">
        <w:rPr>
          <w:highlight w:val="darkGray"/>
        </w:rPr>
        <w:instrText xml:space="preserve"> XE "Fluconazole, oral" \f "m" </w:instrText>
      </w:r>
      <w:r w:rsidR="00042E17" w:rsidRPr="00B9629C">
        <w:rPr>
          <w:highlight w:val="darkGray"/>
        </w:rPr>
        <w:fldChar w:fldCharType="end"/>
      </w:r>
      <w:r w:rsidRPr="00B9629C">
        <w:rPr>
          <w:highlight w:val="darkGray"/>
        </w:rPr>
        <w:t>, 800 mg daily for 8 weeks.</w:t>
      </w:r>
    </w:p>
    <w:p w14:paraId="22669F82" w14:textId="77777777" w:rsidR="00052CCC" w:rsidRPr="00B9629C" w:rsidRDefault="00052CCC" w:rsidP="00E5138C">
      <w:pPr>
        <w:pStyle w:val="NoSpacing"/>
        <w:rPr>
          <w:rStyle w:val="Strong"/>
          <w:highlight w:val="darkGray"/>
        </w:rPr>
      </w:pPr>
    </w:p>
    <w:p w14:paraId="46F05EC8" w14:textId="633925A9" w:rsidR="00E5138C" w:rsidRPr="00B9629C" w:rsidRDefault="00E5138C" w:rsidP="00E5138C">
      <w:pPr>
        <w:pStyle w:val="NoSpacing"/>
        <w:rPr>
          <w:rStyle w:val="Strong"/>
          <w:highlight w:val="darkGray"/>
        </w:rPr>
      </w:pPr>
      <w:r w:rsidRPr="00B9629C">
        <w:rPr>
          <w:rStyle w:val="Strong"/>
          <w:highlight w:val="darkGray"/>
        </w:rPr>
        <w:t>Maintenance phase</w:t>
      </w:r>
    </w:p>
    <w:p w14:paraId="0E70FB0C" w14:textId="754F9E13" w:rsidR="00E5138C" w:rsidRPr="00B9629C" w:rsidRDefault="00E5138C" w:rsidP="00A77601">
      <w:pPr>
        <w:pStyle w:val="BulletMedicine"/>
        <w:rPr>
          <w:highlight w:val="darkGray"/>
        </w:rPr>
      </w:pPr>
      <w:r w:rsidRPr="00B9629C">
        <w:rPr>
          <w:highlight w:val="darkGray"/>
        </w:rPr>
        <w:t>Fluconazole, oral</w:t>
      </w:r>
      <w:r w:rsidR="00042E17" w:rsidRPr="00B9629C">
        <w:rPr>
          <w:highlight w:val="darkGray"/>
        </w:rPr>
        <w:fldChar w:fldCharType="begin"/>
      </w:r>
      <w:r w:rsidR="00042E17" w:rsidRPr="00B9629C">
        <w:rPr>
          <w:highlight w:val="darkGray"/>
        </w:rPr>
        <w:instrText xml:space="preserve"> XE "Fluconazole, oral" \f "m" </w:instrText>
      </w:r>
      <w:r w:rsidR="00042E17" w:rsidRPr="00B9629C">
        <w:rPr>
          <w:highlight w:val="darkGray"/>
        </w:rPr>
        <w:fldChar w:fldCharType="end"/>
      </w:r>
      <w:r w:rsidRPr="00B9629C">
        <w:rPr>
          <w:highlight w:val="darkGray"/>
        </w:rPr>
        <w:t>, 200 mg daily.</w:t>
      </w:r>
    </w:p>
    <w:p w14:paraId="58A89786" w14:textId="444E2E8B" w:rsidR="007D6739" w:rsidRPr="00B9629C" w:rsidRDefault="00E5138C" w:rsidP="007D6739">
      <w:pPr>
        <w:pStyle w:val="BulletDirectionsInstructions"/>
        <w:rPr>
          <w:b/>
          <w:highlight w:val="darkGray"/>
        </w:rPr>
      </w:pPr>
      <w:r w:rsidRPr="00B9629C">
        <w:rPr>
          <w:b/>
          <w:highlight w:val="darkGray"/>
        </w:rPr>
        <w:t>Continue for at least 1 year provided that the CD4 count increases to &gt;200 cells/mm</w:t>
      </w:r>
      <w:r w:rsidRPr="00B9629C">
        <w:rPr>
          <w:b/>
          <w:highlight w:val="darkGray"/>
          <w:vertAlign w:val="superscript"/>
        </w:rPr>
        <w:t>3</w:t>
      </w:r>
      <w:r w:rsidRPr="00B9629C">
        <w:rPr>
          <w:b/>
          <w:highlight w:val="darkGray"/>
        </w:rPr>
        <w:t xml:space="preserve"> on ART. If the CD4 count does not increase</w:t>
      </w:r>
      <w:r w:rsidR="008E36B7" w:rsidRPr="00B9629C">
        <w:rPr>
          <w:b/>
          <w:highlight w:val="darkGray"/>
        </w:rPr>
        <w:t>,</w:t>
      </w:r>
      <w:r w:rsidRPr="00B9629C">
        <w:rPr>
          <w:b/>
          <w:highlight w:val="darkGray"/>
        </w:rPr>
        <w:t xml:space="preserve"> continue treatment indefinitely.</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10"/>
      </w:tblGrid>
      <w:tr w:rsidR="007D6739" w:rsidRPr="00B9629C" w14:paraId="08CE16A8" w14:textId="77777777" w:rsidTr="00F12F3B">
        <w:tc>
          <w:tcPr>
            <w:tcW w:w="810" w:type="dxa"/>
            <w:shd w:val="clear" w:color="auto" w:fill="auto"/>
          </w:tcPr>
          <w:p w14:paraId="59FE3898" w14:textId="77777777" w:rsidR="007D6739" w:rsidRPr="00B9629C" w:rsidRDefault="007D6739" w:rsidP="00F12F3B">
            <w:pPr>
              <w:spacing w:before="0" w:after="0"/>
              <w:rPr>
                <w:b/>
                <w:i/>
                <w:sz w:val="14"/>
                <w:szCs w:val="16"/>
                <w:highlight w:val="darkGray"/>
              </w:rPr>
            </w:pPr>
            <w:r w:rsidRPr="00B9629C">
              <w:rPr>
                <w:i/>
                <w:sz w:val="14"/>
                <w:szCs w:val="16"/>
                <w:highlight w:val="darkGray"/>
              </w:rPr>
              <w:t>LoE:IIIb</w:t>
            </w:r>
            <w:r w:rsidRPr="00B9629C">
              <w:rPr>
                <w:rStyle w:val="EndnoteReference"/>
                <w:rFonts w:cs="Arial"/>
                <w:i/>
                <w:sz w:val="14"/>
                <w:szCs w:val="16"/>
                <w:highlight w:val="darkGray"/>
              </w:rPr>
              <w:endnoteReference w:id="39"/>
            </w:r>
          </w:p>
        </w:tc>
      </w:tr>
    </w:tbl>
    <w:p w14:paraId="6AD26A9A" w14:textId="77777777" w:rsidR="007D6739" w:rsidRPr="00B9629C" w:rsidRDefault="007D6739" w:rsidP="00052CCC">
      <w:pPr>
        <w:spacing w:before="0" w:after="0"/>
        <w:rPr>
          <w:highlight w:val="darkGray"/>
        </w:rPr>
      </w:pPr>
    </w:p>
    <w:p w14:paraId="75562965" w14:textId="0F69FA84" w:rsidR="00E5138C" w:rsidRPr="00B9629C" w:rsidRDefault="00E5138C" w:rsidP="00A77601">
      <w:pPr>
        <w:pStyle w:val="BulletMedicine"/>
        <w:rPr>
          <w:highlight w:val="darkGray"/>
        </w:rPr>
      </w:pPr>
      <w:r w:rsidRPr="00B9629C">
        <w:rPr>
          <w:highlight w:val="darkGray"/>
        </w:rPr>
        <w:t xml:space="preserve">Commence ART: See </w:t>
      </w:r>
      <w:r w:rsidR="00E819E6" w:rsidRPr="00B9629C">
        <w:rPr>
          <w:highlight w:val="darkGray"/>
        </w:rPr>
        <w:t>Section</w:t>
      </w:r>
      <w:r w:rsidRPr="00B9629C">
        <w:rPr>
          <w:highlight w:val="darkGray"/>
        </w:rPr>
        <w:t xml:space="preserve"> 1</w:t>
      </w:r>
      <w:r w:rsidR="00F12961" w:rsidRPr="00B9629C">
        <w:rPr>
          <w:highlight w:val="darkGray"/>
        </w:rPr>
        <w:t>1</w:t>
      </w:r>
      <w:r w:rsidRPr="00B9629C">
        <w:rPr>
          <w:highlight w:val="darkGray"/>
        </w:rPr>
        <w:t>.1: Antiretroviral therapy</w:t>
      </w:r>
      <w:r w:rsidR="00864BFB" w:rsidRPr="00B9629C">
        <w:rPr>
          <w:highlight w:val="darkGray"/>
        </w:rPr>
        <w:t>, adults and adolescents</w:t>
      </w:r>
      <w:r w:rsidRPr="00B9629C">
        <w:rPr>
          <w:highlight w:val="darkGray"/>
        </w:rPr>
        <w:t>.</w:t>
      </w:r>
    </w:p>
    <w:p w14:paraId="057F01E7" w14:textId="5432B26F" w:rsidR="00E5138C" w:rsidRPr="00B9629C" w:rsidRDefault="00E5138C" w:rsidP="000B510E">
      <w:pPr>
        <w:pStyle w:val="BulletDirectionsInstructions"/>
        <w:rPr>
          <w:highlight w:val="darkGray"/>
        </w:rPr>
      </w:pPr>
      <w:r w:rsidRPr="00B9629C">
        <w:rPr>
          <w:highlight w:val="darkGray"/>
        </w:rPr>
        <w:t>Cryptococcal meningitis: 4–6 weeks after starting antifungal therapy.</w:t>
      </w:r>
    </w:p>
    <w:tbl>
      <w:tblPr>
        <w:tblpPr w:leftFromText="180" w:rightFromText="180" w:vertAnchor="text" w:horzAnchor="margin" w:tblpXSpec="right" w:tblpY="264"/>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9"/>
      </w:tblGrid>
      <w:tr w:rsidR="00F869C6" w:rsidRPr="00B9629C" w14:paraId="2FD3EFA9" w14:textId="77777777" w:rsidTr="00F12F3B">
        <w:tc>
          <w:tcPr>
            <w:tcW w:w="879" w:type="dxa"/>
            <w:shd w:val="clear" w:color="auto" w:fill="auto"/>
          </w:tcPr>
          <w:p w14:paraId="54648876" w14:textId="77777777" w:rsidR="00F869C6" w:rsidRPr="00B9629C" w:rsidRDefault="00F869C6" w:rsidP="00F12F3B">
            <w:pPr>
              <w:spacing w:before="0" w:after="0"/>
              <w:rPr>
                <w:rFonts w:cs="Arial"/>
                <w:b/>
                <w:i/>
                <w:sz w:val="14"/>
                <w:szCs w:val="16"/>
                <w:highlight w:val="darkGray"/>
              </w:rPr>
            </w:pPr>
            <w:r w:rsidRPr="00B9629C">
              <w:rPr>
                <w:rFonts w:cs="Arial"/>
                <w:i/>
                <w:sz w:val="14"/>
                <w:szCs w:val="16"/>
                <w:highlight w:val="darkGray"/>
              </w:rPr>
              <w:t>LoE:IIIb</w:t>
            </w:r>
            <w:r w:rsidRPr="00B9629C">
              <w:rPr>
                <w:rFonts w:cs="Arial"/>
                <w:i/>
                <w:sz w:val="14"/>
                <w:szCs w:val="16"/>
                <w:highlight w:val="darkGray"/>
                <w:vertAlign w:val="superscript"/>
              </w:rPr>
              <w:endnoteReference w:id="40"/>
            </w:r>
          </w:p>
        </w:tc>
      </w:tr>
    </w:tbl>
    <w:p w14:paraId="7BE1BE5C" w14:textId="5D9A9BB7" w:rsidR="007D6739" w:rsidRPr="00B9629C" w:rsidRDefault="00E5138C" w:rsidP="00383C11">
      <w:pPr>
        <w:pStyle w:val="BulletDirectionsInstructions"/>
        <w:jc w:val="both"/>
        <w:rPr>
          <w:highlight w:val="darkGray"/>
        </w:rPr>
      </w:pPr>
      <w:r w:rsidRPr="00B9629C">
        <w:rPr>
          <w:highlight w:val="darkGray"/>
        </w:rPr>
        <w:t xml:space="preserve">Asymptomatic cryptococcosis: </w:t>
      </w:r>
      <w:r w:rsidR="00383C11" w:rsidRPr="00B9629C">
        <w:rPr>
          <w:highlight w:val="darkGray"/>
        </w:rPr>
        <w:t xml:space="preserve"> No need to delay ART. ART can be started immediately.</w:t>
      </w:r>
    </w:p>
    <w:p w14:paraId="4A98B1C7" w14:textId="77777777" w:rsidR="00CF392C" w:rsidRPr="00B9629C" w:rsidRDefault="00CF392C" w:rsidP="007D6739">
      <w:pPr>
        <w:rPr>
          <w:highlight w:val="darkGray"/>
        </w:rPr>
      </w:pPr>
    </w:p>
    <w:tbl>
      <w:tblPr>
        <w:tblpPr w:leftFromText="180" w:rightFromText="180" w:vertAnchor="text" w:horzAnchor="margin" w:tblpY="19"/>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661"/>
      </w:tblGrid>
      <w:tr w:rsidR="00E5138C" w:rsidRPr="00B9629C" w14:paraId="34A86145" w14:textId="77777777" w:rsidTr="00352DAD">
        <w:tc>
          <w:tcPr>
            <w:tcW w:w="6906" w:type="dxa"/>
          </w:tcPr>
          <w:p w14:paraId="53FFA4E4" w14:textId="77777777" w:rsidR="00E5138C" w:rsidRPr="00B9629C" w:rsidRDefault="00E5138C" w:rsidP="00994B83">
            <w:pPr>
              <w:pStyle w:val="NoSpacing"/>
              <w:jc w:val="center"/>
              <w:rPr>
                <w:rStyle w:val="Strong"/>
                <w:highlight w:val="darkGray"/>
              </w:rPr>
            </w:pPr>
            <w:r w:rsidRPr="00B9629C">
              <w:rPr>
                <w:rStyle w:val="Strong"/>
                <w:highlight w:val="darkGray"/>
              </w:rPr>
              <w:t>CAUTION</w:t>
            </w:r>
          </w:p>
          <w:p w14:paraId="6398ED4A" w14:textId="77777777" w:rsidR="00D727CC" w:rsidRPr="00B9629C" w:rsidRDefault="00D727CC" w:rsidP="00545E32">
            <w:pPr>
              <w:pStyle w:val="ListParagraph"/>
              <w:rPr>
                <w:highlight w:val="darkGray"/>
              </w:rPr>
            </w:pPr>
            <w:r w:rsidRPr="00B9629C">
              <w:rPr>
                <w:highlight w:val="darkGray"/>
              </w:rPr>
              <w:t>Fluconazole is potentially teratogenic when used during the 1st trimester, but pregnant women should be counselled that the benefits of fluconazole likely outweigh the risks in the management of cryptococcosis.</w:t>
            </w:r>
          </w:p>
          <w:tbl>
            <w:tblPr>
              <w:tblpPr w:leftFromText="180" w:rightFromText="180" w:vertAnchor="text" w:horzAnchor="margin" w:tblpXSpec="right" w:tblpY="25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D20ED0" w:rsidRPr="00B9629C" w14:paraId="22A6D6C4" w14:textId="77777777" w:rsidTr="00601591">
              <w:tc>
                <w:tcPr>
                  <w:tcW w:w="907" w:type="dxa"/>
                  <w:shd w:val="clear" w:color="auto" w:fill="auto"/>
                </w:tcPr>
                <w:p w14:paraId="73DDE4FE" w14:textId="177398E9" w:rsidR="00D20ED0" w:rsidRPr="00B9629C" w:rsidRDefault="00D20ED0" w:rsidP="00D20ED0">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1A3AE4" w:rsidRPr="00B9629C">
                    <w:rPr>
                      <w:sz w:val="14"/>
                      <w:szCs w:val="14"/>
                      <w:highlight w:val="darkGray"/>
                    </w:rPr>
                    <w:t>b</w:t>
                  </w:r>
                  <w:r w:rsidRPr="00B9629C">
                    <w:rPr>
                      <w:rStyle w:val="EndnoteReference"/>
                      <w:sz w:val="14"/>
                      <w:szCs w:val="14"/>
                      <w:highlight w:val="darkGray"/>
                    </w:rPr>
                    <w:endnoteReference w:id="41"/>
                  </w:r>
                </w:p>
              </w:tc>
            </w:tr>
          </w:tbl>
          <w:p w14:paraId="4A09565A" w14:textId="58E04428" w:rsidR="00E5138C" w:rsidRPr="00B9629C" w:rsidRDefault="00E5138C" w:rsidP="00545E32">
            <w:pPr>
              <w:pStyle w:val="ListParagraph"/>
              <w:rPr>
                <w:highlight w:val="darkGray"/>
              </w:rPr>
            </w:pPr>
            <w:r w:rsidRPr="00B9629C">
              <w:rPr>
                <w:highlight w:val="darkGray"/>
              </w:rPr>
              <w:t xml:space="preserve">All pregnant women &lt;20 weeks gestation exposed to fluconazole should have an ultrasound scan to detect congenital abnormalities. </w:t>
            </w:r>
          </w:p>
          <w:tbl>
            <w:tblPr>
              <w:tblpPr w:leftFromText="180" w:rightFromText="180" w:vertAnchor="text" w:horzAnchor="margin" w:tblpXSpec="right" w:tblpY="188"/>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5"/>
            </w:tblGrid>
            <w:tr w:rsidR="00014361" w:rsidRPr="00B9629C" w14:paraId="679E1440" w14:textId="77777777" w:rsidTr="002E7F99">
              <w:tc>
                <w:tcPr>
                  <w:tcW w:w="885" w:type="dxa"/>
                  <w:shd w:val="clear" w:color="auto" w:fill="auto"/>
                </w:tcPr>
                <w:p w14:paraId="02E6B443" w14:textId="77777777" w:rsidR="00014361" w:rsidRPr="00B9629C" w:rsidRDefault="00014361" w:rsidP="00014361">
                  <w:pPr>
                    <w:pStyle w:val="LoEText"/>
                    <w:framePr w:hSpace="0" w:wrap="auto" w:vAnchor="margin" w:hAnchor="text" w:xAlign="left" w:yAlign="inline"/>
                    <w:suppressOverlap w:val="0"/>
                    <w:jc w:val="left"/>
                    <w:rPr>
                      <w:sz w:val="14"/>
                      <w:szCs w:val="14"/>
                      <w:highlight w:val="darkGray"/>
                    </w:rPr>
                  </w:pPr>
                  <w:r w:rsidRPr="00B9629C">
                    <w:rPr>
                      <w:sz w:val="14"/>
                      <w:szCs w:val="14"/>
                      <w:highlight w:val="darkGray"/>
                    </w:rPr>
                    <w:lastRenderedPageBreak/>
                    <w:t>LoE:IVb</w:t>
                  </w:r>
                  <w:r w:rsidRPr="00B9629C">
                    <w:rPr>
                      <w:rStyle w:val="EndnoteReference"/>
                      <w:sz w:val="14"/>
                      <w:szCs w:val="14"/>
                      <w:highlight w:val="darkGray"/>
                    </w:rPr>
                    <w:endnoteReference w:id="42"/>
                  </w:r>
                </w:p>
              </w:tc>
            </w:tr>
          </w:tbl>
          <w:p w14:paraId="096372E1" w14:textId="0B8FEF5E" w:rsidR="00545E32" w:rsidRPr="00B9629C" w:rsidRDefault="00545E32" w:rsidP="00545E32">
            <w:pPr>
              <w:pStyle w:val="ListParagraph"/>
              <w:rPr>
                <w:highlight w:val="darkGray"/>
              </w:rPr>
            </w:pPr>
            <w:r w:rsidRPr="00B9629C">
              <w:rPr>
                <w:highlight w:val="darkGray"/>
              </w:rPr>
              <w:lastRenderedPageBreak/>
              <w:t xml:space="preserve">Although fluconazole is excreted into breast milk at concentrations similar to maternal plasma concentrations, the dose that the infant is exposed to with doses &lt;400 mg is similar to the dose used in systemic treatment in infants. Even for higher doses, the benefits will likely outweigh the risks, though this can </w:t>
            </w:r>
            <w:r w:rsidR="008C6CDB" w:rsidRPr="00B9629C">
              <w:rPr>
                <w:highlight w:val="darkGray"/>
              </w:rPr>
              <w:t>be discussed with a specialist.</w:t>
            </w:r>
          </w:p>
          <w:p w14:paraId="6927BDC7" w14:textId="10917DFA" w:rsidR="00E5138C" w:rsidRPr="00B9629C" w:rsidRDefault="00E5138C" w:rsidP="008C6CDB">
            <w:pPr>
              <w:spacing w:before="0"/>
              <w:ind w:left="299"/>
              <w:rPr>
                <w:sz w:val="2"/>
                <w:szCs w:val="2"/>
                <w:highlight w:val="darkGray"/>
              </w:rPr>
            </w:pPr>
          </w:p>
        </w:tc>
      </w:tr>
    </w:tbl>
    <w:p w14:paraId="6BC680DB" w14:textId="77777777" w:rsidR="00E5138C" w:rsidRPr="00B9629C" w:rsidRDefault="00E5138C" w:rsidP="003D7E8C">
      <w:pPr>
        <w:pStyle w:val="Heading5"/>
        <w:rPr>
          <w:highlight w:val="darkGray"/>
        </w:rPr>
      </w:pPr>
      <w:r w:rsidRPr="00B9629C">
        <w:rPr>
          <w:highlight w:val="darkGray"/>
        </w:rPr>
        <w:lastRenderedPageBreak/>
        <w:t>REFERRAL</w:t>
      </w:r>
    </w:p>
    <w:p w14:paraId="394A361D" w14:textId="711D9955" w:rsidR="00E5138C" w:rsidRPr="00B9629C" w:rsidRDefault="00E5138C" w:rsidP="00027AC7">
      <w:pPr>
        <w:pStyle w:val="ListParagraph"/>
        <w:rPr>
          <w:highlight w:val="darkGray"/>
        </w:rPr>
      </w:pPr>
      <w:r w:rsidRPr="00B9629C">
        <w:rPr>
          <w:highlight w:val="darkGray"/>
        </w:rPr>
        <w:t xml:space="preserve">If LP unavailable: Refer all serum CrAg positive patients </w:t>
      </w:r>
      <w:r w:rsidR="008C6CDB" w:rsidRPr="00B9629C">
        <w:rPr>
          <w:highlight w:val="darkGray"/>
        </w:rPr>
        <w:t xml:space="preserve">to a facility where </w:t>
      </w:r>
      <w:r w:rsidRPr="00B9629C">
        <w:rPr>
          <w:highlight w:val="darkGray"/>
        </w:rPr>
        <w:t>LP</w:t>
      </w:r>
      <w:r w:rsidR="008C6CDB" w:rsidRPr="00B9629C">
        <w:rPr>
          <w:highlight w:val="darkGray"/>
        </w:rPr>
        <w:t xml:space="preserve"> is available.</w:t>
      </w:r>
    </w:p>
    <w:p w14:paraId="6F0AC761" w14:textId="77777777" w:rsidR="00E5138C" w:rsidRPr="00B9629C" w:rsidRDefault="00E5138C" w:rsidP="00027AC7">
      <w:pPr>
        <w:pStyle w:val="ListParagraph"/>
        <w:rPr>
          <w:highlight w:val="darkGray"/>
        </w:rPr>
      </w:pPr>
      <w:r w:rsidRPr="00B9629C">
        <w:rPr>
          <w:highlight w:val="darkGray"/>
        </w:rPr>
        <w:t>If LP available:</w:t>
      </w:r>
    </w:p>
    <w:p w14:paraId="0B8FD412" w14:textId="5FF66D4F" w:rsidR="00E5138C" w:rsidRPr="00B9629C" w:rsidRDefault="00E5138C" w:rsidP="009750A0">
      <w:pPr>
        <w:pStyle w:val="ListParagraph"/>
        <w:numPr>
          <w:ilvl w:val="1"/>
          <w:numId w:val="5"/>
        </w:numPr>
        <w:rPr>
          <w:highlight w:val="darkGray"/>
        </w:rPr>
      </w:pPr>
      <w:r w:rsidRPr="00B9629C">
        <w:rPr>
          <w:highlight w:val="darkGray"/>
        </w:rPr>
        <w:t xml:space="preserve">Refer all patients </w:t>
      </w:r>
      <w:r w:rsidR="002D6F30" w:rsidRPr="00B9629C">
        <w:rPr>
          <w:highlight w:val="darkGray"/>
        </w:rPr>
        <w:t xml:space="preserve">that are </w:t>
      </w:r>
      <w:r w:rsidRPr="00B9629C">
        <w:rPr>
          <w:highlight w:val="darkGray"/>
        </w:rPr>
        <w:t>CSF CrAg positive (cryptococcal meningitis).</w:t>
      </w:r>
    </w:p>
    <w:p w14:paraId="27C76585" w14:textId="0BCC6903" w:rsidR="00E5138C" w:rsidRPr="00B9629C" w:rsidRDefault="00E5138C" w:rsidP="009750A0">
      <w:pPr>
        <w:pStyle w:val="ListParagraph"/>
        <w:numPr>
          <w:ilvl w:val="1"/>
          <w:numId w:val="5"/>
        </w:numPr>
        <w:rPr>
          <w:highlight w:val="darkGray"/>
        </w:rPr>
      </w:pPr>
      <w:r w:rsidRPr="00B9629C">
        <w:rPr>
          <w:highlight w:val="darkGray"/>
        </w:rPr>
        <w:t xml:space="preserve">Refer all symptomatic patients </w:t>
      </w:r>
      <w:r w:rsidR="005943EF" w:rsidRPr="00B9629C">
        <w:rPr>
          <w:highlight w:val="darkGray"/>
        </w:rPr>
        <w:t xml:space="preserve">that are </w:t>
      </w:r>
      <w:r w:rsidRPr="00B9629C">
        <w:rPr>
          <w:highlight w:val="darkGray"/>
        </w:rPr>
        <w:t>CSF CrAg negative (non-meningeal cryptococcosis).</w:t>
      </w:r>
    </w:p>
    <w:p w14:paraId="278E74E3" w14:textId="77777777" w:rsidR="00E5138C" w:rsidRPr="00B9629C" w:rsidRDefault="00E5138C" w:rsidP="00027AC7">
      <w:pPr>
        <w:pStyle w:val="ListParagraph"/>
        <w:rPr>
          <w:highlight w:val="darkGray"/>
        </w:rPr>
      </w:pPr>
      <w:r w:rsidRPr="00B9629C">
        <w:rPr>
          <w:highlight w:val="darkGray"/>
        </w:rPr>
        <w:t>All patients with complications.</w:t>
      </w:r>
    </w:p>
    <w:p w14:paraId="1F26EC94" w14:textId="77777777" w:rsidR="00E5138C" w:rsidRPr="00B9629C" w:rsidRDefault="00E5138C" w:rsidP="00E5138C">
      <w:pPr>
        <w:pStyle w:val="NoSpacing"/>
        <w:rPr>
          <w:highlight w:val="darkGray"/>
        </w:rPr>
      </w:pPr>
    </w:p>
    <w:p w14:paraId="334EA183" w14:textId="66AC321E" w:rsidR="00E5138C" w:rsidRPr="00B9629C" w:rsidRDefault="00CD4817" w:rsidP="00CD4817">
      <w:pPr>
        <w:pStyle w:val="Heading3"/>
        <w:rPr>
          <w:highlight w:val="darkGray"/>
        </w:rPr>
      </w:pPr>
      <w:bookmarkStart w:id="26" w:name="_Toc57132048"/>
      <w:bookmarkStart w:id="27" w:name="_Toc177151097"/>
      <w:r w:rsidRPr="00B9629C">
        <w:rPr>
          <w:highlight w:val="darkGray"/>
        </w:rPr>
        <w:t>Diarrhoea, HIV-associated</w:t>
      </w:r>
      <w:bookmarkEnd w:id="26"/>
      <w:bookmarkEnd w:id="27"/>
      <w:r w:rsidR="006D4857" w:rsidRPr="00B9629C">
        <w:rPr>
          <w:highlight w:val="darkGray"/>
        </w:rPr>
        <w:fldChar w:fldCharType="begin"/>
      </w:r>
      <w:r w:rsidR="006D4857" w:rsidRPr="00B9629C">
        <w:rPr>
          <w:highlight w:val="darkGray"/>
        </w:rPr>
        <w:instrText xml:space="preserve"> XE "Diarrhoea, HIV-associated" \f “c”</w:instrText>
      </w:r>
      <w:r w:rsidR="006D4857" w:rsidRPr="00B9629C">
        <w:rPr>
          <w:highlight w:val="darkGray"/>
        </w:rPr>
        <w:fldChar w:fldCharType="end"/>
      </w:r>
      <w:r w:rsidRPr="00B9629C">
        <w:rPr>
          <w:highlight w:val="darkGray"/>
        </w:rPr>
        <w:t xml:space="preserve"> </w:t>
      </w:r>
    </w:p>
    <w:p w14:paraId="6A96FDD2"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B20.8 + (A07.2-3)</w:t>
      </w:r>
    </w:p>
    <w:p w14:paraId="7FA6995D" w14:textId="77777777" w:rsidR="00E5138C" w:rsidRPr="00B9629C" w:rsidRDefault="00E5138C" w:rsidP="00027AC7">
      <w:pPr>
        <w:pStyle w:val="Heading5"/>
        <w:rPr>
          <w:highlight w:val="darkGray"/>
        </w:rPr>
      </w:pPr>
      <w:r w:rsidRPr="00B9629C">
        <w:rPr>
          <w:highlight w:val="darkGray"/>
        </w:rPr>
        <w:t>DESCRIPTION</w:t>
      </w:r>
    </w:p>
    <w:p w14:paraId="35569459" w14:textId="7943F927" w:rsidR="00E5138C" w:rsidRPr="00B9629C" w:rsidRDefault="00E5138C" w:rsidP="00027AC7">
      <w:pPr>
        <w:pStyle w:val="NoSpacing"/>
        <w:rPr>
          <w:highlight w:val="darkGray"/>
        </w:rPr>
      </w:pPr>
      <w:r w:rsidRPr="00B9629C">
        <w:rPr>
          <w:highlight w:val="darkGray"/>
        </w:rPr>
        <w:t xml:space="preserve">Diarrhoea that persists for </w:t>
      </w:r>
      <w:r w:rsidR="00724290" w:rsidRPr="00B9629C">
        <w:rPr>
          <w:highlight w:val="darkGray"/>
        </w:rPr>
        <w:t>&gt;</w:t>
      </w:r>
      <w:r w:rsidRPr="00B9629C">
        <w:rPr>
          <w:highlight w:val="darkGray"/>
        </w:rPr>
        <w:t>2 weeks.</w:t>
      </w:r>
    </w:p>
    <w:p w14:paraId="5585F512" w14:textId="77777777" w:rsidR="00E5138C" w:rsidRPr="00B9629C" w:rsidRDefault="00E5138C" w:rsidP="00027AC7">
      <w:pPr>
        <w:pStyle w:val="NoSpacing"/>
        <w:rPr>
          <w:highlight w:val="darkGray"/>
        </w:rPr>
      </w:pPr>
      <w:r w:rsidRPr="00B9629C">
        <w:rPr>
          <w:highlight w:val="darkGray"/>
        </w:rPr>
        <w:t>Often associated with wasting.</w:t>
      </w:r>
    </w:p>
    <w:p w14:paraId="067F0273" w14:textId="38BFF428" w:rsidR="002F27B6" w:rsidRPr="00B9629C" w:rsidRDefault="002F27B6" w:rsidP="002F27B6">
      <w:pPr>
        <w:pStyle w:val="NoSpacing"/>
        <w:rPr>
          <w:highlight w:val="darkGray"/>
        </w:rPr>
      </w:pPr>
      <w:r w:rsidRPr="00B9629C">
        <w:rPr>
          <w:highlight w:val="darkGray"/>
        </w:rPr>
        <w:t>Diarrhoea persisting for 4 weeks is a WHO stage 3 condition (if there is weight loss or fever it is stage 4).</w:t>
      </w:r>
    </w:p>
    <w:p w14:paraId="0F178C1C" w14:textId="0EE999AB" w:rsidR="00E5138C" w:rsidRPr="00B9629C" w:rsidRDefault="007350B7" w:rsidP="00027AC7">
      <w:pPr>
        <w:pStyle w:val="NoSpacing"/>
        <w:rPr>
          <w:highlight w:val="darkGray"/>
        </w:rPr>
      </w:pPr>
      <w:r w:rsidRPr="00B9629C">
        <w:rPr>
          <w:highlight w:val="darkGray"/>
        </w:rPr>
        <w:t>Send s</w:t>
      </w:r>
      <w:r w:rsidR="00E5138C" w:rsidRPr="00B9629C">
        <w:rPr>
          <w:highlight w:val="darkGray"/>
        </w:rPr>
        <w:t xml:space="preserve">tool </w:t>
      </w:r>
      <w:r w:rsidRPr="00B9629C">
        <w:rPr>
          <w:highlight w:val="darkGray"/>
        </w:rPr>
        <w:t>sample to look</w:t>
      </w:r>
      <w:r w:rsidR="00B27828" w:rsidRPr="00B9629C">
        <w:rPr>
          <w:highlight w:val="darkGray"/>
        </w:rPr>
        <w:t xml:space="preserve"> </w:t>
      </w:r>
      <w:r w:rsidR="00E5138C" w:rsidRPr="00B9629C">
        <w:rPr>
          <w:highlight w:val="darkGray"/>
        </w:rPr>
        <w:t>for ova, cysts and parasites in all cases.</w:t>
      </w:r>
    </w:p>
    <w:p w14:paraId="20CD57DB" w14:textId="62F8EF8E" w:rsidR="004134A5" w:rsidRPr="00B9629C" w:rsidRDefault="004134A5" w:rsidP="004134A5">
      <w:pPr>
        <w:pStyle w:val="NoSpacing"/>
        <w:rPr>
          <w:highlight w:val="darkGray"/>
        </w:rPr>
      </w:pPr>
      <w:r w:rsidRPr="00B9629C">
        <w:rPr>
          <w:b/>
          <w:bCs/>
          <w:highlight w:val="darkGray"/>
        </w:rPr>
        <w:t>Note:</w:t>
      </w:r>
      <w:r w:rsidRPr="00B9629C">
        <w:rPr>
          <w:highlight w:val="darkGray"/>
        </w:rPr>
        <w:t xml:space="preserve"> A negative stool specimen does not exclude </w:t>
      </w:r>
      <w:r w:rsidRPr="00B9629C">
        <w:rPr>
          <w:rStyle w:val="Emphasis"/>
          <w:highlight w:val="darkGray"/>
        </w:rPr>
        <w:t>Cryptosporidium</w:t>
      </w:r>
      <w:r w:rsidRPr="00B9629C">
        <w:rPr>
          <w:highlight w:val="darkGray"/>
        </w:rPr>
        <w:t xml:space="preserve">. If </w:t>
      </w:r>
      <w:r w:rsidR="006E5265" w:rsidRPr="00B9629C">
        <w:rPr>
          <w:i/>
          <w:iCs/>
          <w:highlight w:val="darkGray"/>
        </w:rPr>
        <w:t>C</w:t>
      </w:r>
      <w:r w:rsidRPr="00B9629C">
        <w:rPr>
          <w:i/>
          <w:iCs/>
          <w:highlight w:val="darkGray"/>
        </w:rPr>
        <w:t>ryptosporidium</w:t>
      </w:r>
      <w:r w:rsidRPr="00B9629C">
        <w:rPr>
          <w:highlight w:val="darkGray"/>
        </w:rPr>
        <w:t xml:space="preserve"> infection is suspected, request specific laboratory testing for the parasite. </w:t>
      </w:r>
    </w:p>
    <w:p w14:paraId="13C2876D" w14:textId="77777777" w:rsidR="004134A5" w:rsidRPr="00B9629C" w:rsidRDefault="004134A5" w:rsidP="00027AC7">
      <w:pPr>
        <w:pStyle w:val="NoSpacing"/>
        <w:rPr>
          <w:highlight w:val="darkGray"/>
        </w:rPr>
      </w:pPr>
    </w:p>
    <w:p w14:paraId="206522E5" w14:textId="77777777" w:rsidR="00E5138C" w:rsidRPr="00B9629C" w:rsidRDefault="00E5138C" w:rsidP="00027AC7">
      <w:pPr>
        <w:pStyle w:val="Heading5"/>
        <w:rPr>
          <w:highlight w:val="darkGray"/>
        </w:rPr>
      </w:pPr>
      <w:r w:rsidRPr="00B9629C">
        <w:rPr>
          <w:highlight w:val="darkGray"/>
        </w:rPr>
        <w:t>MEDICINE TREATMENT</w:t>
      </w:r>
    </w:p>
    <w:p w14:paraId="62F8730C" w14:textId="77777777" w:rsidR="00E5138C" w:rsidRPr="00B9629C" w:rsidRDefault="00E5138C" w:rsidP="00027AC7">
      <w:pPr>
        <w:pStyle w:val="NoSpacing"/>
        <w:rPr>
          <w:highlight w:val="darkGray"/>
        </w:rPr>
      </w:pPr>
      <w:r w:rsidRPr="00B9629C">
        <w:rPr>
          <w:highlight w:val="darkGray"/>
        </w:rPr>
        <w:t xml:space="preserve">If stool is negative for parasites or shows </w:t>
      </w:r>
      <w:r w:rsidRPr="00B9629C">
        <w:rPr>
          <w:rStyle w:val="Emphasis"/>
          <w:highlight w:val="darkGray"/>
        </w:rPr>
        <w:t>Cryptosporidium</w:t>
      </w:r>
      <w:r w:rsidRPr="00B9629C">
        <w:rPr>
          <w:highlight w:val="darkGray"/>
        </w:rPr>
        <w:t>:</w:t>
      </w:r>
    </w:p>
    <w:p w14:paraId="5B02E42B" w14:textId="335B12B1" w:rsidR="00E5138C" w:rsidRPr="00B9629C" w:rsidRDefault="00E5138C" w:rsidP="00AF785F">
      <w:pPr>
        <w:pStyle w:val="BulletMedicine"/>
        <w:rPr>
          <w:highlight w:val="darkGray"/>
        </w:rPr>
      </w:pPr>
      <w:r w:rsidRPr="00B9629C">
        <w:rPr>
          <w:highlight w:val="darkGray"/>
        </w:rPr>
        <w:t>Loperamide, oral</w:t>
      </w:r>
      <w:r w:rsidR="00042E17" w:rsidRPr="00B9629C">
        <w:rPr>
          <w:highlight w:val="darkGray"/>
        </w:rPr>
        <w:fldChar w:fldCharType="begin"/>
      </w:r>
      <w:r w:rsidR="00042E17" w:rsidRPr="00B9629C">
        <w:rPr>
          <w:highlight w:val="darkGray"/>
        </w:rPr>
        <w:instrText xml:space="preserve"> XE "Loperamide, oral" \f "m" </w:instrText>
      </w:r>
      <w:r w:rsidR="00042E17" w:rsidRPr="00B9629C">
        <w:rPr>
          <w:highlight w:val="darkGray"/>
        </w:rPr>
        <w:fldChar w:fldCharType="end"/>
      </w:r>
      <w:r w:rsidRPr="00B9629C">
        <w:rPr>
          <w:highlight w:val="darkGray"/>
        </w:rPr>
        <w:t>, 2 mg as required.</w:t>
      </w:r>
    </w:p>
    <w:p w14:paraId="18F8198B" w14:textId="77777777" w:rsidR="00E5138C" w:rsidRPr="00B9629C" w:rsidRDefault="00E5138C" w:rsidP="00AF785F">
      <w:pPr>
        <w:pStyle w:val="BulletDirectionsInstructions"/>
        <w:rPr>
          <w:highlight w:val="darkGray"/>
        </w:rPr>
      </w:pPr>
      <w:r w:rsidRPr="00B9629C">
        <w:rPr>
          <w:highlight w:val="darkGray"/>
        </w:rPr>
        <w:t>Maximum 8 mg daily.</w:t>
      </w:r>
    </w:p>
    <w:p w14:paraId="00F8ADC3" w14:textId="77777777" w:rsidR="00E5138C" w:rsidRPr="00B9629C" w:rsidRDefault="00E5138C" w:rsidP="00AF785F">
      <w:pPr>
        <w:pStyle w:val="BulletMedicine"/>
        <w:rPr>
          <w:highlight w:val="darkGray"/>
        </w:rPr>
      </w:pPr>
      <w:r w:rsidRPr="00B9629C">
        <w:rPr>
          <w:highlight w:val="darkGray"/>
        </w:rPr>
        <w:t>Commence ART.</w:t>
      </w:r>
    </w:p>
    <w:p w14:paraId="1D4F48E4" w14:textId="50CF9992" w:rsidR="00E5138C" w:rsidRPr="00B9629C" w:rsidRDefault="00E5138C" w:rsidP="00027AC7">
      <w:pPr>
        <w:pStyle w:val="NoSpacing"/>
        <w:rPr>
          <w:highlight w:val="darkGray"/>
        </w:rPr>
      </w:pPr>
      <w:r w:rsidRPr="00B9629C">
        <w:rPr>
          <w:highlight w:val="darkGray"/>
        </w:rPr>
        <w:t xml:space="preserve">If stool shows </w:t>
      </w:r>
      <w:r w:rsidR="00F60313" w:rsidRPr="00B9629C">
        <w:rPr>
          <w:rFonts w:eastAsia="Calibri" w:cs="Times New Roman"/>
          <w:i/>
          <w:iCs/>
          <w:highlight w:val="darkGray"/>
        </w:rPr>
        <w:t>Isospora belli</w:t>
      </w:r>
      <w:r w:rsidR="00F60313" w:rsidRPr="00B9629C">
        <w:rPr>
          <w:rFonts w:eastAsia="Calibri" w:cs="Times New Roman"/>
          <w:highlight w:val="darkGray"/>
        </w:rPr>
        <w:t>:</w:t>
      </w:r>
    </w:p>
    <w:p w14:paraId="05AC0D5A" w14:textId="29FD43D1" w:rsidR="00E5138C" w:rsidRPr="00B9629C" w:rsidRDefault="00E5138C" w:rsidP="00AF785F">
      <w:pPr>
        <w:pStyle w:val="BulletMedicine"/>
        <w:rPr>
          <w:highlight w:val="darkGray"/>
        </w:rPr>
      </w:pPr>
      <w:r w:rsidRPr="00B9629C">
        <w:rPr>
          <w:highlight w:val="darkGray"/>
        </w:rPr>
        <w:t>Cotrimoxazole, oral</w:t>
      </w:r>
      <w:r w:rsidR="00042E17" w:rsidRPr="00B9629C">
        <w:rPr>
          <w:highlight w:val="darkGray"/>
        </w:rPr>
        <w:fldChar w:fldCharType="begin"/>
      </w:r>
      <w:r w:rsidR="00042E17" w:rsidRPr="00B9629C">
        <w:rPr>
          <w:highlight w:val="darkGray"/>
        </w:rPr>
        <w:instrText xml:space="preserve"> XE "Cotrimoxazole, oral" \f "m" </w:instrText>
      </w:r>
      <w:r w:rsidR="00042E17" w:rsidRPr="00B9629C">
        <w:rPr>
          <w:highlight w:val="darkGray"/>
        </w:rPr>
        <w:fldChar w:fldCharType="end"/>
      </w:r>
      <w:r w:rsidRPr="00B9629C">
        <w:rPr>
          <w:highlight w:val="darkGray"/>
        </w:rPr>
        <w:t>, 320/1600 mg (4</w:t>
      </w:r>
      <w:r w:rsidR="00891C48" w:rsidRPr="00B9629C">
        <w:rPr>
          <w:highlight w:val="darkGray"/>
        </w:rPr>
        <w:t xml:space="preserve"> </w:t>
      </w:r>
      <w:r w:rsidR="004A4F59" w:rsidRPr="00B9629C">
        <w:rPr>
          <w:highlight w:val="darkGray"/>
        </w:rPr>
        <w:t>single strength</w:t>
      </w:r>
      <w:r w:rsidR="00C539F7" w:rsidRPr="00B9629C">
        <w:rPr>
          <w:highlight w:val="darkGray"/>
        </w:rPr>
        <w:t xml:space="preserve"> </w:t>
      </w:r>
      <w:r w:rsidR="004A4F59" w:rsidRPr="00B9629C">
        <w:rPr>
          <w:highlight w:val="darkGray"/>
        </w:rPr>
        <w:t>(</w:t>
      </w:r>
      <w:r w:rsidR="00C539F7" w:rsidRPr="00B9629C">
        <w:rPr>
          <w:highlight w:val="darkGray"/>
        </w:rPr>
        <w:t>80/400 mg</w:t>
      </w:r>
      <w:r w:rsidR="004A4F59" w:rsidRPr="00B9629C">
        <w:rPr>
          <w:highlight w:val="darkGray"/>
        </w:rPr>
        <w:t>)</w:t>
      </w:r>
      <w:r w:rsidR="00C539F7" w:rsidRPr="00B9629C">
        <w:rPr>
          <w:highlight w:val="darkGray"/>
        </w:rPr>
        <w:t xml:space="preserve"> </w:t>
      </w:r>
      <w:r w:rsidRPr="00B9629C">
        <w:rPr>
          <w:highlight w:val="darkGray"/>
        </w:rPr>
        <w:t>tablets) 12 hourly for 10 days.</w:t>
      </w:r>
    </w:p>
    <w:p w14:paraId="3488E3DA" w14:textId="3FBA4C52" w:rsidR="00E5138C" w:rsidRPr="00B9629C" w:rsidRDefault="00E5138C" w:rsidP="00AF785F">
      <w:pPr>
        <w:pStyle w:val="BulletDirectionsInstructions"/>
        <w:rPr>
          <w:highlight w:val="darkGray"/>
        </w:rPr>
      </w:pPr>
      <w:r w:rsidRPr="00B9629C">
        <w:rPr>
          <w:highlight w:val="darkGray"/>
        </w:rPr>
        <w:t xml:space="preserve">Followed by 160/800 mg (2 </w:t>
      </w:r>
      <w:r w:rsidR="00542FF1" w:rsidRPr="00B9629C">
        <w:rPr>
          <w:highlight w:val="darkGray"/>
        </w:rPr>
        <w:t>single strength</w:t>
      </w:r>
      <w:r w:rsidR="004A4F59" w:rsidRPr="00B9629C">
        <w:rPr>
          <w:highlight w:val="darkGray"/>
        </w:rPr>
        <w:t xml:space="preserve"> (80/400 mg</w:t>
      </w:r>
      <w:r w:rsidR="00891C48" w:rsidRPr="00B9629C">
        <w:rPr>
          <w:highlight w:val="darkGray"/>
        </w:rPr>
        <w:t xml:space="preserve"> </w:t>
      </w:r>
      <w:r w:rsidRPr="00B9629C">
        <w:rPr>
          <w:highlight w:val="darkGray"/>
        </w:rPr>
        <w:t xml:space="preserve">tablets) daily until CD4 </w:t>
      </w:r>
      <w:r w:rsidR="00724290" w:rsidRPr="00B9629C">
        <w:rPr>
          <w:highlight w:val="darkGray"/>
        </w:rPr>
        <w:t>&gt;</w:t>
      </w:r>
      <w:r w:rsidRPr="00B9629C">
        <w:rPr>
          <w:highlight w:val="darkGray"/>
        </w:rPr>
        <w:t>200 cells/mm</w:t>
      </w:r>
      <w:r w:rsidRPr="00B9629C">
        <w:rPr>
          <w:highlight w:val="darkGray"/>
          <w:vertAlign w:val="superscript"/>
        </w:rPr>
        <w:t>3</w:t>
      </w:r>
      <w:r w:rsidRPr="00B9629C">
        <w:rPr>
          <w:highlight w:val="darkGray"/>
        </w:rPr>
        <w:t xml:space="preserve"> on ART.</w:t>
      </w:r>
    </w:p>
    <w:p w14:paraId="0299F7D8" w14:textId="77777777" w:rsidR="00E5138C" w:rsidRPr="00B9629C" w:rsidRDefault="00E5138C" w:rsidP="00AF785F">
      <w:pPr>
        <w:pStyle w:val="BulletMedicine"/>
        <w:rPr>
          <w:highlight w:val="darkGray"/>
        </w:rPr>
      </w:pPr>
      <w:r w:rsidRPr="00B9629C">
        <w:rPr>
          <w:highlight w:val="darkGray"/>
        </w:rPr>
        <w:t>Commence ART.</w:t>
      </w:r>
    </w:p>
    <w:p w14:paraId="22560CAE" w14:textId="77777777" w:rsidR="00E5138C" w:rsidRPr="00B9629C" w:rsidRDefault="00E5138C" w:rsidP="00027AC7">
      <w:pPr>
        <w:pStyle w:val="Heading5"/>
        <w:rPr>
          <w:highlight w:val="darkGray"/>
        </w:rPr>
      </w:pPr>
      <w:r w:rsidRPr="00B9629C">
        <w:rPr>
          <w:highlight w:val="darkGray"/>
        </w:rPr>
        <w:t>REFERRAL</w:t>
      </w:r>
    </w:p>
    <w:p w14:paraId="5A313F02" w14:textId="77777777" w:rsidR="00E5138C" w:rsidRPr="00B9629C" w:rsidRDefault="00E5138C" w:rsidP="00E5138C">
      <w:pPr>
        <w:pStyle w:val="NoSpacing"/>
        <w:rPr>
          <w:highlight w:val="darkGray"/>
        </w:rPr>
      </w:pPr>
      <w:r w:rsidRPr="00B9629C">
        <w:rPr>
          <w:highlight w:val="darkGray"/>
        </w:rPr>
        <w:t>Stool contains blood or mucus.</w:t>
      </w:r>
    </w:p>
    <w:p w14:paraId="1912CE9D" w14:textId="77777777" w:rsidR="00F12F3B" w:rsidRPr="00B9629C" w:rsidRDefault="00F12F3B" w:rsidP="00E5138C">
      <w:pPr>
        <w:pStyle w:val="NoSpacing"/>
        <w:rPr>
          <w:highlight w:val="darkGray"/>
        </w:rPr>
      </w:pPr>
    </w:p>
    <w:p w14:paraId="124D13BC" w14:textId="3F2BD020" w:rsidR="00E5138C" w:rsidRPr="00B9629C" w:rsidRDefault="00CD4817" w:rsidP="00CD4817">
      <w:pPr>
        <w:pStyle w:val="Heading3"/>
        <w:rPr>
          <w:highlight w:val="darkGray"/>
        </w:rPr>
      </w:pPr>
      <w:bookmarkStart w:id="28" w:name="_Toc57132049"/>
      <w:bookmarkStart w:id="29" w:name="_Toc177151098"/>
      <w:r w:rsidRPr="00B9629C">
        <w:rPr>
          <w:highlight w:val="darkGray"/>
        </w:rPr>
        <w:t>Eczema, seborrhoeic</w:t>
      </w:r>
      <w:bookmarkEnd w:id="28"/>
      <w:bookmarkEnd w:id="29"/>
      <w:r w:rsidR="006D4857" w:rsidRPr="00B9629C">
        <w:rPr>
          <w:highlight w:val="darkGray"/>
        </w:rPr>
        <w:fldChar w:fldCharType="begin"/>
      </w:r>
      <w:r w:rsidR="006D4857" w:rsidRPr="00B9629C">
        <w:rPr>
          <w:highlight w:val="darkGray"/>
        </w:rPr>
        <w:instrText xml:space="preserve"> XE "Eczema, seborrhoeic" \f “c”</w:instrText>
      </w:r>
      <w:r w:rsidR="006D4857" w:rsidRPr="00B9629C">
        <w:rPr>
          <w:highlight w:val="darkGray"/>
        </w:rPr>
        <w:fldChar w:fldCharType="end"/>
      </w:r>
    </w:p>
    <w:p w14:paraId="31FAD5AF" w14:textId="27CD54BB" w:rsidR="00E5138C" w:rsidRPr="00B9629C" w:rsidRDefault="00E5138C" w:rsidP="007E0B11">
      <w:pPr>
        <w:pStyle w:val="NoSpacing"/>
        <w:rPr>
          <w:highlight w:val="darkGray"/>
        </w:rPr>
      </w:pPr>
      <w:r w:rsidRPr="00B9629C">
        <w:rPr>
          <w:highlight w:val="darkGray"/>
        </w:rPr>
        <w:t xml:space="preserve">See </w:t>
      </w:r>
      <w:r w:rsidR="00E819E6" w:rsidRPr="00B9629C">
        <w:rPr>
          <w:highlight w:val="darkGray"/>
        </w:rPr>
        <w:t>Section</w:t>
      </w:r>
      <w:r w:rsidRPr="00B9629C">
        <w:rPr>
          <w:highlight w:val="darkGray"/>
        </w:rPr>
        <w:t xml:space="preserve"> 5.8.3: Dermatitis, seborrhoeic.</w:t>
      </w:r>
    </w:p>
    <w:p w14:paraId="5EE8F010" w14:textId="77777777" w:rsidR="00CF392C" w:rsidRPr="00B9629C" w:rsidRDefault="00CF392C" w:rsidP="007E0B11">
      <w:pPr>
        <w:pStyle w:val="NoSpacing"/>
        <w:rPr>
          <w:highlight w:val="darkGray"/>
        </w:rPr>
      </w:pPr>
    </w:p>
    <w:p w14:paraId="1CF11C94" w14:textId="61398905" w:rsidR="00E5138C" w:rsidRPr="00B9629C" w:rsidRDefault="00CD4817" w:rsidP="00CD4817">
      <w:pPr>
        <w:pStyle w:val="Heading3"/>
        <w:rPr>
          <w:highlight w:val="darkGray"/>
        </w:rPr>
      </w:pPr>
      <w:bookmarkStart w:id="30" w:name="_Toc57132050"/>
      <w:bookmarkStart w:id="31" w:name="_Toc177151099"/>
      <w:r w:rsidRPr="00B9629C">
        <w:rPr>
          <w:highlight w:val="darkGray"/>
        </w:rPr>
        <w:lastRenderedPageBreak/>
        <w:t>Fungal nail infections</w:t>
      </w:r>
      <w:bookmarkEnd w:id="30"/>
      <w:bookmarkEnd w:id="31"/>
      <w:r w:rsidR="006D4857" w:rsidRPr="00B9629C">
        <w:rPr>
          <w:highlight w:val="darkGray"/>
        </w:rPr>
        <w:fldChar w:fldCharType="begin"/>
      </w:r>
      <w:r w:rsidR="006D4857" w:rsidRPr="00B9629C">
        <w:rPr>
          <w:highlight w:val="darkGray"/>
        </w:rPr>
        <w:instrText xml:space="preserve"> XE "Fungal nail infections" \f “c”</w:instrText>
      </w:r>
      <w:r w:rsidR="006D4857" w:rsidRPr="00B9629C">
        <w:rPr>
          <w:highlight w:val="darkGray"/>
        </w:rPr>
        <w:fldChar w:fldCharType="end"/>
      </w:r>
    </w:p>
    <w:p w14:paraId="68E225D1" w14:textId="130D70F3"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B20.5</w:t>
      </w:r>
      <w:r w:rsidR="006707B2" w:rsidRPr="00B9629C">
        <w:rPr>
          <w:highlight w:val="darkGray"/>
        </w:rPr>
        <w:t xml:space="preserve"> + B35.1</w:t>
      </w:r>
    </w:p>
    <w:p w14:paraId="749164B0" w14:textId="402147D2" w:rsidR="00E5138C" w:rsidRPr="00B9629C" w:rsidRDefault="00E5138C" w:rsidP="00C76FB7">
      <w:pPr>
        <w:pStyle w:val="NoSpacing"/>
        <w:rPr>
          <w:highlight w:val="darkGray"/>
        </w:rPr>
      </w:pPr>
      <w:r w:rsidRPr="00B9629C">
        <w:rPr>
          <w:highlight w:val="darkGray"/>
        </w:rPr>
        <w:t xml:space="preserve">This is common in </w:t>
      </w:r>
      <w:r w:rsidR="00A73D66" w:rsidRPr="00B9629C">
        <w:rPr>
          <w:highlight w:val="darkGray"/>
        </w:rPr>
        <w:t>PLHIV</w:t>
      </w:r>
      <w:r w:rsidRPr="00B9629C">
        <w:rPr>
          <w:highlight w:val="darkGray"/>
        </w:rPr>
        <w:t xml:space="preserve"> and can involve multiple nails. Treatment is not generally recommended because it is mostly of only cosmetic importance and therefore the risk of systemic therapy is not warranted. It generally resolves when patient is on ART.</w:t>
      </w:r>
    </w:p>
    <w:p w14:paraId="49090158" w14:textId="23D0ACAB" w:rsidR="00E5138C" w:rsidRPr="00B9629C" w:rsidRDefault="00CD4817" w:rsidP="00CD4817">
      <w:pPr>
        <w:pStyle w:val="Heading3"/>
        <w:rPr>
          <w:highlight w:val="darkGray"/>
        </w:rPr>
      </w:pPr>
      <w:bookmarkStart w:id="32" w:name="_Toc57132051"/>
      <w:bookmarkStart w:id="33" w:name="_Toc177151100"/>
      <w:r w:rsidRPr="00B9629C">
        <w:rPr>
          <w:highlight w:val="darkGray"/>
        </w:rPr>
        <w:t>Fungal skin infections</w:t>
      </w:r>
      <w:bookmarkEnd w:id="32"/>
      <w:bookmarkEnd w:id="33"/>
      <w:r w:rsidR="006D4857" w:rsidRPr="00B9629C">
        <w:rPr>
          <w:highlight w:val="darkGray"/>
        </w:rPr>
        <w:fldChar w:fldCharType="begin"/>
      </w:r>
      <w:r w:rsidR="006D4857" w:rsidRPr="00B9629C">
        <w:rPr>
          <w:highlight w:val="darkGray"/>
        </w:rPr>
        <w:instrText xml:space="preserve"> XE "Fungal skin infections" \f “c”</w:instrText>
      </w:r>
      <w:r w:rsidR="006D4857" w:rsidRPr="00B9629C">
        <w:rPr>
          <w:highlight w:val="darkGray"/>
        </w:rPr>
        <w:fldChar w:fldCharType="end"/>
      </w:r>
    </w:p>
    <w:p w14:paraId="798578B6"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B20.5</w:t>
      </w:r>
    </w:p>
    <w:p w14:paraId="1074E5F7" w14:textId="77777777" w:rsidR="00E5138C" w:rsidRPr="00B9629C" w:rsidRDefault="00E5138C" w:rsidP="00482330">
      <w:pPr>
        <w:pStyle w:val="NoSpacing"/>
        <w:rPr>
          <w:highlight w:val="darkGray"/>
        </w:rPr>
      </w:pPr>
      <w:r w:rsidRPr="00B9629C">
        <w:rPr>
          <w:highlight w:val="darkGray"/>
        </w:rPr>
        <w:t>See Section 5.5: Fungal infections of the skin.</w:t>
      </w:r>
    </w:p>
    <w:p w14:paraId="461D85F0" w14:textId="77777777" w:rsidR="002E7F99" w:rsidRPr="00B9629C" w:rsidRDefault="002E7F99" w:rsidP="00482330">
      <w:pPr>
        <w:pStyle w:val="NoSpacing"/>
        <w:rPr>
          <w:highlight w:val="darkGray"/>
        </w:rPr>
      </w:pPr>
    </w:p>
    <w:p w14:paraId="4A6A01C6" w14:textId="7C38F810" w:rsidR="00E5138C" w:rsidRPr="00B9629C" w:rsidRDefault="00CD4817" w:rsidP="00CD4817">
      <w:pPr>
        <w:pStyle w:val="Heading3"/>
        <w:rPr>
          <w:highlight w:val="darkGray"/>
        </w:rPr>
      </w:pPr>
      <w:bookmarkStart w:id="34" w:name="_Toc57132052"/>
      <w:bookmarkStart w:id="35" w:name="_Toc177151101"/>
      <w:r w:rsidRPr="00B9629C">
        <w:rPr>
          <w:highlight w:val="darkGray"/>
        </w:rPr>
        <w:t>Gingivitis, acute necrotising ulcerative</w:t>
      </w:r>
      <w:bookmarkEnd w:id="34"/>
      <w:bookmarkEnd w:id="35"/>
      <w:r w:rsidR="006D4857" w:rsidRPr="00B9629C">
        <w:rPr>
          <w:highlight w:val="darkGray"/>
        </w:rPr>
        <w:fldChar w:fldCharType="begin"/>
      </w:r>
      <w:r w:rsidR="006D4857" w:rsidRPr="00B9629C">
        <w:rPr>
          <w:highlight w:val="darkGray"/>
        </w:rPr>
        <w:instrText xml:space="preserve"> XE "Gingivitis, acute necrotising ulcerative" \f “c”</w:instrText>
      </w:r>
      <w:r w:rsidR="006D4857" w:rsidRPr="00B9629C">
        <w:rPr>
          <w:highlight w:val="darkGray"/>
        </w:rPr>
        <w:fldChar w:fldCharType="end"/>
      </w:r>
    </w:p>
    <w:p w14:paraId="5FD2ED8F" w14:textId="77777777" w:rsidR="00E5138C" w:rsidRPr="00B9629C" w:rsidRDefault="00E5138C" w:rsidP="00482330">
      <w:pPr>
        <w:pStyle w:val="NoSpacing"/>
        <w:rPr>
          <w:highlight w:val="darkGray"/>
        </w:rPr>
      </w:pPr>
      <w:r w:rsidRPr="00B9629C">
        <w:rPr>
          <w:highlight w:val="darkGray"/>
        </w:rPr>
        <w:t>See Section 1.3.3: Necrotising periodontitis.</w:t>
      </w:r>
    </w:p>
    <w:p w14:paraId="10855F81" w14:textId="77777777" w:rsidR="00CF392C" w:rsidRPr="00B9629C" w:rsidRDefault="00CF392C" w:rsidP="00482330">
      <w:pPr>
        <w:pStyle w:val="NoSpacing"/>
        <w:rPr>
          <w:highlight w:val="darkGray"/>
        </w:rPr>
      </w:pPr>
    </w:p>
    <w:p w14:paraId="556A9ACE" w14:textId="08221AD1" w:rsidR="00E5138C" w:rsidRPr="00B9629C" w:rsidRDefault="00481078" w:rsidP="00CD4817">
      <w:pPr>
        <w:pStyle w:val="Heading3"/>
        <w:rPr>
          <w:highlight w:val="darkGray"/>
        </w:rPr>
      </w:pPr>
      <w:bookmarkStart w:id="36" w:name="_Toc57132053"/>
      <w:r w:rsidRPr="00B9629C">
        <w:rPr>
          <w:highlight w:val="darkGray"/>
        </w:rPr>
        <w:t xml:space="preserve">  </w:t>
      </w:r>
      <w:bookmarkStart w:id="37" w:name="_Toc177151102"/>
      <w:r w:rsidR="00CD4817" w:rsidRPr="00B9629C">
        <w:rPr>
          <w:highlight w:val="darkGray"/>
        </w:rPr>
        <w:t>Herpes simplex ulcers, chronic</w:t>
      </w:r>
      <w:bookmarkEnd w:id="36"/>
      <w:bookmarkEnd w:id="37"/>
      <w:r w:rsidR="006D4857" w:rsidRPr="00B9629C">
        <w:rPr>
          <w:highlight w:val="darkGray"/>
        </w:rPr>
        <w:fldChar w:fldCharType="begin"/>
      </w:r>
      <w:r w:rsidR="006D4857" w:rsidRPr="00B9629C">
        <w:rPr>
          <w:highlight w:val="darkGray"/>
        </w:rPr>
        <w:instrText xml:space="preserve"> XE "Herpes simplex ulcers, chronic" \f “c”</w:instrText>
      </w:r>
      <w:r w:rsidR="006D4857" w:rsidRPr="00B9629C">
        <w:rPr>
          <w:highlight w:val="darkGray"/>
        </w:rPr>
        <w:fldChar w:fldCharType="end"/>
      </w:r>
    </w:p>
    <w:p w14:paraId="75C1AEA5"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B20.3 + (B00.1-2)</w:t>
      </w:r>
    </w:p>
    <w:p w14:paraId="528C33FC" w14:textId="77777777" w:rsidR="00E5138C" w:rsidRPr="00B9629C" w:rsidRDefault="00E5138C" w:rsidP="00482330">
      <w:pPr>
        <w:pStyle w:val="Heading5"/>
        <w:rPr>
          <w:highlight w:val="darkGray"/>
        </w:rPr>
      </w:pPr>
      <w:r w:rsidRPr="00B9629C">
        <w:rPr>
          <w:highlight w:val="darkGray"/>
        </w:rPr>
        <w:t>DESCRIPTION</w:t>
      </w:r>
    </w:p>
    <w:p w14:paraId="67B33398" w14:textId="77777777" w:rsidR="00E5138C" w:rsidRPr="00B9629C" w:rsidRDefault="00E5138C" w:rsidP="00E5138C">
      <w:pPr>
        <w:rPr>
          <w:highlight w:val="darkGray"/>
        </w:rPr>
      </w:pPr>
      <w:r w:rsidRPr="00B9629C">
        <w:rPr>
          <w:highlight w:val="darkGray"/>
        </w:rPr>
        <w:t>Painful ulcers due to herpes simplex virus, involving the skin around the anogenital area or in and around the mouth and nostrils in patients with advanced HIV infection. Ulcers persist for weeks and may be several centimetres in diameter.</w:t>
      </w:r>
    </w:p>
    <w:p w14:paraId="0A0C2D6A" w14:textId="77777777" w:rsidR="00E5138C" w:rsidRPr="00B9629C" w:rsidRDefault="00E5138C" w:rsidP="00482330">
      <w:pPr>
        <w:pStyle w:val="Heading5"/>
        <w:rPr>
          <w:highlight w:val="darkGray"/>
        </w:rPr>
      </w:pPr>
      <w:r w:rsidRPr="00B9629C">
        <w:rPr>
          <w:highlight w:val="darkGray"/>
        </w:rPr>
        <w:t>GENERAL MEASURES</w:t>
      </w:r>
    </w:p>
    <w:p w14:paraId="1036E2B3" w14:textId="77777777" w:rsidR="00E5138C" w:rsidRPr="00B9629C" w:rsidRDefault="00E5138C" w:rsidP="00E5138C">
      <w:pPr>
        <w:rPr>
          <w:highlight w:val="darkGray"/>
        </w:rPr>
      </w:pPr>
      <w:r w:rsidRPr="00B9629C">
        <w:rPr>
          <w:highlight w:val="darkGray"/>
        </w:rPr>
        <w:t>Keep affected areas clean with soap and water or diluted antiseptic solution.</w:t>
      </w:r>
    </w:p>
    <w:p w14:paraId="344E66AA" w14:textId="77777777" w:rsidR="00E5138C" w:rsidRPr="00B9629C" w:rsidRDefault="00E5138C" w:rsidP="00482330">
      <w:pPr>
        <w:pStyle w:val="Heading5"/>
        <w:rPr>
          <w:highlight w:val="darkGray"/>
        </w:rPr>
      </w:pPr>
      <w:r w:rsidRPr="00B9629C">
        <w:rPr>
          <w:highlight w:val="darkGray"/>
        </w:rPr>
        <w:t>MEDICINE TREATMENT</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E5138C" w:rsidRPr="00B9629C" w14:paraId="35CAD5EB" w14:textId="77777777" w:rsidTr="00965619">
        <w:tc>
          <w:tcPr>
            <w:tcW w:w="907" w:type="dxa"/>
            <w:shd w:val="clear" w:color="auto" w:fill="auto"/>
          </w:tcPr>
          <w:p w14:paraId="3EC56545" w14:textId="650F9460" w:rsidR="00E5138C" w:rsidRPr="00B9629C" w:rsidRDefault="00E5138C" w:rsidP="00965619">
            <w:pPr>
              <w:pStyle w:val="LoEText"/>
              <w:framePr w:hSpace="0" w:wrap="auto" w:vAnchor="margin" w:hAnchor="text" w:xAlign="left" w:yAlign="inline"/>
              <w:suppressOverlap w:val="0"/>
              <w:rPr>
                <w:sz w:val="14"/>
                <w:szCs w:val="14"/>
                <w:highlight w:val="darkGray"/>
              </w:rPr>
            </w:pPr>
            <w:r w:rsidRPr="00B9629C">
              <w:rPr>
                <w:sz w:val="14"/>
                <w:szCs w:val="14"/>
                <w:highlight w:val="darkGray"/>
              </w:rPr>
              <w:t>LoE: III</w:t>
            </w:r>
            <w:r w:rsidR="001A3AE4" w:rsidRPr="00B9629C">
              <w:rPr>
                <w:sz w:val="14"/>
                <w:szCs w:val="14"/>
                <w:highlight w:val="darkGray"/>
              </w:rPr>
              <w:t>b</w:t>
            </w:r>
            <w:r w:rsidRPr="00B9629C">
              <w:rPr>
                <w:rStyle w:val="EndnoteReference"/>
                <w:sz w:val="14"/>
                <w:szCs w:val="14"/>
                <w:highlight w:val="darkGray"/>
              </w:rPr>
              <w:endnoteReference w:id="43"/>
            </w:r>
          </w:p>
        </w:tc>
      </w:tr>
    </w:tbl>
    <w:p w14:paraId="417D67A5" w14:textId="7F20335E" w:rsidR="00E5138C" w:rsidRPr="00B9629C" w:rsidRDefault="00E5138C" w:rsidP="00042E17">
      <w:pPr>
        <w:pStyle w:val="BulletTherapeuticclass"/>
        <w:rPr>
          <w:highlight w:val="darkGray"/>
        </w:rPr>
      </w:pPr>
      <w:r w:rsidRPr="00B9629C">
        <w:rPr>
          <w:highlight w:val="darkGray"/>
        </w:rPr>
        <w:t>Antiviral</w:t>
      </w:r>
      <w:r w:rsidR="00042E17" w:rsidRPr="00B9629C">
        <w:rPr>
          <w:highlight w:val="darkGray"/>
        </w:rPr>
        <w:fldChar w:fldCharType="begin"/>
      </w:r>
      <w:r w:rsidR="00042E17" w:rsidRPr="00B9629C">
        <w:rPr>
          <w:highlight w:val="darkGray"/>
        </w:rPr>
        <w:instrText xml:space="preserve"> XE "Antiviral" \f "m" </w:instrText>
      </w:r>
      <w:r w:rsidR="00042E17" w:rsidRPr="00B9629C">
        <w:rPr>
          <w:highlight w:val="darkGray"/>
        </w:rPr>
        <w:fldChar w:fldCharType="end"/>
      </w:r>
      <w:r w:rsidRPr="00B9629C">
        <w:rPr>
          <w:highlight w:val="darkGray"/>
        </w:rPr>
        <w:t xml:space="preserve"> (active against herpes simplex) e.g.:</w:t>
      </w:r>
    </w:p>
    <w:p w14:paraId="02FE0587" w14:textId="2D31BEFE" w:rsidR="00E5138C" w:rsidRPr="00B9629C" w:rsidRDefault="00E5138C" w:rsidP="00396844">
      <w:pPr>
        <w:pStyle w:val="BulletMedicine"/>
        <w:rPr>
          <w:highlight w:val="darkGray"/>
        </w:rPr>
      </w:pPr>
      <w:r w:rsidRPr="00B9629C">
        <w:rPr>
          <w:highlight w:val="darkGray"/>
        </w:rPr>
        <w:t>Aciclovir, oral</w:t>
      </w:r>
      <w:r w:rsidR="00042E17" w:rsidRPr="00B9629C">
        <w:rPr>
          <w:highlight w:val="darkGray"/>
        </w:rPr>
        <w:fldChar w:fldCharType="begin"/>
      </w:r>
      <w:r w:rsidR="00042E17" w:rsidRPr="00B9629C">
        <w:rPr>
          <w:highlight w:val="darkGray"/>
        </w:rPr>
        <w:instrText xml:space="preserve"> XE "Aciclovir, oral" \f "m" </w:instrText>
      </w:r>
      <w:r w:rsidR="00042E17" w:rsidRPr="00B9629C">
        <w:rPr>
          <w:highlight w:val="darkGray"/>
        </w:rPr>
        <w:fldChar w:fldCharType="end"/>
      </w:r>
      <w:r w:rsidRPr="00B9629C">
        <w:rPr>
          <w:highlight w:val="darkGray"/>
        </w:rPr>
        <w:t xml:space="preserve">, 400 mg 8 hourly for 7 days. </w:t>
      </w:r>
    </w:p>
    <w:p w14:paraId="6626C4B0" w14:textId="77777777" w:rsidR="00E5138C" w:rsidRPr="00B9629C" w:rsidRDefault="00E5138C" w:rsidP="00396844">
      <w:pPr>
        <w:pStyle w:val="BulletMedicine"/>
        <w:rPr>
          <w:highlight w:val="darkGray"/>
        </w:rPr>
      </w:pPr>
      <w:r w:rsidRPr="00B9629C">
        <w:rPr>
          <w:highlight w:val="darkGray"/>
        </w:rPr>
        <w:t>Commence ART.</w:t>
      </w:r>
    </w:p>
    <w:p w14:paraId="5BDBBEC2" w14:textId="77777777" w:rsidR="00E5138C" w:rsidRPr="00B9629C" w:rsidRDefault="00E5138C" w:rsidP="00396844">
      <w:pPr>
        <w:pStyle w:val="Heading6"/>
        <w:rPr>
          <w:highlight w:val="darkGray"/>
        </w:rPr>
      </w:pPr>
      <w:r w:rsidRPr="00B9629C">
        <w:rPr>
          <w:highlight w:val="darkGray"/>
        </w:rPr>
        <w:t>Pain:</w:t>
      </w:r>
    </w:p>
    <w:p w14:paraId="601BC9F0" w14:textId="774484DD" w:rsidR="00F869C6" w:rsidRPr="00B9629C" w:rsidRDefault="00F869C6" w:rsidP="009750A0">
      <w:pPr>
        <w:pStyle w:val="BulletMedicine"/>
        <w:numPr>
          <w:ilvl w:val="0"/>
          <w:numId w:val="27"/>
        </w:numPr>
        <w:jc w:val="both"/>
        <w:rPr>
          <w:highlight w:val="darkGray"/>
        </w:rPr>
      </w:pPr>
      <w:r w:rsidRPr="00B9629C">
        <w:rPr>
          <w:highlight w:val="darkGray"/>
        </w:rPr>
        <w:t>Paracetamol, oral</w:t>
      </w:r>
      <w:r w:rsidRPr="00B9629C">
        <w:rPr>
          <w:highlight w:val="darkGray"/>
        </w:rPr>
        <w:fldChar w:fldCharType="begin"/>
      </w:r>
      <w:r w:rsidRPr="00B9629C">
        <w:rPr>
          <w:highlight w:val="darkGray"/>
        </w:rPr>
        <w:instrText xml:space="preserve"> XE "Paracetamol, oral" \f "m" </w:instrText>
      </w:r>
      <w:r w:rsidRPr="00B9629C">
        <w:rPr>
          <w:highlight w:val="darkGray"/>
        </w:rPr>
        <w:fldChar w:fldCharType="end"/>
      </w:r>
      <w:r w:rsidRPr="00B9629C">
        <w:rPr>
          <w:highlight w:val="darkGray"/>
        </w:rPr>
        <w:t>,</w:t>
      </w:r>
      <w:r w:rsidRPr="00B9629C">
        <w:rPr>
          <w:highlight w:val="darkGray"/>
        </w:rPr>
        <w:fldChar w:fldCharType="begin"/>
      </w:r>
      <w:r w:rsidRPr="00B9629C">
        <w:rPr>
          <w:highlight w:val="darkGray"/>
        </w:rPr>
        <w:instrText xml:space="preserve"> XE "Paracetamol, oral" \f "m" </w:instrText>
      </w:r>
      <w:r w:rsidRPr="00B9629C">
        <w:rPr>
          <w:highlight w:val="darkGray"/>
        </w:rPr>
        <w:fldChar w:fldCharType="end"/>
      </w:r>
      <w:r w:rsidRPr="00B9629C">
        <w:rPr>
          <w:highlight w:val="darkGray"/>
        </w:rPr>
        <w:t xml:space="preserve"> 500</w:t>
      </w:r>
      <w:r w:rsidR="00540D5C" w:rsidRPr="00B9629C">
        <w:rPr>
          <w:highlight w:val="darkGray"/>
        </w:rPr>
        <w:t xml:space="preserve"> </w:t>
      </w:r>
      <w:r w:rsidRPr="00B9629C">
        <w:rPr>
          <w:highlight w:val="darkGray"/>
        </w:rPr>
        <w:t>mg</w:t>
      </w:r>
      <w:r w:rsidR="00540D5C" w:rsidRPr="00B9629C">
        <w:rPr>
          <w:highlight w:val="darkGray"/>
        </w:rPr>
        <w:t xml:space="preserve"> to </w:t>
      </w:r>
      <w:r w:rsidRPr="00B9629C">
        <w:rPr>
          <w:highlight w:val="darkGray"/>
        </w:rPr>
        <w:t>1 g, 4</w:t>
      </w:r>
      <w:r w:rsidR="00540D5C" w:rsidRPr="00B9629C">
        <w:rPr>
          <w:highlight w:val="darkGray"/>
        </w:rPr>
        <w:t xml:space="preserve"> to </w:t>
      </w:r>
      <w:r w:rsidRPr="00B9629C">
        <w:rPr>
          <w:highlight w:val="darkGray"/>
        </w:rPr>
        <w:t>6 hourly as required (maximum of 4</w:t>
      </w:r>
      <w:r w:rsidR="00540D5C" w:rsidRPr="00B9629C">
        <w:rPr>
          <w:highlight w:val="darkGray"/>
        </w:rPr>
        <w:t xml:space="preserve"> </w:t>
      </w:r>
      <w:r w:rsidRPr="00B9629C">
        <w:rPr>
          <w:highlight w:val="darkGray"/>
        </w:rPr>
        <w:t>g in 24 hours)</w:t>
      </w:r>
      <w:r w:rsidR="00540D5C" w:rsidRPr="00B9629C">
        <w:rPr>
          <w:highlight w:val="darkGray"/>
        </w:rPr>
        <w:t>.</w:t>
      </w:r>
    </w:p>
    <w:p w14:paraId="251EF1AD" w14:textId="77777777" w:rsidR="00F869C6" w:rsidRPr="00B9629C" w:rsidRDefault="00F869C6" w:rsidP="00F869C6">
      <w:pPr>
        <w:pStyle w:val="BulletDirectionsInstructions"/>
        <w:rPr>
          <w:highlight w:val="darkGray"/>
        </w:rPr>
      </w:pPr>
      <w:r w:rsidRPr="00B9629C">
        <w:rPr>
          <w:highlight w:val="darkGray"/>
        </w:rPr>
        <w:t>Maximum dose: 15 mg/kg/dose.</w:t>
      </w:r>
    </w:p>
    <w:p w14:paraId="54349DA8" w14:textId="77777777" w:rsidR="00E5138C" w:rsidRPr="00B9629C" w:rsidRDefault="00E5138C" w:rsidP="00482330">
      <w:pPr>
        <w:pStyle w:val="Heading5"/>
        <w:rPr>
          <w:highlight w:val="darkGray"/>
        </w:rPr>
      </w:pPr>
      <w:r w:rsidRPr="00B9629C">
        <w:rPr>
          <w:highlight w:val="darkGray"/>
        </w:rPr>
        <w:t>REFERRAL</w:t>
      </w:r>
    </w:p>
    <w:p w14:paraId="01911173" w14:textId="77777777" w:rsidR="00E5138C" w:rsidRPr="00B9629C" w:rsidRDefault="00E5138C" w:rsidP="00396844">
      <w:pPr>
        <w:pStyle w:val="ListParagraph"/>
        <w:rPr>
          <w:highlight w:val="darkGray"/>
        </w:rPr>
      </w:pPr>
      <w:r w:rsidRPr="00B9629C">
        <w:rPr>
          <w:highlight w:val="darkGray"/>
        </w:rPr>
        <w:t>No response to therapy.</w:t>
      </w:r>
    </w:p>
    <w:p w14:paraId="35570CF8" w14:textId="520E59A4" w:rsidR="00E5138C" w:rsidRPr="00B9629C" w:rsidRDefault="00E5138C" w:rsidP="00396844">
      <w:pPr>
        <w:pStyle w:val="ListParagraph"/>
        <w:rPr>
          <w:highlight w:val="darkGray"/>
        </w:rPr>
      </w:pPr>
      <w:r w:rsidRPr="00B9629C">
        <w:rPr>
          <w:highlight w:val="darkGray"/>
        </w:rPr>
        <w:t>Frequent recurrences</w:t>
      </w:r>
      <w:r w:rsidR="00F869C6" w:rsidRPr="00B9629C">
        <w:rPr>
          <w:highlight w:val="darkGray"/>
        </w:rPr>
        <w:t>.</w:t>
      </w:r>
    </w:p>
    <w:p w14:paraId="007862B8" w14:textId="02C34865" w:rsidR="00E5138C" w:rsidRPr="00B9629C" w:rsidRDefault="00481078" w:rsidP="00990B8C">
      <w:pPr>
        <w:pStyle w:val="Heading3"/>
        <w:rPr>
          <w:highlight w:val="darkGray"/>
        </w:rPr>
      </w:pPr>
      <w:bookmarkStart w:id="38" w:name="_Toc57132054"/>
      <w:r w:rsidRPr="00B9629C">
        <w:rPr>
          <w:highlight w:val="darkGray"/>
        </w:rPr>
        <w:t xml:space="preserve"> </w:t>
      </w:r>
      <w:bookmarkStart w:id="39" w:name="_Toc177151103"/>
      <w:r w:rsidR="00990B8C" w:rsidRPr="00B9629C">
        <w:rPr>
          <w:highlight w:val="darkGray"/>
        </w:rPr>
        <w:t>Herpes zoster (shingles)</w:t>
      </w:r>
      <w:bookmarkEnd w:id="38"/>
      <w:bookmarkEnd w:id="39"/>
      <w:r w:rsidR="006D4857" w:rsidRPr="00B9629C">
        <w:rPr>
          <w:highlight w:val="darkGray"/>
        </w:rPr>
        <w:fldChar w:fldCharType="begin"/>
      </w:r>
      <w:r w:rsidR="006D4857" w:rsidRPr="00B9629C">
        <w:rPr>
          <w:highlight w:val="darkGray"/>
        </w:rPr>
        <w:instrText xml:space="preserve"> XE "Herpes zoster (shingles)" \f “c”</w:instrText>
      </w:r>
      <w:r w:rsidR="006D4857" w:rsidRPr="00B9629C">
        <w:rPr>
          <w:highlight w:val="darkGray"/>
        </w:rPr>
        <w:fldChar w:fldCharType="end"/>
      </w:r>
    </w:p>
    <w:p w14:paraId="256FE3B1"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B20.3 + (B02.0-3/B02.7-9)</w:t>
      </w:r>
    </w:p>
    <w:p w14:paraId="2CD6DFD7" w14:textId="77777777" w:rsidR="00E5138C" w:rsidRPr="00B9629C" w:rsidRDefault="00E5138C" w:rsidP="00965619">
      <w:pPr>
        <w:pStyle w:val="Heading5"/>
        <w:rPr>
          <w:highlight w:val="darkGray"/>
        </w:rPr>
      </w:pPr>
      <w:r w:rsidRPr="00B9629C">
        <w:rPr>
          <w:highlight w:val="darkGray"/>
        </w:rPr>
        <w:t>DESCRIPTION</w:t>
      </w:r>
    </w:p>
    <w:p w14:paraId="4A560270" w14:textId="480DFDE4" w:rsidR="00E5138C" w:rsidRPr="00B9629C" w:rsidRDefault="00E5138C" w:rsidP="004B018F">
      <w:pPr>
        <w:pStyle w:val="NoSpacing"/>
        <w:jc w:val="both"/>
        <w:rPr>
          <w:highlight w:val="darkGray"/>
        </w:rPr>
      </w:pPr>
      <w:r w:rsidRPr="00B9629C">
        <w:rPr>
          <w:highlight w:val="darkGray"/>
        </w:rPr>
        <w:t>Painful vesicular rash in a dermatomal distribution, usually presenting as a band on one side of the body, due to recrudescence of the varicella-zoster virus that causes chickenpox. The surrounding skin is inflamed and the vesicles often contain cloudy fluid. Secondary bacterial infection is very uncommon.</w:t>
      </w:r>
    </w:p>
    <w:p w14:paraId="60A85987" w14:textId="7A9067B5" w:rsidR="00E5138C" w:rsidRPr="00B9629C" w:rsidRDefault="00E5138C" w:rsidP="004B018F">
      <w:pPr>
        <w:pStyle w:val="NoSpacing"/>
        <w:jc w:val="both"/>
        <w:rPr>
          <w:highlight w:val="darkGray"/>
        </w:rPr>
      </w:pPr>
      <w:r w:rsidRPr="00B9629C">
        <w:rPr>
          <w:highlight w:val="darkGray"/>
        </w:rPr>
        <w:t xml:space="preserve">The elderly and </w:t>
      </w:r>
      <w:r w:rsidR="0070375E" w:rsidRPr="00B9629C">
        <w:rPr>
          <w:highlight w:val="darkGray"/>
        </w:rPr>
        <w:t>PLHIV</w:t>
      </w:r>
      <w:r w:rsidRPr="00B9629C">
        <w:rPr>
          <w:highlight w:val="darkGray"/>
        </w:rPr>
        <w:t xml:space="preserve"> are most affected.</w:t>
      </w:r>
    </w:p>
    <w:p w14:paraId="357F7DE4" w14:textId="77777777" w:rsidR="00E5138C" w:rsidRPr="00B9629C" w:rsidRDefault="00E5138C" w:rsidP="004B018F">
      <w:pPr>
        <w:pStyle w:val="NoSpacing"/>
        <w:jc w:val="both"/>
        <w:rPr>
          <w:highlight w:val="darkGray"/>
        </w:rPr>
      </w:pPr>
      <w:r w:rsidRPr="00B9629C">
        <w:rPr>
          <w:highlight w:val="darkGray"/>
        </w:rPr>
        <w:lastRenderedPageBreak/>
        <w:t>Severe pain can occur after shingles has healed (post-herpetic neuralgia).</w:t>
      </w:r>
    </w:p>
    <w:p w14:paraId="7C90CFB0" w14:textId="62488F08" w:rsidR="002E7F99" w:rsidRPr="00B9629C" w:rsidRDefault="00E5138C" w:rsidP="007B7630">
      <w:pPr>
        <w:pStyle w:val="NoSpacing"/>
        <w:jc w:val="both"/>
        <w:rPr>
          <w:highlight w:val="darkGray"/>
        </w:rPr>
      </w:pPr>
      <w:r w:rsidRPr="00B9629C">
        <w:rPr>
          <w:highlight w:val="darkGray"/>
        </w:rPr>
        <w:t xml:space="preserve">Shingles is less infectious than varicella </w:t>
      </w:r>
      <w:r w:rsidR="001223B1" w:rsidRPr="00B9629C">
        <w:rPr>
          <w:highlight w:val="darkGray"/>
        </w:rPr>
        <w:t xml:space="preserve">(chickenpox) </w:t>
      </w:r>
      <w:r w:rsidRPr="00B9629C">
        <w:rPr>
          <w:highlight w:val="darkGray"/>
        </w:rPr>
        <w:t>and isolation is not warranted.</w:t>
      </w:r>
    </w:p>
    <w:p w14:paraId="14A421EA" w14:textId="77777777" w:rsidR="007B7630" w:rsidRPr="00B9629C" w:rsidRDefault="007B7630" w:rsidP="007B7630">
      <w:pPr>
        <w:pStyle w:val="NoSpacing"/>
        <w:jc w:val="both"/>
        <w:rPr>
          <w:highlight w:val="darkGray"/>
        </w:rPr>
      </w:pPr>
    </w:p>
    <w:p w14:paraId="3A408327" w14:textId="77777777" w:rsidR="00E5138C" w:rsidRPr="00B9629C" w:rsidRDefault="00E5138C" w:rsidP="00965619">
      <w:pPr>
        <w:pStyle w:val="Heading5"/>
        <w:rPr>
          <w:highlight w:val="darkGray"/>
        </w:rPr>
      </w:pPr>
      <w:r w:rsidRPr="00B9629C">
        <w:rPr>
          <w:highlight w:val="darkGray"/>
        </w:rPr>
        <w:t>MEDICINE TREATMENT</w:t>
      </w:r>
    </w:p>
    <w:p w14:paraId="57F44DBA" w14:textId="77777777" w:rsidR="00E5138C" w:rsidRPr="00B9629C" w:rsidRDefault="00E5138C" w:rsidP="00AF183E">
      <w:pPr>
        <w:pStyle w:val="Heading7"/>
        <w:rPr>
          <w:highlight w:val="darkGray"/>
        </w:rPr>
      </w:pPr>
      <w:r w:rsidRPr="00B9629C">
        <w:rPr>
          <w:highlight w:val="darkGray"/>
        </w:rPr>
        <w:t>If fresh vesicles are present:</w:t>
      </w:r>
    </w:p>
    <w:p w14:paraId="5256BB40" w14:textId="1AEB059E" w:rsidR="00E5138C" w:rsidRPr="00B9629C" w:rsidRDefault="00E5138C" w:rsidP="00AF183E">
      <w:pPr>
        <w:pStyle w:val="BulletTherapeuticclass"/>
        <w:rPr>
          <w:highlight w:val="darkGray"/>
        </w:rPr>
      </w:pPr>
      <w:r w:rsidRPr="00B9629C">
        <w:rPr>
          <w:highlight w:val="darkGray"/>
        </w:rPr>
        <w:t>Antiviral</w:t>
      </w:r>
      <w:r w:rsidR="00042E17" w:rsidRPr="00B9629C">
        <w:rPr>
          <w:highlight w:val="darkGray"/>
        </w:rPr>
        <w:fldChar w:fldCharType="begin"/>
      </w:r>
      <w:r w:rsidR="00042E17" w:rsidRPr="00B9629C">
        <w:rPr>
          <w:highlight w:val="darkGray"/>
        </w:rPr>
        <w:instrText xml:space="preserve"> XE "Antiviral" \f "m" </w:instrText>
      </w:r>
      <w:r w:rsidR="00042E17" w:rsidRPr="00B9629C">
        <w:rPr>
          <w:highlight w:val="darkGray"/>
        </w:rPr>
        <w:fldChar w:fldCharType="end"/>
      </w:r>
      <w:r w:rsidRPr="00B9629C">
        <w:rPr>
          <w:highlight w:val="darkGray"/>
        </w:rPr>
        <w:t xml:space="preserve"> (active against herpes zoster) e.g.:</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hemeFill="background1"/>
        <w:tblLook w:val="04A0" w:firstRow="1" w:lastRow="0" w:firstColumn="1" w:lastColumn="0" w:noHBand="0" w:noVBand="1"/>
      </w:tblPr>
      <w:tblGrid>
        <w:gridCol w:w="907"/>
      </w:tblGrid>
      <w:tr w:rsidR="00E5138C" w:rsidRPr="00B9629C" w14:paraId="7B69F569" w14:textId="77777777" w:rsidTr="009A34C1">
        <w:tc>
          <w:tcPr>
            <w:tcW w:w="907" w:type="dxa"/>
            <w:shd w:val="clear" w:color="auto" w:fill="FFFFFF" w:themeFill="background1"/>
          </w:tcPr>
          <w:p w14:paraId="645A688E" w14:textId="6A4CACA5" w:rsidR="00E5138C" w:rsidRPr="00B9629C" w:rsidRDefault="00E5138C" w:rsidP="00AF183E">
            <w:pPr>
              <w:pStyle w:val="LoEText"/>
              <w:framePr w:hSpace="0" w:wrap="auto" w:vAnchor="margin" w:hAnchor="text" w:xAlign="left" w:yAlign="inline"/>
              <w:suppressOverlap w:val="0"/>
              <w:rPr>
                <w:sz w:val="14"/>
                <w:szCs w:val="14"/>
                <w:highlight w:val="darkGray"/>
              </w:rPr>
            </w:pPr>
            <w:r w:rsidRPr="00B9629C">
              <w:rPr>
                <w:sz w:val="14"/>
                <w:szCs w:val="14"/>
                <w:highlight w:val="darkGray"/>
              </w:rPr>
              <w:t>LoE:I</w:t>
            </w:r>
            <w:r w:rsidR="001A3AE4" w:rsidRPr="00B9629C">
              <w:rPr>
                <w:sz w:val="14"/>
                <w:szCs w:val="14"/>
                <w:highlight w:val="darkGray"/>
              </w:rPr>
              <w:t>Ia</w:t>
            </w:r>
            <w:r w:rsidRPr="00B9629C">
              <w:rPr>
                <w:rStyle w:val="EndnoteReference"/>
                <w:sz w:val="14"/>
                <w:szCs w:val="14"/>
                <w:highlight w:val="darkGray"/>
              </w:rPr>
              <w:endnoteReference w:id="44"/>
            </w:r>
          </w:p>
        </w:tc>
      </w:tr>
    </w:tbl>
    <w:p w14:paraId="22A77B1D" w14:textId="02EB16D9" w:rsidR="00E5138C" w:rsidRPr="00B9629C" w:rsidRDefault="00E5138C" w:rsidP="001A3AE4">
      <w:pPr>
        <w:pStyle w:val="BulletMedicine"/>
        <w:rPr>
          <w:highlight w:val="darkGray"/>
        </w:rPr>
      </w:pPr>
      <w:r w:rsidRPr="00B9629C">
        <w:rPr>
          <w:highlight w:val="darkGray"/>
        </w:rPr>
        <w:t>Aciclovir, oral</w:t>
      </w:r>
      <w:r w:rsidR="00042E17" w:rsidRPr="00B9629C">
        <w:rPr>
          <w:highlight w:val="darkGray"/>
        </w:rPr>
        <w:fldChar w:fldCharType="begin"/>
      </w:r>
      <w:r w:rsidR="00042E17" w:rsidRPr="00B9629C">
        <w:rPr>
          <w:highlight w:val="darkGray"/>
        </w:rPr>
        <w:instrText xml:space="preserve"> XE "Aciclovir, oral" \f "m" </w:instrText>
      </w:r>
      <w:r w:rsidR="00042E17" w:rsidRPr="00B9629C">
        <w:rPr>
          <w:highlight w:val="darkGray"/>
        </w:rPr>
        <w:fldChar w:fldCharType="end"/>
      </w:r>
      <w:r w:rsidRPr="00B9629C">
        <w:rPr>
          <w:highlight w:val="darkGray"/>
        </w:rPr>
        <w:t>, 800 mg five times daily for 7 days (4 hourly missing the middle of the night dose).</w:t>
      </w:r>
    </w:p>
    <w:p w14:paraId="1BEA2A82" w14:textId="77777777" w:rsidR="00E5138C" w:rsidRPr="00B9629C" w:rsidRDefault="00E5138C" w:rsidP="00AF183E">
      <w:pPr>
        <w:pStyle w:val="Heading7"/>
        <w:rPr>
          <w:highlight w:val="darkGray"/>
        </w:rPr>
      </w:pPr>
      <w:r w:rsidRPr="00B9629C">
        <w:rPr>
          <w:highlight w:val="darkGray"/>
        </w:rPr>
        <w:t>If secondary infection is present:</w:t>
      </w:r>
    </w:p>
    <w:p w14:paraId="62AE2B57" w14:textId="77777777" w:rsidR="00E5138C" w:rsidRPr="00B9629C" w:rsidRDefault="00E5138C" w:rsidP="00165ACD">
      <w:pPr>
        <w:pStyle w:val="NoSpacing"/>
        <w:rPr>
          <w:rStyle w:val="Strong"/>
          <w:highlight w:val="darkGray"/>
        </w:rPr>
      </w:pPr>
      <w:r w:rsidRPr="00B9629C">
        <w:rPr>
          <w:rStyle w:val="Strong"/>
          <w:highlight w:val="darkGray"/>
        </w:rPr>
        <w:t>ADD</w:t>
      </w:r>
    </w:p>
    <w:p w14:paraId="4EC18FDB" w14:textId="76F21FD4" w:rsidR="00E5138C" w:rsidRPr="00B9629C" w:rsidRDefault="00E5138C" w:rsidP="00AF183E">
      <w:pPr>
        <w:pStyle w:val="BulletMedicine"/>
        <w:rPr>
          <w:highlight w:val="darkGray"/>
        </w:rPr>
      </w:pPr>
      <w:r w:rsidRPr="00B9629C">
        <w:rPr>
          <w:highlight w:val="darkGray"/>
        </w:rPr>
        <w:t>Flucloxacillin, oral</w:t>
      </w:r>
      <w:r w:rsidR="00042E17" w:rsidRPr="00B9629C">
        <w:rPr>
          <w:highlight w:val="darkGray"/>
        </w:rPr>
        <w:fldChar w:fldCharType="begin"/>
      </w:r>
      <w:r w:rsidR="00042E17" w:rsidRPr="00B9629C">
        <w:rPr>
          <w:highlight w:val="darkGray"/>
        </w:rPr>
        <w:instrText xml:space="preserve"> XE "Flucloxacillin, oral" \f "m" </w:instrText>
      </w:r>
      <w:r w:rsidR="00042E17" w:rsidRPr="00B9629C">
        <w:rPr>
          <w:highlight w:val="darkGray"/>
        </w:rPr>
        <w:fldChar w:fldCharType="end"/>
      </w:r>
      <w:r w:rsidRPr="00B9629C">
        <w:rPr>
          <w:highlight w:val="darkGray"/>
        </w:rPr>
        <w:t>, 500 mg 6 hourly for 5 days.</w:t>
      </w:r>
      <w:r w:rsidR="00347051" w:rsidRPr="00B9629C">
        <w:rPr>
          <w:highlight w:val="darkGray"/>
        </w:rPr>
        <w:t xml:space="preserve"> </w:t>
      </w:r>
    </w:p>
    <w:p w14:paraId="3313F906" w14:textId="77777777" w:rsidR="00E5138C" w:rsidRPr="00B9629C" w:rsidRDefault="00E5138C" w:rsidP="00AF183E">
      <w:pPr>
        <w:pStyle w:val="Heading6"/>
        <w:rPr>
          <w:highlight w:val="darkGray"/>
        </w:rPr>
      </w:pPr>
      <w:r w:rsidRPr="00B9629C">
        <w:rPr>
          <w:highlight w:val="darkGray"/>
        </w:rPr>
        <w:t>Pain:</w:t>
      </w:r>
    </w:p>
    <w:p w14:paraId="3F90907C" w14:textId="066F3B5F" w:rsidR="004D2952" w:rsidRPr="00B9629C" w:rsidRDefault="00E5138C" w:rsidP="009750A0">
      <w:pPr>
        <w:pStyle w:val="BulletMedicine"/>
        <w:numPr>
          <w:ilvl w:val="0"/>
          <w:numId w:val="27"/>
        </w:numPr>
        <w:jc w:val="both"/>
        <w:rPr>
          <w:highlight w:val="darkGray"/>
        </w:rPr>
      </w:pPr>
      <w:r w:rsidRPr="00B9629C">
        <w:rPr>
          <w:highlight w:val="darkGray"/>
        </w:rPr>
        <w:t>Paracetamol, oral</w:t>
      </w:r>
      <w:r w:rsidR="00042E17" w:rsidRPr="00B9629C">
        <w:rPr>
          <w:highlight w:val="darkGray"/>
        </w:rPr>
        <w:fldChar w:fldCharType="begin"/>
      </w:r>
      <w:r w:rsidR="00042E17" w:rsidRPr="00B9629C">
        <w:rPr>
          <w:highlight w:val="darkGray"/>
        </w:rPr>
        <w:instrText xml:space="preserve"> XE "Paracetamol, oral" \f "m" </w:instrText>
      </w:r>
      <w:r w:rsidR="00042E17" w:rsidRPr="00B9629C">
        <w:rPr>
          <w:highlight w:val="darkGray"/>
        </w:rPr>
        <w:fldChar w:fldCharType="end"/>
      </w:r>
      <w:r w:rsidRPr="00B9629C">
        <w:rPr>
          <w:highlight w:val="darkGray"/>
        </w:rPr>
        <w:t>,</w:t>
      </w:r>
      <w:r w:rsidR="004D2952" w:rsidRPr="00B9629C">
        <w:rPr>
          <w:highlight w:val="darkGray"/>
        </w:rPr>
        <w:fldChar w:fldCharType="begin"/>
      </w:r>
      <w:r w:rsidR="004D2952" w:rsidRPr="00B9629C">
        <w:rPr>
          <w:highlight w:val="darkGray"/>
        </w:rPr>
        <w:instrText xml:space="preserve"> XE "Paracetamol, oral" \f "m" </w:instrText>
      </w:r>
      <w:r w:rsidR="004D2952" w:rsidRPr="00B9629C">
        <w:rPr>
          <w:highlight w:val="darkGray"/>
        </w:rPr>
        <w:fldChar w:fldCharType="end"/>
      </w:r>
      <w:r w:rsidR="004D2952" w:rsidRPr="00B9629C">
        <w:rPr>
          <w:highlight w:val="darkGray"/>
        </w:rPr>
        <w:t xml:space="preserve"> 500mg</w:t>
      </w:r>
      <w:r w:rsidR="00540D5C" w:rsidRPr="00B9629C">
        <w:rPr>
          <w:highlight w:val="darkGray"/>
        </w:rPr>
        <w:t xml:space="preserve"> to </w:t>
      </w:r>
      <w:r w:rsidR="004D2952" w:rsidRPr="00B9629C">
        <w:rPr>
          <w:highlight w:val="darkGray"/>
        </w:rPr>
        <w:t>1 g, 4</w:t>
      </w:r>
      <w:r w:rsidR="00540D5C" w:rsidRPr="00B9629C">
        <w:rPr>
          <w:highlight w:val="darkGray"/>
        </w:rPr>
        <w:t xml:space="preserve"> to </w:t>
      </w:r>
      <w:r w:rsidR="004D2952" w:rsidRPr="00B9629C">
        <w:rPr>
          <w:highlight w:val="darkGray"/>
        </w:rPr>
        <w:t xml:space="preserve">6 hourly as required </w:t>
      </w:r>
      <w:bookmarkStart w:id="40" w:name="_Hlk145301396"/>
      <w:r w:rsidR="004D2952" w:rsidRPr="00B9629C">
        <w:rPr>
          <w:highlight w:val="darkGray"/>
        </w:rPr>
        <w:t>(maximum of 4</w:t>
      </w:r>
      <w:r w:rsidR="00540D5C" w:rsidRPr="00B9629C">
        <w:rPr>
          <w:highlight w:val="darkGray"/>
        </w:rPr>
        <w:t xml:space="preserve"> </w:t>
      </w:r>
      <w:r w:rsidR="004D2952" w:rsidRPr="00B9629C">
        <w:rPr>
          <w:highlight w:val="darkGray"/>
        </w:rPr>
        <w:t>g in 24 hours)</w:t>
      </w:r>
      <w:bookmarkEnd w:id="40"/>
      <w:r w:rsidR="00540D5C" w:rsidRPr="00B9629C">
        <w:rPr>
          <w:highlight w:val="darkGray"/>
        </w:rPr>
        <w:t>.</w:t>
      </w:r>
    </w:p>
    <w:p w14:paraId="1A2111B7" w14:textId="77777777" w:rsidR="00E5138C" w:rsidRPr="00B9629C" w:rsidRDefault="00E5138C" w:rsidP="00AF183E">
      <w:pPr>
        <w:pStyle w:val="BulletDirectionsInstructions"/>
        <w:rPr>
          <w:highlight w:val="darkGray"/>
        </w:rPr>
      </w:pPr>
      <w:r w:rsidRPr="00B9629C">
        <w:rPr>
          <w:highlight w:val="darkGray"/>
        </w:rPr>
        <w:t>Maximum dose: 15 mg/kg/dose.</w:t>
      </w:r>
    </w:p>
    <w:p w14:paraId="140EA700" w14:textId="7B3ED468" w:rsidR="00E5138C" w:rsidRPr="00B9629C" w:rsidRDefault="00E5138C" w:rsidP="00AF183E">
      <w:pPr>
        <w:pStyle w:val="Heading7"/>
        <w:rPr>
          <w:highlight w:val="darkGray"/>
        </w:rPr>
      </w:pPr>
      <w:r w:rsidRPr="00B9629C">
        <w:rPr>
          <w:highlight w:val="darkGray"/>
        </w:rPr>
        <w:t>If inadequate pain relief</w:t>
      </w:r>
      <w:r w:rsidR="003153BB" w:rsidRPr="00B9629C">
        <w:rPr>
          <w:highlight w:val="darkGray"/>
        </w:rPr>
        <w:t>:</w:t>
      </w:r>
    </w:p>
    <w:p w14:paraId="11295F12" w14:textId="77777777" w:rsidR="00E5138C" w:rsidRPr="00B9629C" w:rsidRDefault="00E5138C" w:rsidP="00165ACD">
      <w:pPr>
        <w:pStyle w:val="NoSpacing"/>
        <w:rPr>
          <w:rStyle w:val="Strong"/>
          <w:highlight w:val="darkGray"/>
        </w:rPr>
      </w:pPr>
      <w:r w:rsidRPr="00B9629C">
        <w:rPr>
          <w:rStyle w:val="Strong"/>
          <w:highlight w:val="darkGray"/>
        </w:rPr>
        <w:t>ADD</w:t>
      </w:r>
    </w:p>
    <w:p w14:paraId="30D9CF42" w14:textId="77777777" w:rsidR="00234B24" w:rsidRPr="00B9629C" w:rsidRDefault="00234B24" w:rsidP="00234B24">
      <w:pPr>
        <w:pStyle w:val="BulletMedicine"/>
        <w:jc w:val="both"/>
        <w:rPr>
          <w:highlight w:val="darkGray"/>
        </w:rPr>
      </w:pPr>
      <w:r w:rsidRPr="00B9629C">
        <w:rPr>
          <w:highlight w:val="darkGray"/>
        </w:rPr>
        <w:t>Tramadol, oral</w:t>
      </w:r>
      <w:r w:rsidRPr="00B9629C">
        <w:rPr>
          <w:highlight w:val="darkGray"/>
        </w:rPr>
        <w:fldChar w:fldCharType="begin"/>
      </w:r>
      <w:r w:rsidRPr="00B9629C">
        <w:rPr>
          <w:highlight w:val="darkGray"/>
        </w:rPr>
        <w:instrText xml:space="preserve"> XE "Tramadol, oral" \f "m" </w:instrText>
      </w:r>
      <w:r w:rsidRPr="00B9629C">
        <w:rPr>
          <w:highlight w:val="darkGray"/>
        </w:rPr>
        <w:fldChar w:fldCharType="end"/>
      </w:r>
      <w:r w:rsidRPr="00B9629C">
        <w:rPr>
          <w:highlight w:val="darkGray"/>
        </w:rPr>
        <w:t>, 50 to 100 mg, 6 hourly as a starting dose. (Doctor prescribed.)</w:t>
      </w:r>
    </w:p>
    <w:p w14:paraId="2EF0F58A" w14:textId="77777777" w:rsidR="00234B24" w:rsidRPr="00B9629C" w:rsidRDefault="00234B24" w:rsidP="00234B24">
      <w:pPr>
        <w:pStyle w:val="BulletDirectionsInstructions"/>
        <w:numPr>
          <w:ilvl w:val="0"/>
          <w:numId w:val="36"/>
        </w:numPr>
        <w:jc w:val="both"/>
        <w:rPr>
          <w:highlight w:val="darkGray"/>
        </w:rPr>
      </w:pPr>
      <w:r w:rsidRPr="00B9629C">
        <w:rPr>
          <w:highlight w:val="darkGray"/>
        </w:rPr>
        <w:t>May be increased to a maximum daily dose of 400 mg.</w:t>
      </w:r>
    </w:p>
    <w:p w14:paraId="6C1B28DA" w14:textId="77777777" w:rsidR="00E5138C" w:rsidRPr="00B9629C" w:rsidRDefault="00E5138C" w:rsidP="00165ACD">
      <w:pPr>
        <w:pStyle w:val="NoSpacing"/>
        <w:rPr>
          <w:rStyle w:val="Strong"/>
          <w:highlight w:val="darkGray"/>
        </w:rPr>
      </w:pPr>
      <w:r w:rsidRPr="00B9629C">
        <w:rPr>
          <w:rStyle w:val="Strong"/>
          <w:highlight w:val="darkGray"/>
        </w:rPr>
        <w:t>For prolonged pain occurring after shingles has healed (post-herpetic neuralgia), or if pain not responding to paracetamol and tramadol:</w:t>
      </w:r>
    </w:p>
    <w:p w14:paraId="68FB204A" w14:textId="77777777" w:rsidR="00E5138C" w:rsidRPr="00B9629C" w:rsidRDefault="00E5138C" w:rsidP="00165ACD">
      <w:pPr>
        <w:pStyle w:val="BulletMedicine"/>
        <w:rPr>
          <w:highlight w:val="darkGray"/>
        </w:rPr>
      </w:pPr>
      <w:r w:rsidRPr="00B9629C">
        <w:rPr>
          <w:highlight w:val="darkGray"/>
        </w:rPr>
        <w:t xml:space="preserve">Amitriptyline, oral, 25 mg at night. </w:t>
      </w:r>
    </w:p>
    <w:p w14:paraId="0512A2B5" w14:textId="77777777" w:rsidR="00E5138C" w:rsidRPr="00B9629C" w:rsidRDefault="00E5138C" w:rsidP="00165ACD">
      <w:pPr>
        <w:pStyle w:val="BulletDirectionsInstructions"/>
        <w:rPr>
          <w:highlight w:val="darkGray"/>
        </w:rPr>
      </w:pPr>
      <w:r w:rsidRPr="00B9629C">
        <w:rPr>
          <w:highlight w:val="darkGray"/>
        </w:rPr>
        <w:t>Increase dose to 50 mg after two weeks if needed.</w:t>
      </w:r>
    </w:p>
    <w:p w14:paraId="36F8BBD7" w14:textId="10E77A07" w:rsidR="00E5138C" w:rsidRPr="00B9629C" w:rsidRDefault="00E5138C" w:rsidP="00165ACD">
      <w:pPr>
        <w:pStyle w:val="BulletDirectionsInstructions"/>
        <w:rPr>
          <w:highlight w:val="darkGray"/>
        </w:rPr>
      </w:pPr>
      <w:r w:rsidRPr="00B9629C">
        <w:rPr>
          <w:highlight w:val="darkGray"/>
        </w:rPr>
        <w:t>Increase to 75 mg after a further two weeks if needed.</w:t>
      </w:r>
    </w:p>
    <w:p w14:paraId="7CA0C7E0" w14:textId="77777777" w:rsidR="00E5138C" w:rsidRPr="00B9629C" w:rsidRDefault="00E5138C" w:rsidP="00965619">
      <w:pPr>
        <w:pStyle w:val="Heading5"/>
        <w:rPr>
          <w:highlight w:val="darkGray"/>
        </w:rPr>
      </w:pPr>
      <w:r w:rsidRPr="00B9629C">
        <w:rPr>
          <w:highlight w:val="darkGray"/>
        </w:rPr>
        <w:t>REFERRAL</w:t>
      </w:r>
    </w:p>
    <w:p w14:paraId="3F20CD4B" w14:textId="77777777" w:rsidR="00E5138C" w:rsidRPr="00B9629C" w:rsidRDefault="00E5138C" w:rsidP="00165ACD">
      <w:pPr>
        <w:pStyle w:val="ListParagraph"/>
        <w:rPr>
          <w:highlight w:val="darkGray"/>
        </w:rPr>
      </w:pPr>
      <w:r w:rsidRPr="00B9629C">
        <w:rPr>
          <w:highlight w:val="darkGray"/>
        </w:rPr>
        <w:t>Involvement of the eye.</w:t>
      </w:r>
    </w:p>
    <w:p w14:paraId="687085E5" w14:textId="77777777" w:rsidR="00E5138C" w:rsidRPr="00B9629C" w:rsidRDefault="00E5138C" w:rsidP="00165ACD">
      <w:pPr>
        <w:pStyle w:val="ListParagraph"/>
        <w:rPr>
          <w:highlight w:val="darkGray"/>
        </w:rPr>
      </w:pPr>
      <w:r w:rsidRPr="00B9629C">
        <w:rPr>
          <w:highlight w:val="darkGray"/>
        </w:rPr>
        <w:t>Disseminated disease (many vesicles extending beyond the main area).</w:t>
      </w:r>
    </w:p>
    <w:p w14:paraId="3FCD7F41" w14:textId="77777777" w:rsidR="00E5138C" w:rsidRPr="00B9629C" w:rsidRDefault="00E5138C" w:rsidP="00165ACD">
      <w:pPr>
        <w:pStyle w:val="ListParagraph"/>
        <w:rPr>
          <w:highlight w:val="darkGray"/>
        </w:rPr>
      </w:pPr>
      <w:r w:rsidRPr="00B9629C">
        <w:rPr>
          <w:highlight w:val="darkGray"/>
        </w:rPr>
        <w:t>Features of meningitis (headache and neck stiffness).</w:t>
      </w:r>
    </w:p>
    <w:p w14:paraId="4997AB04" w14:textId="77777777" w:rsidR="00E5138C" w:rsidRPr="00B9629C" w:rsidRDefault="00E5138C" w:rsidP="00165ACD">
      <w:pPr>
        <w:pStyle w:val="ListParagraph"/>
        <w:rPr>
          <w:highlight w:val="darkGray"/>
        </w:rPr>
      </w:pPr>
      <w:r w:rsidRPr="00B9629C">
        <w:rPr>
          <w:highlight w:val="darkGray"/>
        </w:rPr>
        <w:t>Severe post-herpetic neuralgia not responding to amitriptyline.</w:t>
      </w:r>
    </w:p>
    <w:p w14:paraId="6F008348" w14:textId="77777777" w:rsidR="00F12F3B" w:rsidRPr="00B9629C" w:rsidRDefault="00F12F3B" w:rsidP="00F12F3B">
      <w:pPr>
        <w:pStyle w:val="ListParagraph"/>
        <w:numPr>
          <w:ilvl w:val="0"/>
          <w:numId w:val="0"/>
        </w:numPr>
        <w:ind w:left="360"/>
        <w:rPr>
          <w:highlight w:val="darkGray"/>
        </w:rPr>
      </w:pPr>
    </w:p>
    <w:p w14:paraId="4680607A" w14:textId="5801169C" w:rsidR="00E5138C" w:rsidRPr="00B9629C" w:rsidRDefault="00481078" w:rsidP="00990B8C">
      <w:pPr>
        <w:pStyle w:val="Heading3"/>
        <w:rPr>
          <w:highlight w:val="darkGray"/>
        </w:rPr>
      </w:pPr>
      <w:bookmarkStart w:id="41" w:name="_Toc57132055"/>
      <w:r w:rsidRPr="00B9629C">
        <w:rPr>
          <w:highlight w:val="darkGray"/>
        </w:rPr>
        <w:t xml:space="preserve">  </w:t>
      </w:r>
      <w:bookmarkStart w:id="42" w:name="_Toc177151104"/>
      <w:r w:rsidR="00990B8C" w:rsidRPr="00B9629C">
        <w:rPr>
          <w:highlight w:val="darkGray"/>
        </w:rPr>
        <w:t>Papular pruritic eruption</w:t>
      </w:r>
      <w:bookmarkEnd w:id="41"/>
      <w:bookmarkEnd w:id="42"/>
      <w:r w:rsidR="006D4857" w:rsidRPr="00B9629C">
        <w:rPr>
          <w:highlight w:val="darkGray"/>
        </w:rPr>
        <w:fldChar w:fldCharType="begin"/>
      </w:r>
      <w:r w:rsidR="006D4857" w:rsidRPr="00B9629C">
        <w:rPr>
          <w:highlight w:val="darkGray"/>
        </w:rPr>
        <w:instrText xml:space="preserve"> XE "Papular pruritic eruption" \f “c”</w:instrText>
      </w:r>
      <w:r w:rsidR="006D4857" w:rsidRPr="00B9629C">
        <w:rPr>
          <w:highlight w:val="darkGray"/>
        </w:rPr>
        <w:fldChar w:fldCharType="end"/>
      </w:r>
    </w:p>
    <w:p w14:paraId="4601F619"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L29.8</w:t>
      </w:r>
    </w:p>
    <w:p w14:paraId="584EEBAB" w14:textId="77777777" w:rsidR="00E5138C" w:rsidRPr="00B9629C" w:rsidRDefault="00E5138C" w:rsidP="00D15C60">
      <w:pPr>
        <w:pStyle w:val="Heading5"/>
        <w:rPr>
          <w:highlight w:val="darkGray"/>
        </w:rPr>
      </w:pPr>
      <w:r w:rsidRPr="00B9629C">
        <w:rPr>
          <w:highlight w:val="darkGray"/>
        </w:rPr>
        <w:t>DESCRIPTION</w:t>
      </w:r>
    </w:p>
    <w:p w14:paraId="66B3DDC1" w14:textId="77777777" w:rsidR="00E5138C" w:rsidRPr="00B9629C" w:rsidRDefault="00E5138C" w:rsidP="00D15C60">
      <w:pPr>
        <w:pStyle w:val="NoSpacing"/>
        <w:rPr>
          <w:highlight w:val="darkGray"/>
        </w:rPr>
      </w:pPr>
      <w:r w:rsidRPr="00B9629C">
        <w:rPr>
          <w:highlight w:val="darkGray"/>
        </w:rPr>
        <w:t>Itchy inflamed papules at different stages of evolution. Healed lesions are often hyperpigmented. The itch is difficult to manage. May flare after starting ART, but generally improves as the CD4 count increases. It is essential to exclude scabies.</w:t>
      </w:r>
    </w:p>
    <w:p w14:paraId="7F5BFD05" w14:textId="77777777" w:rsidR="00E5138C" w:rsidRPr="00B9629C" w:rsidRDefault="00E5138C" w:rsidP="00D15C60">
      <w:pPr>
        <w:pStyle w:val="Heading5"/>
        <w:rPr>
          <w:highlight w:val="darkGray"/>
        </w:rPr>
      </w:pPr>
      <w:r w:rsidRPr="00B9629C">
        <w:rPr>
          <w:highlight w:val="darkGray"/>
        </w:rPr>
        <w:t>GENERAL MEASURES</w:t>
      </w:r>
    </w:p>
    <w:p w14:paraId="0706B563" w14:textId="77777777" w:rsidR="00E5138C" w:rsidRPr="00B9629C" w:rsidRDefault="00E5138C" w:rsidP="00D15C60">
      <w:pPr>
        <w:pStyle w:val="NoSpacing"/>
        <w:rPr>
          <w:highlight w:val="darkGray"/>
        </w:rPr>
      </w:pPr>
      <w:r w:rsidRPr="00B9629C">
        <w:rPr>
          <w:highlight w:val="darkGray"/>
        </w:rPr>
        <w:t>Minimise exposure to insect bites, e.g. by regularly dipping pets.</w:t>
      </w:r>
    </w:p>
    <w:p w14:paraId="0BF532C3" w14:textId="77777777" w:rsidR="00E5138C" w:rsidRPr="00B9629C" w:rsidRDefault="00E5138C" w:rsidP="00D15C60">
      <w:pPr>
        <w:pStyle w:val="Heading5"/>
        <w:rPr>
          <w:highlight w:val="darkGray"/>
        </w:rPr>
      </w:pPr>
      <w:r w:rsidRPr="00B9629C">
        <w:rPr>
          <w:highlight w:val="darkGray"/>
        </w:rPr>
        <w:t>MEDICINE TREATMENT</w:t>
      </w:r>
    </w:p>
    <w:p w14:paraId="58A92227" w14:textId="3FEE3848" w:rsidR="00E5138C" w:rsidRPr="00B9629C" w:rsidRDefault="00E5138C" w:rsidP="00D15C60">
      <w:pPr>
        <w:pStyle w:val="BulletMedicine"/>
        <w:rPr>
          <w:highlight w:val="darkGray"/>
        </w:rPr>
      </w:pPr>
      <w:r w:rsidRPr="00B9629C">
        <w:rPr>
          <w:highlight w:val="darkGray"/>
        </w:rPr>
        <w:t>Cetirizine</w:t>
      </w:r>
      <w:r w:rsidR="00042E17" w:rsidRPr="00B9629C">
        <w:rPr>
          <w:highlight w:val="darkGray"/>
        </w:rPr>
        <w:t>, oral</w:t>
      </w:r>
      <w:r w:rsidR="00042E17" w:rsidRPr="00B9629C">
        <w:rPr>
          <w:highlight w:val="darkGray"/>
        </w:rPr>
        <w:fldChar w:fldCharType="begin"/>
      </w:r>
      <w:r w:rsidR="00042E17" w:rsidRPr="00B9629C">
        <w:rPr>
          <w:highlight w:val="darkGray"/>
        </w:rPr>
        <w:instrText xml:space="preserve"> XE "Cetirizine, oral" \f "m" </w:instrText>
      </w:r>
      <w:r w:rsidR="00042E17" w:rsidRPr="00B9629C">
        <w:rPr>
          <w:highlight w:val="darkGray"/>
        </w:rPr>
        <w:fldChar w:fldCharType="end"/>
      </w:r>
      <w:r w:rsidR="00042E17" w:rsidRPr="00B9629C">
        <w:rPr>
          <w:highlight w:val="darkGray"/>
        </w:rPr>
        <w:t>,</w:t>
      </w:r>
      <w:r w:rsidRPr="00B9629C">
        <w:rPr>
          <w:highlight w:val="darkGray"/>
        </w:rPr>
        <w:t xml:space="preserve"> 10 mg daily.</w:t>
      </w:r>
    </w:p>
    <w:p w14:paraId="6B901EA9" w14:textId="21977754" w:rsidR="00E5138C" w:rsidRPr="00B9629C" w:rsidRDefault="00E5138C" w:rsidP="00D15C60">
      <w:pPr>
        <w:pStyle w:val="BulletMedicine"/>
        <w:rPr>
          <w:highlight w:val="darkGray"/>
        </w:rPr>
      </w:pPr>
      <w:r w:rsidRPr="00B9629C">
        <w:rPr>
          <w:highlight w:val="darkGray"/>
        </w:rPr>
        <w:t>Hydrocortisone 1%, topical</w:t>
      </w:r>
      <w:r w:rsidR="00042E17" w:rsidRPr="00B9629C">
        <w:rPr>
          <w:highlight w:val="darkGray"/>
        </w:rPr>
        <w:fldChar w:fldCharType="begin"/>
      </w:r>
      <w:r w:rsidR="00042E17" w:rsidRPr="00B9629C">
        <w:rPr>
          <w:highlight w:val="darkGray"/>
        </w:rPr>
        <w:instrText xml:space="preserve"> XE "Hydrocortisone 1%, topical" \f "m" </w:instrText>
      </w:r>
      <w:r w:rsidR="00042E17" w:rsidRPr="00B9629C">
        <w:rPr>
          <w:highlight w:val="darkGray"/>
        </w:rPr>
        <w:fldChar w:fldCharType="end"/>
      </w:r>
      <w:r w:rsidRPr="00B9629C">
        <w:rPr>
          <w:highlight w:val="darkGray"/>
        </w:rPr>
        <w:t xml:space="preserve"> cream, applied twice daily for 7 days.</w:t>
      </w:r>
    </w:p>
    <w:p w14:paraId="12F53A33" w14:textId="77777777" w:rsidR="00E5138C" w:rsidRPr="00B9629C" w:rsidRDefault="00E5138C" w:rsidP="00D15C60">
      <w:pPr>
        <w:pStyle w:val="BulletDirectionsInstructions"/>
        <w:rPr>
          <w:highlight w:val="darkGray"/>
        </w:rPr>
      </w:pPr>
      <w:r w:rsidRPr="00B9629C">
        <w:rPr>
          <w:highlight w:val="darkGray"/>
        </w:rPr>
        <w:lastRenderedPageBreak/>
        <w:t>Apply sparingly to the face.</w:t>
      </w:r>
    </w:p>
    <w:p w14:paraId="2C41EA00" w14:textId="2825A93F" w:rsidR="00E5138C" w:rsidRPr="00B9629C" w:rsidRDefault="00481078" w:rsidP="00501749">
      <w:pPr>
        <w:pStyle w:val="Heading3"/>
        <w:rPr>
          <w:highlight w:val="darkGray"/>
        </w:rPr>
      </w:pPr>
      <w:bookmarkStart w:id="43" w:name="_Toc57132056"/>
      <w:r w:rsidRPr="00B9629C">
        <w:rPr>
          <w:highlight w:val="darkGray"/>
        </w:rPr>
        <w:t xml:space="preserve">  </w:t>
      </w:r>
      <w:bookmarkStart w:id="44" w:name="_Toc177151105"/>
      <w:r w:rsidR="00990B8C" w:rsidRPr="00B9629C">
        <w:rPr>
          <w:highlight w:val="darkGray"/>
        </w:rPr>
        <w:t>Pneumonia, bacterial</w:t>
      </w:r>
      <w:bookmarkEnd w:id="43"/>
      <w:bookmarkEnd w:id="44"/>
      <w:r w:rsidR="006D4857" w:rsidRPr="00B9629C">
        <w:rPr>
          <w:highlight w:val="darkGray"/>
        </w:rPr>
        <w:fldChar w:fldCharType="begin"/>
      </w:r>
      <w:r w:rsidR="006D4857" w:rsidRPr="00B9629C">
        <w:rPr>
          <w:highlight w:val="darkGray"/>
        </w:rPr>
        <w:instrText xml:space="preserve"> XE "Pneumonia, bacterial" \f “c”</w:instrText>
      </w:r>
      <w:r w:rsidR="006D4857" w:rsidRPr="00B9629C">
        <w:rPr>
          <w:highlight w:val="darkGray"/>
        </w:rPr>
        <w:fldChar w:fldCharType="end"/>
      </w:r>
      <w:r w:rsidR="00990B8C" w:rsidRPr="00B9629C">
        <w:rPr>
          <w:highlight w:val="darkGray"/>
        </w:rPr>
        <w:t xml:space="preserve"> </w:t>
      </w:r>
    </w:p>
    <w:p w14:paraId="77BACF19" w14:textId="77777777" w:rsidR="00E5138C" w:rsidRPr="00B9629C" w:rsidRDefault="00E5138C" w:rsidP="00D15C60">
      <w:pPr>
        <w:pStyle w:val="NoSpacing"/>
        <w:rPr>
          <w:highlight w:val="darkGray"/>
        </w:rPr>
      </w:pPr>
      <w:r w:rsidRPr="00B9629C">
        <w:rPr>
          <w:highlight w:val="darkGray"/>
        </w:rPr>
        <w:t>See Section 17.3: Respiratory infections.</w:t>
      </w:r>
    </w:p>
    <w:p w14:paraId="72FBF84B" w14:textId="77777777" w:rsidR="00831610" w:rsidRPr="00B9629C" w:rsidRDefault="00831610" w:rsidP="00D15C60">
      <w:pPr>
        <w:pStyle w:val="NoSpacing"/>
        <w:rPr>
          <w:highlight w:val="darkGray"/>
        </w:rPr>
      </w:pPr>
    </w:p>
    <w:p w14:paraId="497F9245" w14:textId="27696552" w:rsidR="00E5138C" w:rsidRPr="00B9629C" w:rsidRDefault="00481078" w:rsidP="00501749">
      <w:pPr>
        <w:pStyle w:val="Heading3"/>
        <w:rPr>
          <w:highlight w:val="darkGray"/>
        </w:rPr>
      </w:pPr>
      <w:bookmarkStart w:id="45" w:name="_Toc57132057"/>
      <w:r w:rsidRPr="00B9629C">
        <w:rPr>
          <w:highlight w:val="darkGray"/>
        </w:rPr>
        <w:t xml:space="preserve">  </w:t>
      </w:r>
      <w:bookmarkStart w:id="46" w:name="_Toc177151106"/>
      <w:r w:rsidR="00990B8C" w:rsidRPr="00B9629C">
        <w:rPr>
          <w:highlight w:val="darkGray"/>
        </w:rPr>
        <w:t>Pneumonia, pneumocystis</w:t>
      </w:r>
      <w:bookmarkEnd w:id="45"/>
      <w:bookmarkEnd w:id="46"/>
      <w:r w:rsidR="006D4857" w:rsidRPr="00B9629C">
        <w:rPr>
          <w:highlight w:val="darkGray"/>
        </w:rPr>
        <w:fldChar w:fldCharType="begin"/>
      </w:r>
      <w:r w:rsidR="006D4857" w:rsidRPr="00B9629C">
        <w:rPr>
          <w:highlight w:val="darkGray"/>
        </w:rPr>
        <w:instrText xml:space="preserve"> XE "Pneumonia, pneumocystis" \f “c”</w:instrText>
      </w:r>
      <w:r w:rsidR="006D4857" w:rsidRPr="00B9629C">
        <w:rPr>
          <w:highlight w:val="darkGray"/>
        </w:rPr>
        <w:fldChar w:fldCharType="end"/>
      </w:r>
    </w:p>
    <w:p w14:paraId="3E1B3C54" w14:textId="77777777" w:rsidR="00E5138C" w:rsidRPr="00B9629C" w:rsidRDefault="00E5138C" w:rsidP="00D15C60">
      <w:pPr>
        <w:pStyle w:val="NoSpacing"/>
        <w:rPr>
          <w:highlight w:val="darkGray"/>
        </w:rPr>
      </w:pPr>
      <w:r w:rsidRPr="00B9629C">
        <w:rPr>
          <w:highlight w:val="darkGray"/>
        </w:rPr>
        <w:t>See Section 17.3.4.2.4: Pneumocystis pneumonia.</w:t>
      </w:r>
    </w:p>
    <w:p w14:paraId="35E6457F" w14:textId="77777777" w:rsidR="00E5138C" w:rsidRPr="00B9629C" w:rsidRDefault="00E5138C" w:rsidP="00D15C60">
      <w:pPr>
        <w:pStyle w:val="NoSpacing"/>
        <w:rPr>
          <w:highlight w:val="darkGray"/>
        </w:rPr>
      </w:pPr>
    </w:p>
    <w:p w14:paraId="5E04F0F3" w14:textId="4951307D" w:rsidR="00E5138C" w:rsidRPr="00B9629C" w:rsidRDefault="00481078" w:rsidP="00501749">
      <w:pPr>
        <w:pStyle w:val="Heading3"/>
        <w:rPr>
          <w:highlight w:val="darkGray"/>
        </w:rPr>
      </w:pPr>
      <w:bookmarkStart w:id="47" w:name="_Toc57132058"/>
      <w:r w:rsidRPr="00B9629C">
        <w:rPr>
          <w:highlight w:val="darkGray"/>
        </w:rPr>
        <w:t xml:space="preserve">  </w:t>
      </w:r>
      <w:bookmarkStart w:id="48" w:name="_Toc177151107"/>
      <w:r w:rsidR="00990B8C" w:rsidRPr="00B9629C">
        <w:rPr>
          <w:highlight w:val="darkGray"/>
        </w:rPr>
        <w:t>Toxoplasmosis</w:t>
      </w:r>
      <w:bookmarkEnd w:id="47"/>
      <w:bookmarkEnd w:id="48"/>
      <w:r w:rsidR="006D4857" w:rsidRPr="00B9629C">
        <w:rPr>
          <w:highlight w:val="darkGray"/>
        </w:rPr>
        <w:fldChar w:fldCharType="begin"/>
      </w:r>
      <w:r w:rsidR="006D4857" w:rsidRPr="00B9629C">
        <w:rPr>
          <w:highlight w:val="darkGray"/>
        </w:rPr>
        <w:instrText xml:space="preserve"> XE "Toxoplasmosis" \f “c”</w:instrText>
      </w:r>
      <w:r w:rsidR="006D4857" w:rsidRPr="00B9629C">
        <w:rPr>
          <w:highlight w:val="darkGray"/>
        </w:rPr>
        <w:fldChar w:fldCharType="end"/>
      </w:r>
    </w:p>
    <w:p w14:paraId="70BBA58D" w14:textId="784A2990" w:rsidR="00DD6C4D" w:rsidRPr="00B9629C" w:rsidRDefault="00D05758" w:rsidP="00F7195A">
      <w:pPr>
        <w:pStyle w:val="ICD10"/>
        <w:shd w:val="clear" w:color="auto" w:fill="F2F2F2" w:themeFill="background1" w:themeFillShade="F2"/>
        <w:tabs>
          <w:tab w:val="left" w:pos="2753"/>
        </w:tabs>
        <w:jc w:val="both"/>
        <w:rPr>
          <w:highlight w:val="darkGray"/>
        </w:rPr>
      </w:pPr>
      <w:r w:rsidRPr="00B9629C">
        <w:rPr>
          <w:highlight w:val="darkGray"/>
        </w:rPr>
        <w:t>B58 + (B20.8)</w:t>
      </w:r>
    </w:p>
    <w:p w14:paraId="07275F36" w14:textId="726530FA" w:rsidR="00DD6C4D" w:rsidRPr="00B9629C" w:rsidRDefault="00DD6C4D" w:rsidP="00D15C60">
      <w:pPr>
        <w:rPr>
          <w:b/>
          <w:bCs/>
          <w:sz w:val="20"/>
          <w:szCs w:val="20"/>
          <w:highlight w:val="darkGray"/>
        </w:rPr>
      </w:pPr>
      <w:r w:rsidRPr="00B9629C">
        <w:rPr>
          <w:b/>
          <w:bCs/>
          <w:sz w:val="20"/>
          <w:szCs w:val="20"/>
          <w:highlight w:val="darkGray"/>
        </w:rPr>
        <w:t>DESCRIPTION</w:t>
      </w:r>
    </w:p>
    <w:p w14:paraId="2D1AD529" w14:textId="1B4107FB" w:rsidR="00E5138C" w:rsidRPr="00B9629C" w:rsidRDefault="00E5138C" w:rsidP="00D15C60">
      <w:pPr>
        <w:rPr>
          <w:highlight w:val="darkGray"/>
        </w:rPr>
      </w:pPr>
      <w:r w:rsidRPr="00B9629C">
        <w:rPr>
          <w:highlight w:val="darkGray"/>
        </w:rPr>
        <w:t xml:space="preserve">Initial diagnosis </w:t>
      </w:r>
      <w:r w:rsidR="00DD6C4D" w:rsidRPr="00B9629C">
        <w:rPr>
          <w:highlight w:val="darkGray"/>
        </w:rPr>
        <w:t xml:space="preserve">should </w:t>
      </w:r>
      <w:r w:rsidRPr="00B9629C">
        <w:rPr>
          <w:highlight w:val="darkGray"/>
        </w:rPr>
        <w:t>only be made at hospital level.</w:t>
      </w:r>
    </w:p>
    <w:p w14:paraId="641043C1" w14:textId="77777777" w:rsidR="00E5138C" w:rsidRPr="00B9629C" w:rsidRDefault="00E5138C" w:rsidP="00D15C60">
      <w:pPr>
        <w:pStyle w:val="Heading5"/>
        <w:rPr>
          <w:highlight w:val="darkGray"/>
        </w:rPr>
      </w:pPr>
      <w:r w:rsidRPr="00B9629C">
        <w:rPr>
          <w:highlight w:val="darkGray"/>
        </w:rPr>
        <w:t>MEDICINE TREATMENT</w:t>
      </w:r>
    </w:p>
    <w:p w14:paraId="5F043EF8" w14:textId="7356D2BC" w:rsidR="00E5138C" w:rsidRPr="00B9629C" w:rsidRDefault="00E5138C" w:rsidP="006B322F">
      <w:pPr>
        <w:pStyle w:val="BulletMedicine"/>
        <w:rPr>
          <w:highlight w:val="darkGray"/>
        </w:rPr>
      </w:pPr>
      <w:r w:rsidRPr="00B9629C">
        <w:rPr>
          <w:highlight w:val="darkGray"/>
        </w:rPr>
        <w:t>Cotrimoxazole, oral</w:t>
      </w:r>
      <w:r w:rsidR="00042E17" w:rsidRPr="00B9629C">
        <w:rPr>
          <w:highlight w:val="darkGray"/>
        </w:rPr>
        <w:fldChar w:fldCharType="begin"/>
      </w:r>
      <w:r w:rsidR="00042E17" w:rsidRPr="00B9629C">
        <w:rPr>
          <w:highlight w:val="darkGray"/>
        </w:rPr>
        <w:instrText xml:space="preserve"> XE "Cotrimoxazole, oral" \f "m" </w:instrText>
      </w:r>
      <w:r w:rsidR="00042E17" w:rsidRPr="00B9629C">
        <w:rPr>
          <w:highlight w:val="darkGray"/>
        </w:rPr>
        <w:fldChar w:fldCharType="end"/>
      </w:r>
      <w:r w:rsidRPr="00B9629C">
        <w:rPr>
          <w:highlight w:val="darkGray"/>
        </w:rPr>
        <w:t>, 320/1600 mg 12 hourly for 4 weeks.</w:t>
      </w:r>
    </w:p>
    <w:p w14:paraId="40F09399" w14:textId="77777777" w:rsidR="00E5138C" w:rsidRPr="00B9629C" w:rsidRDefault="00E5138C" w:rsidP="006B322F">
      <w:pPr>
        <w:pStyle w:val="BulletDirectionsInstructions"/>
        <w:rPr>
          <w:highlight w:val="darkGray"/>
        </w:rPr>
      </w:pPr>
      <w:r w:rsidRPr="00B9629C">
        <w:rPr>
          <w:highlight w:val="darkGray"/>
        </w:rPr>
        <w:t xml:space="preserve">Then 160/800 mg 12 hourly for 12 weeks. </w:t>
      </w:r>
    </w:p>
    <w:p w14:paraId="0E52A86D" w14:textId="77777777" w:rsidR="00E5138C" w:rsidRPr="00B9629C" w:rsidRDefault="00E5138C" w:rsidP="006B322F">
      <w:pPr>
        <w:pStyle w:val="Heading6"/>
        <w:rPr>
          <w:highlight w:val="darkGray"/>
        </w:rPr>
      </w:pPr>
      <w:r w:rsidRPr="00B9629C">
        <w:rPr>
          <w:highlight w:val="darkGray"/>
        </w:rPr>
        <w:t>Secondary prophylaxis</w:t>
      </w:r>
    </w:p>
    <w:p w14:paraId="14140F6E" w14:textId="6B8A018D" w:rsidR="00E5138C" w:rsidRPr="00B9629C" w:rsidRDefault="00E5138C" w:rsidP="006B322F">
      <w:pPr>
        <w:pStyle w:val="BulletMedicine"/>
        <w:rPr>
          <w:highlight w:val="darkGray"/>
        </w:rPr>
      </w:pPr>
      <w:r w:rsidRPr="00B9629C">
        <w:rPr>
          <w:highlight w:val="darkGray"/>
        </w:rPr>
        <w:t>Cotrimoxazole, oral</w:t>
      </w:r>
      <w:r w:rsidR="00042E17" w:rsidRPr="00B9629C">
        <w:rPr>
          <w:highlight w:val="darkGray"/>
        </w:rPr>
        <w:fldChar w:fldCharType="begin"/>
      </w:r>
      <w:r w:rsidR="00042E17" w:rsidRPr="00B9629C">
        <w:rPr>
          <w:highlight w:val="darkGray"/>
        </w:rPr>
        <w:instrText xml:space="preserve"> XE "Cotrimoxazole, oral" \f "m" </w:instrText>
      </w:r>
      <w:r w:rsidR="00042E17" w:rsidRPr="00B9629C">
        <w:rPr>
          <w:highlight w:val="darkGray"/>
        </w:rPr>
        <w:fldChar w:fldCharType="end"/>
      </w:r>
      <w:r w:rsidRPr="00B9629C">
        <w:rPr>
          <w:highlight w:val="darkGray"/>
        </w:rPr>
        <w:t xml:space="preserve"> 160/800 mg daily.</w:t>
      </w:r>
    </w:p>
    <w:p w14:paraId="60A09A6B" w14:textId="77777777" w:rsidR="00E5138C" w:rsidRPr="00B9629C" w:rsidRDefault="00E5138C" w:rsidP="006B322F">
      <w:pPr>
        <w:pStyle w:val="BulletDirectionsInstructions"/>
        <w:rPr>
          <w:highlight w:val="darkGray"/>
        </w:rPr>
      </w:pPr>
      <w:r w:rsidRPr="00B9629C">
        <w:rPr>
          <w:highlight w:val="darkGray"/>
        </w:rPr>
        <w:t>Continue until the CD4 count has risen to &gt;200 cells/mm</w:t>
      </w:r>
      <w:r w:rsidRPr="00B9629C">
        <w:rPr>
          <w:highlight w:val="darkGray"/>
          <w:vertAlign w:val="superscript"/>
        </w:rPr>
        <w:t>3</w:t>
      </w:r>
      <w:r w:rsidRPr="00B9629C">
        <w:rPr>
          <w:highlight w:val="darkGray"/>
        </w:rPr>
        <w:t xml:space="preserve"> on ART.</w:t>
      </w:r>
    </w:p>
    <w:p w14:paraId="0C50E233" w14:textId="77777777" w:rsidR="00E5138C" w:rsidRPr="00B9629C" w:rsidRDefault="00E5138C" w:rsidP="006B322F">
      <w:pPr>
        <w:pStyle w:val="BulletMedicine"/>
        <w:rPr>
          <w:highlight w:val="darkGray"/>
        </w:rPr>
      </w:pPr>
      <w:r w:rsidRPr="00B9629C">
        <w:rPr>
          <w:highlight w:val="darkGray"/>
        </w:rPr>
        <w:t>Commence ART.</w:t>
      </w:r>
    </w:p>
    <w:p w14:paraId="56CFDBFF" w14:textId="17FE6E2E" w:rsidR="004A4F59" w:rsidRPr="00B9629C" w:rsidRDefault="004A4F59" w:rsidP="004A4F59">
      <w:pPr>
        <w:pStyle w:val="Heading5"/>
        <w:rPr>
          <w:highlight w:val="darkGray"/>
        </w:rPr>
      </w:pPr>
      <w:r w:rsidRPr="00B9629C">
        <w:rPr>
          <w:highlight w:val="darkGray"/>
        </w:rPr>
        <w:t>REFERRAL</w:t>
      </w:r>
    </w:p>
    <w:p w14:paraId="16D59216" w14:textId="5EE16E93" w:rsidR="004A4F59" w:rsidRPr="00B9629C" w:rsidRDefault="004A4F59" w:rsidP="004A4F59">
      <w:pPr>
        <w:rPr>
          <w:highlight w:val="darkGray"/>
        </w:rPr>
      </w:pPr>
      <w:r w:rsidRPr="00B9629C">
        <w:rPr>
          <w:highlight w:val="darkGray"/>
        </w:rPr>
        <w:t>Patients with suspected toxoplasmosis infection requiring further investigation to confirm diagnosis.</w:t>
      </w:r>
    </w:p>
    <w:p w14:paraId="59B3C6F3" w14:textId="77777777" w:rsidR="009B1E9F" w:rsidRPr="00B9629C" w:rsidRDefault="009B1E9F" w:rsidP="009B1E9F">
      <w:pPr>
        <w:rPr>
          <w:highlight w:val="darkGray"/>
        </w:rPr>
      </w:pPr>
    </w:p>
    <w:p w14:paraId="79A26217" w14:textId="7DEA6A57" w:rsidR="00E5138C" w:rsidRPr="00B9629C" w:rsidRDefault="00481078" w:rsidP="00501749">
      <w:pPr>
        <w:pStyle w:val="Heading3"/>
        <w:rPr>
          <w:highlight w:val="darkGray"/>
        </w:rPr>
      </w:pPr>
      <w:bookmarkStart w:id="49" w:name="_Toc57132059"/>
      <w:r w:rsidRPr="00B9629C">
        <w:rPr>
          <w:highlight w:val="darkGray"/>
        </w:rPr>
        <w:t xml:space="preserve">  </w:t>
      </w:r>
      <w:bookmarkStart w:id="50" w:name="_Toc177151108"/>
      <w:r w:rsidR="00501749" w:rsidRPr="00B9629C">
        <w:rPr>
          <w:highlight w:val="darkGray"/>
        </w:rPr>
        <w:t>Tuberculosis (TB)</w:t>
      </w:r>
      <w:bookmarkEnd w:id="49"/>
      <w:bookmarkEnd w:id="50"/>
      <w:r w:rsidR="006D4857" w:rsidRPr="00B9629C">
        <w:rPr>
          <w:highlight w:val="darkGray"/>
        </w:rPr>
        <w:fldChar w:fldCharType="begin"/>
      </w:r>
      <w:r w:rsidR="006D4857" w:rsidRPr="00B9629C">
        <w:rPr>
          <w:highlight w:val="darkGray"/>
        </w:rPr>
        <w:instrText xml:space="preserve"> XE "Tuberculosis (TB)" \f “c”</w:instrText>
      </w:r>
      <w:r w:rsidR="006D4857" w:rsidRPr="00B9629C">
        <w:rPr>
          <w:highlight w:val="darkGray"/>
        </w:rPr>
        <w:fldChar w:fldCharType="end"/>
      </w:r>
    </w:p>
    <w:p w14:paraId="6599F7A7" w14:textId="77777777" w:rsidR="00E5138C" w:rsidRPr="00B9629C" w:rsidRDefault="00E5138C" w:rsidP="006B322F">
      <w:pPr>
        <w:pStyle w:val="NoSpacing"/>
        <w:rPr>
          <w:highlight w:val="darkGray"/>
        </w:rPr>
      </w:pPr>
      <w:r w:rsidRPr="00B9629C">
        <w:rPr>
          <w:highlight w:val="darkGray"/>
        </w:rPr>
        <w:t>See Section 17.4: Pulmonary tuberculosis (TB).</w:t>
      </w:r>
    </w:p>
    <w:p w14:paraId="520194A8" w14:textId="77777777" w:rsidR="00E5138C" w:rsidRPr="00B9629C" w:rsidRDefault="00E5138C" w:rsidP="006B322F">
      <w:pPr>
        <w:pStyle w:val="NoSpacing"/>
        <w:rPr>
          <w:highlight w:val="darkGray"/>
        </w:rPr>
      </w:pPr>
    </w:p>
    <w:p w14:paraId="21B0C9D3" w14:textId="29FA3592" w:rsidR="00E5138C" w:rsidRPr="00B9629C" w:rsidRDefault="00501749" w:rsidP="00F12F3B">
      <w:pPr>
        <w:pStyle w:val="Heading2"/>
        <w:rPr>
          <w:highlight w:val="darkGray"/>
        </w:rPr>
      </w:pPr>
      <w:bookmarkStart w:id="51" w:name="_Toc57132060"/>
      <w:bookmarkStart w:id="52" w:name="_Toc177151109"/>
      <w:r w:rsidRPr="00B9629C">
        <w:rPr>
          <w:highlight w:val="darkGray"/>
        </w:rPr>
        <w:t>HIV and kidney disease</w:t>
      </w:r>
      <w:bookmarkEnd w:id="51"/>
      <w:bookmarkEnd w:id="52"/>
      <w:r w:rsidR="006D4857" w:rsidRPr="00B9629C">
        <w:rPr>
          <w:highlight w:val="darkGray"/>
        </w:rPr>
        <w:fldChar w:fldCharType="begin"/>
      </w:r>
      <w:r w:rsidR="006D4857" w:rsidRPr="00B9629C">
        <w:rPr>
          <w:highlight w:val="darkGray"/>
        </w:rPr>
        <w:instrText xml:space="preserve"> XE "HIV and kidney disease" \f “c”</w:instrText>
      </w:r>
      <w:r w:rsidR="006D4857" w:rsidRPr="00B9629C">
        <w:rPr>
          <w:highlight w:val="darkGray"/>
        </w:rPr>
        <w:fldChar w:fldCharType="end"/>
      </w:r>
      <w:r w:rsidRPr="00B9629C">
        <w:rPr>
          <w:highlight w:val="darkGray"/>
        </w:rPr>
        <w:t xml:space="preserve"> </w:t>
      </w:r>
    </w:p>
    <w:p w14:paraId="163B607F"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N04.9/N05.9/N17.9 + (B24)</w:t>
      </w:r>
    </w:p>
    <w:p w14:paraId="18C0071F" w14:textId="77777777" w:rsidR="00E5138C" w:rsidRPr="00B9629C" w:rsidRDefault="00E5138C" w:rsidP="006B322F">
      <w:pPr>
        <w:pStyle w:val="Heading5"/>
        <w:rPr>
          <w:highlight w:val="darkGray"/>
        </w:rPr>
      </w:pPr>
      <w:r w:rsidRPr="00B9629C">
        <w:rPr>
          <w:highlight w:val="darkGray"/>
        </w:rPr>
        <w:t>DESCRIPTION</w:t>
      </w:r>
    </w:p>
    <w:p w14:paraId="19DDE0BE" w14:textId="779F8C6B" w:rsidR="00E5138C" w:rsidRPr="00B9629C" w:rsidRDefault="00E5138C" w:rsidP="00542FF1">
      <w:pPr>
        <w:pStyle w:val="NoSpacing"/>
        <w:jc w:val="both"/>
        <w:rPr>
          <w:highlight w:val="darkGray"/>
        </w:rPr>
      </w:pPr>
      <w:r w:rsidRPr="00B9629C">
        <w:rPr>
          <w:highlight w:val="darkGray"/>
        </w:rPr>
        <w:t xml:space="preserve">Various forms of kidney disorders are described among </w:t>
      </w:r>
      <w:r w:rsidR="00A73D66" w:rsidRPr="00B9629C">
        <w:rPr>
          <w:highlight w:val="darkGray"/>
        </w:rPr>
        <w:t>PLHIV</w:t>
      </w:r>
      <w:r w:rsidRPr="00B9629C">
        <w:rPr>
          <w:highlight w:val="darkGray"/>
        </w:rPr>
        <w:t>.</w:t>
      </w:r>
    </w:p>
    <w:p w14:paraId="7003A081" w14:textId="072521AC" w:rsidR="00E5138C" w:rsidRPr="00B9629C" w:rsidRDefault="00E5138C" w:rsidP="00542FF1">
      <w:pPr>
        <w:pStyle w:val="NoSpacing"/>
        <w:jc w:val="both"/>
        <w:rPr>
          <w:highlight w:val="darkGray"/>
        </w:rPr>
      </w:pPr>
      <w:r w:rsidRPr="00B9629C">
        <w:rPr>
          <w:highlight w:val="darkGray"/>
        </w:rPr>
        <w:t>Early detection of HIV kidney disease may be beneficial in an attempt to protect the kidney from further disease progression and for adjusting the dose of relevant medicines (See</w:t>
      </w:r>
      <w:r w:rsidR="00992100" w:rsidRPr="00B9629C">
        <w:rPr>
          <w:highlight w:val="darkGray"/>
        </w:rPr>
        <w:t xml:space="preserve"> </w:t>
      </w:r>
      <w:r w:rsidR="00713E8B" w:rsidRPr="00B9629C">
        <w:rPr>
          <w:highlight w:val="darkGray"/>
        </w:rPr>
        <w:t>Table 11.3: Dosing and important adverse effects associated with ART</w:t>
      </w:r>
      <w:r w:rsidRPr="00B9629C">
        <w:rPr>
          <w:highlight w:val="darkGray"/>
        </w:rPr>
        <w:t>).</w:t>
      </w:r>
    </w:p>
    <w:p w14:paraId="563159A4" w14:textId="77777777" w:rsidR="00E5138C" w:rsidRPr="00B9629C" w:rsidRDefault="00E5138C" w:rsidP="00542FF1">
      <w:pPr>
        <w:pStyle w:val="NoSpacing"/>
        <w:jc w:val="both"/>
        <w:rPr>
          <w:highlight w:val="darkGray"/>
        </w:rPr>
      </w:pPr>
      <w:r w:rsidRPr="00B9629C">
        <w:rPr>
          <w:highlight w:val="darkGray"/>
        </w:rPr>
        <w:t>Screen all patients for renal disease at time of HIV diagnosis.</w:t>
      </w:r>
    </w:p>
    <w:p w14:paraId="3E48CE42" w14:textId="77777777" w:rsidR="00E5138C" w:rsidRPr="00B9629C" w:rsidRDefault="00E5138C" w:rsidP="00542FF1">
      <w:pPr>
        <w:pStyle w:val="NoSpacing"/>
        <w:jc w:val="both"/>
        <w:rPr>
          <w:highlight w:val="darkGray"/>
        </w:rPr>
      </w:pPr>
      <w:r w:rsidRPr="00B9629C">
        <w:rPr>
          <w:highlight w:val="darkGray"/>
        </w:rPr>
        <w:t>Patients at high risk or susceptible for HIV renal disease include:</w:t>
      </w:r>
    </w:p>
    <w:p w14:paraId="0A1D801D" w14:textId="39605516" w:rsidR="00E5138C" w:rsidRPr="00B9629C" w:rsidRDefault="00E5138C" w:rsidP="006B322F">
      <w:pPr>
        <w:pStyle w:val="ListParagraph"/>
        <w:rPr>
          <w:highlight w:val="darkGray"/>
        </w:rPr>
      </w:pPr>
      <w:r w:rsidRPr="00B9629C">
        <w:rPr>
          <w:highlight w:val="darkGray"/>
        </w:rPr>
        <w:t xml:space="preserve">CD4 count </w:t>
      </w:r>
      <w:r w:rsidR="00724290" w:rsidRPr="00B9629C">
        <w:rPr>
          <w:highlight w:val="darkGray"/>
        </w:rPr>
        <w:t>&lt;</w:t>
      </w:r>
      <w:r w:rsidRPr="00B9629C">
        <w:rPr>
          <w:highlight w:val="darkGray"/>
        </w:rPr>
        <w:t>200 cells/mm</w:t>
      </w:r>
      <w:r w:rsidRPr="00B9629C">
        <w:rPr>
          <w:highlight w:val="darkGray"/>
          <w:vertAlign w:val="superscript"/>
        </w:rPr>
        <w:t>3</w:t>
      </w:r>
      <w:r w:rsidRPr="00B9629C">
        <w:rPr>
          <w:highlight w:val="darkGray"/>
        </w:rPr>
        <w:t>.</w:t>
      </w:r>
    </w:p>
    <w:p w14:paraId="28C88C9D" w14:textId="77777777" w:rsidR="00E5138C" w:rsidRPr="00B9629C" w:rsidRDefault="00E5138C" w:rsidP="006B322F">
      <w:pPr>
        <w:pStyle w:val="ListParagraph"/>
        <w:rPr>
          <w:highlight w:val="darkGray"/>
        </w:rPr>
      </w:pPr>
      <w:r w:rsidRPr="00B9629C">
        <w:rPr>
          <w:highlight w:val="darkGray"/>
        </w:rPr>
        <w:t>History of nephrotoxic medications.</w:t>
      </w:r>
    </w:p>
    <w:p w14:paraId="30C71FBA" w14:textId="77777777" w:rsidR="00E5138C" w:rsidRPr="00B9629C" w:rsidRDefault="00E5138C" w:rsidP="006B322F">
      <w:pPr>
        <w:pStyle w:val="ListParagraph"/>
        <w:rPr>
          <w:highlight w:val="darkGray"/>
        </w:rPr>
      </w:pPr>
      <w:r w:rsidRPr="00B9629C">
        <w:rPr>
          <w:highlight w:val="darkGray"/>
        </w:rPr>
        <w:t>Comorbidity such as diabetes mellitus, hypertension, or hepatitis C virus co-infection.</w:t>
      </w:r>
    </w:p>
    <w:p w14:paraId="7455D147" w14:textId="77777777" w:rsidR="00E5138C" w:rsidRPr="00B9629C" w:rsidRDefault="00E5138C" w:rsidP="006B322F">
      <w:pPr>
        <w:pStyle w:val="Heading6"/>
        <w:rPr>
          <w:highlight w:val="darkGray"/>
        </w:rPr>
      </w:pPr>
      <w:r w:rsidRPr="00B9629C">
        <w:rPr>
          <w:highlight w:val="darkGray"/>
        </w:rPr>
        <w:lastRenderedPageBreak/>
        <w:t>Screening for renal disease in HIV</w:t>
      </w:r>
    </w:p>
    <w:p w14:paraId="1B4A8D1A" w14:textId="77777777" w:rsidR="00E5138C" w:rsidRPr="00B9629C" w:rsidRDefault="00E5138C" w:rsidP="006B322F">
      <w:pPr>
        <w:pStyle w:val="ListParagraph"/>
        <w:rPr>
          <w:highlight w:val="darkGray"/>
        </w:rPr>
      </w:pPr>
      <w:r w:rsidRPr="00B9629C">
        <w:rPr>
          <w:highlight w:val="darkGray"/>
        </w:rPr>
        <w:t>Tests should include:</w:t>
      </w:r>
    </w:p>
    <w:p w14:paraId="1613DF1C" w14:textId="77777777" w:rsidR="00E5138C" w:rsidRPr="00B9629C" w:rsidRDefault="00E5138C" w:rsidP="009750A0">
      <w:pPr>
        <w:pStyle w:val="ListParagraph"/>
        <w:numPr>
          <w:ilvl w:val="1"/>
          <w:numId w:val="5"/>
        </w:numPr>
        <w:rPr>
          <w:highlight w:val="darkGray"/>
        </w:rPr>
      </w:pPr>
      <w:r w:rsidRPr="00B9629C">
        <w:rPr>
          <w:highlight w:val="darkGray"/>
        </w:rPr>
        <w:t>Urine dipstix for haematuria and proteinuria.</w:t>
      </w:r>
    </w:p>
    <w:p w14:paraId="136305A6" w14:textId="77777777" w:rsidR="00E5138C" w:rsidRPr="00B9629C" w:rsidRDefault="00E5138C" w:rsidP="009750A0">
      <w:pPr>
        <w:pStyle w:val="ListParagraph"/>
        <w:numPr>
          <w:ilvl w:val="1"/>
          <w:numId w:val="5"/>
        </w:numPr>
        <w:rPr>
          <w:highlight w:val="darkGray"/>
        </w:rPr>
      </w:pPr>
      <w:r w:rsidRPr="00B9629C">
        <w:rPr>
          <w:highlight w:val="darkGray"/>
        </w:rPr>
        <w:t>Serum creatinine and eGFR.</w:t>
      </w:r>
    </w:p>
    <w:p w14:paraId="58DC67ED" w14:textId="3EDAD3B1" w:rsidR="00E5138C" w:rsidRPr="00B9629C" w:rsidRDefault="00E5138C" w:rsidP="006B322F">
      <w:pPr>
        <w:pStyle w:val="ListParagraph"/>
        <w:rPr>
          <w:highlight w:val="darkGray"/>
        </w:rPr>
      </w:pPr>
      <w:r w:rsidRPr="00B9629C">
        <w:rPr>
          <w:highlight w:val="darkGray"/>
        </w:rPr>
        <w:t xml:space="preserve">If there is no evidence of kidney disease at the initial evaluation, </w:t>
      </w:r>
      <w:r w:rsidR="003D66A0" w:rsidRPr="00B9629C">
        <w:rPr>
          <w:highlight w:val="darkGray"/>
        </w:rPr>
        <w:t xml:space="preserve">repeat </w:t>
      </w:r>
      <w:r w:rsidRPr="00B9629C">
        <w:rPr>
          <w:highlight w:val="darkGray"/>
        </w:rPr>
        <w:t xml:space="preserve">screening </w:t>
      </w:r>
      <w:r w:rsidR="003D66A0" w:rsidRPr="00B9629C">
        <w:rPr>
          <w:highlight w:val="darkGray"/>
        </w:rPr>
        <w:t xml:space="preserve"> </w:t>
      </w:r>
      <w:r w:rsidRPr="00B9629C">
        <w:rPr>
          <w:highlight w:val="darkGray"/>
        </w:rPr>
        <w:t xml:space="preserve">annually. </w:t>
      </w:r>
    </w:p>
    <w:p w14:paraId="1A8BD8E6" w14:textId="1A2E5CE7" w:rsidR="00E5138C" w:rsidRPr="00B9629C" w:rsidRDefault="000E7F88" w:rsidP="006B322F">
      <w:pPr>
        <w:pStyle w:val="ListParagraph"/>
        <w:rPr>
          <w:highlight w:val="darkGray"/>
        </w:rPr>
      </w:pPr>
      <w:r w:rsidRPr="00B9629C">
        <w:rPr>
          <w:highlight w:val="darkGray"/>
        </w:rPr>
        <w:t xml:space="preserve">In </w:t>
      </w:r>
      <w:r w:rsidR="005522BF" w:rsidRPr="00B9629C">
        <w:rPr>
          <w:highlight w:val="darkGray"/>
        </w:rPr>
        <w:t>patients receiving tenofovir</w:t>
      </w:r>
      <w:r w:rsidRPr="00B9629C">
        <w:rPr>
          <w:highlight w:val="darkGray"/>
        </w:rPr>
        <w:t>,</w:t>
      </w:r>
      <w:r w:rsidR="005522BF" w:rsidRPr="00B9629C">
        <w:rPr>
          <w:highlight w:val="darkGray"/>
        </w:rPr>
        <w:t xml:space="preserve"> </w:t>
      </w:r>
      <w:r w:rsidRPr="00B9629C">
        <w:rPr>
          <w:highlight w:val="darkGray"/>
        </w:rPr>
        <w:t>m</w:t>
      </w:r>
      <w:r w:rsidR="00E5138C" w:rsidRPr="00B9629C">
        <w:rPr>
          <w:highlight w:val="darkGray"/>
        </w:rPr>
        <w:t>onitor creatinine</w:t>
      </w:r>
      <w:r w:rsidR="00827B68" w:rsidRPr="00B9629C">
        <w:rPr>
          <w:highlight w:val="darkGray"/>
        </w:rPr>
        <w:t>/eGFR</w:t>
      </w:r>
      <w:r w:rsidR="00E5138C" w:rsidRPr="00B9629C">
        <w:rPr>
          <w:highlight w:val="darkGray"/>
        </w:rPr>
        <w:t xml:space="preserve"> </w:t>
      </w:r>
      <w:r w:rsidR="008A6DA4" w:rsidRPr="00B9629C">
        <w:rPr>
          <w:highlight w:val="darkGray"/>
        </w:rPr>
        <w:t>at month 3, month 10, and every 12 months thereafter. Align with VL monitoring schedule</w:t>
      </w:r>
      <w:r w:rsidR="00E5138C" w:rsidRPr="00B9629C">
        <w:rPr>
          <w:highlight w:val="darkGray"/>
        </w:rPr>
        <w:t>.</w:t>
      </w:r>
    </w:p>
    <w:p w14:paraId="3C949C06" w14:textId="77777777" w:rsidR="00E5138C" w:rsidRPr="00B9629C" w:rsidRDefault="00E5138C" w:rsidP="00D629AF">
      <w:pPr>
        <w:pStyle w:val="Heading5"/>
        <w:rPr>
          <w:highlight w:val="darkGray"/>
        </w:rPr>
      </w:pPr>
      <w:r w:rsidRPr="00B9629C">
        <w:rPr>
          <w:highlight w:val="darkGray"/>
        </w:rPr>
        <w:t>REFERRAL</w:t>
      </w:r>
    </w:p>
    <w:p w14:paraId="2C32637B" w14:textId="77777777" w:rsidR="00E5138C" w:rsidRPr="00B9629C" w:rsidRDefault="00E5138C" w:rsidP="00D629AF">
      <w:pPr>
        <w:pStyle w:val="ListParagraph"/>
        <w:rPr>
          <w:highlight w:val="darkGray"/>
        </w:rPr>
      </w:pPr>
      <w:r w:rsidRPr="00B9629C">
        <w:rPr>
          <w:highlight w:val="darkGray"/>
        </w:rPr>
        <w:t>Patients with persistent significant proteinuria (1+ or more).</w:t>
      </w:r>
    </w:p>
    <w:p w14:paraId="241F333D" w14:textId="1A319803" w:rsidR="00E5138C" w:rsidRPr="00B9629C" w:rsidRDefault="00E5138C" w:rsidP="00D629AF">
      <w:pPr>
        <w:pStyle w:val="ListParagraph"/>
        <w:rPr>
          <w:highlight w:val="darkGray"/>
        </w:rPr>
      </w:pPr>
      <w:r w:rsidRPr="00B9629C">
        <w:rPr>
          <w:highlight w:val="darkGray"/>
        </w:rPr>
        <w:t>Unexplained haematuria on 2 consecutive visits</w:t>
      </w:r>
      <w:r w:rsidR="00985A1C" w:rsidRPr="00B9629C">
        <w:rPr>
          <w:highlight w:val="darkGray"/>
        </w:rPr>
        <w:t>.</w:t>
      </w:r>
    </w:p>
    <w:p w14:paraId="4F886941" w14:textId="3FAD01E3" w:rsidR="00F869C6" w:rsidRPr="00B9629C" w:rsidRDefault="00E5138C" w:rsidP="00F869C6">
      <w:pPr>
        <w:pStyle w:val="ListParagraph"/>
        <w:rPr>
          <w:highlight w:val="darkGray"/>
        </w:rPr>
      </w:pPr>
      <w:r w:rsidRPr="00B9629C">
        <w:rPr>
          <w:highlight w:val="darkGray"/>
        </w:rPr>
        <w:t xml:space="preserve">Estimated </w:t>
      </w:r>
      <w:r w:rsidR="00855FD4" w:rsidRPr="00B9629C">
        <w:rPr>
          <w:highlight w:val="darkGray"/>
        </w:rPr>
        <w:t>eGFR</w:t>
      </w:r>
      <w:r w:rsidRPr="00B9629C">
        <w:rPr>
          <w:highlight w:val="darkGray"/>
        </w:rPr>
        <w:t xml:space="preserve"> </w:t>
      </w:r>
      <w:r w:rsidR="00724290" w:rsidRPr="00B9629C">
        <w:rPr>
          <w:highlight w:val="darkGray"/>
        </w:rPr>
        <w:t>&lt;</w:t>
      </w:r>
      <w:r w:rsidRPr="00B9629C">
        <w:rPr>
          <w:highlight w:val="darkGray"/>
        </w:rPr>
        <w:t>60 mL/min.</w:t>
      </w:r>
      <w:bookmarkStart w:id="53" w:name="_Toc57132061"/>
    </w:p>
    <w:p w14:paraId="4F111522" w14:textId="77777777" w:rsidR="00F869C6" w:rsidRPr="00B9629C" w:rsidRDefault="00F869C6" w:rsidP="00F869C6">
      <w:pPr>
        <w:pStyle w:val="ListParagraph"/>
        <w:numPr>
          <w:ilvl w:val="0"/>
          <w:numId w:val="0"/>
        </w:numPr>
        <w:ind w:left="360"/>
        <w:rPr>
          <w:highlight w:val="darkGray"/>
        </w:rPr>
      </w:pPr>
    </w:p>
    <w:p w14:paraId="05D2E2E0" w14:textId="3F3AD52E" w:rsidR="00E5138C" w:rsidRPr="00B9629C" w:rsidRDefault="00E97C50" w:rsidP="002E7F99">
      <w:pPr>
        <w:pStyle w:val="Heading1A"/>
        <w:rPr>
          <w:highlight w:val="darkGray"/>
        </w:rPr>
      </w:pPr>
      <w:bookmarkStart w:id="54" w:name="_Toc177151110"/>
      <w:r w:rsidRPr="00B9629C">
        <w:rPr>
          <w:highlight w:val="darkGray"/>
        </w:rPr>
        <w:lastRenderedPageBreak/>
        <w:t>HIV infection in children</w:t>
      </w:r>
      <w:bookmarkEnd w:id="53"/>
      <w:r w:rsidR="00E839CE" w:rsidRPr="00B9629C">
        <w:rPr>
          <w:highlight w:val="darkGray"/>
        </w:rPr>
        <w:t xml:space="preserve"> (&lt;10 years old)</w:t>
      </w:r>
      <w:bookmarkEnd w:id="54"/>
      <w:r w:rsidR="006D4857" w:rsidRPr="00B9629C">
        <w:rPr>
          <w:highlight w:val="darkGray"/>
        </w:rPr>
        <w:fldChar w:fldCharType="begin"/>
      </w:r>
      <w:r w:rsidR="006D4857" w:rsidRPr="00B9629C">
        <w:rPr>
          <w:highlight w:val="darkGray"/>
        </w:rPr>
        <w:instrText xml:space="preserve"> XE "HIV infection in children" \f “c”</w:instrText>
      </w:r>
      <w:r w:rsidR="006D4857" w:rsidRPr="00B9629C">
        <w:rPr>
          <w:highlight w:val="darkGray"/>
        </w:rPr>
        <w:fldChar w:fldCharType="end"/>
      </w:r>
    </w:p>
    <w:p w14:paraId="3AA9E10F" w14:textId="77777777" w:rsidR="00E5138C" w:rsidRPr="00B9629C" w:rsidRDefault="00E5138C" w:rsidP="009C0B88">
      <w:pPr>
        <w:pStyle w:val="Heading5"/>
        <w:rPr>
          <w:highlight w:val="darkGray"/>
        </w:rPr>
      </w:pPr>
      <w:r w:rsidRPr="00B9629C">
        <w:rPr>
          <w:highlight w:val="darkGray"/>
        </w:rPr>
        <w:t>DESCRIPTION</w:t>
      </w:r>
    </w:p>
    <w:p w14:paraId="222BC282" w14:textId="77777777" w:rsidR="00E5138C" w:rsidRPr="00B9629C" w:rsidRDefault="00E5138C" w:rsidP="004B018F">
      <w:pPr>
        <w:jc w:val="both"/>
        <w:rPr>
          <w:highlight w:val="darkGray"/>
        </w:rPr>
      </w:pPr>
      <w:r w:rsidRPr="00B9629C">
        <w:rPr>
          <w:highlight w:val="darkGray"/>
        </w:rPr>
        <w:t>HIV is a retrovirus affecting immune cells, especially CD4 T-lymphocytes. In advanced HIV disease the body loses its ability to fight infections and this is characterised by organ damage, opportunistic infections, malignancies and very low CD4 counts.</w:t>
      </w:r>
    </w:p>
    <w:p w14:paraId="70BD8583" w14:textId="20B892D0" w:rsidR="00E5138C" w:rsidRPr="00B9629C" w:rsidRDefault="00E5138C" w:rsidP="004B018F">
      <w:pPr>
        <w:jc w:val="both"/>
        <w:rPr>
          <w:highlight w:val="darkGray"/>
        </w:rPr>
      </w:pPr>
      <w:r w:rsidRPr="00B9629C">
        <w:rPr>
          <w:highlight w:val="darkGray"/>
        </w:rPr>
        <w:t>In infants and children, most infection is transmitted from mother to child.</w:t>
      </w:r>
      <w:r w:rsidR="009C0B88" w:rsidRPr="00B9629C">
        <w:rPr>
          <w:highlight w:val="darkGray"/>
        </w:rPr>
        <w:br/>
      </w:r>
      <w:r w:rsidRPr="00B9629C">
        <w:rPr>
          <w:highlight w:val="darkGray"/>
        </w:rPr>
        <w:t>In adolescents and adults sexual spread is the usual cause.</w:t>
      </w:r>
    </w:p>
    <w:p w14:paraId="7826B049" w14:textId="77777777" w:rsidR="00E5138C" w:rsidRPr="00B9629C" w:rsidRDefault="00E5138C" w:rsidP="004B018F">
      <w:pPr>
        <w:jc w:val="both"/>
        <w:rPr>
          <w:highlight w:val="darkGray"/>
        </w:rPr>
      </w:pPr>
      <w:r w:rsidRPr="00B9629C">
        <w:rPr>
          <w:highlight w:val="darkGray"/>
        </w:rPr>
        <w:t>Infants born of HIV-infected mothers may be:</w:t>
      </w:r>
    </w:p>
    <w:p w14:paraId="7F45CC90" w14:textId="77777777" w:rsidR="00E5138C" w:rsidRPr="00B9629C" w:rsidRDefault="00E5138C" w:rsidP="004B018F">
      <w:pPr>
        <w:pStyle w:val="ListParagraph"/>
        <w:jc w:val="both"/>
        <w:rPr>
          <w:highlight w:val="darkGray"/>
        </w:rPr>
      </w:pPr>
      <w:r w:rsidRPr="00B9629C">
        <w:rPr>
          <w:highlight w:val="darkGray"/>
        </w:rPr>
        <w:t xml:space="preserve">HIV-infected, </w:t>
      </w:r>
    </w:p>
    <w:p w14:paraId="33C5ADD2" w14:textId="77777777" w:rsidR="00E5138C" w:rsidRPr="00B9629C" w:rsidRDefault="00E5138C" w:rsidP="004B018F">
      <w:pPr>
        <w:pStyle w:val="ListParagraph"/>
        <w:jc w:val="both"/>
        <w:rPr>
          <w:highlight w:val="darkGray"/>
        </w:rPr>
      </w:pPr>
      <w:r w:rsidRPr="00B9629C">
        <w:rPr>
          <w:highlight w:val="darkGray"/>
        </w:rPr>
        <w:t>HIV-exposed uninfected, or</w:t>
      </w:r>
    </w:p>
    <w:p w14:paraId="41AA0E5B" w14:textId="77777777" w:rsidR="00E5138C" w:rsidRPr="00B9629C" w:rsidRDefault="00E5138C" w:rsidP="004B018F">
      <w:pPr>
        <w:pStyle w:val="ListParagraph"/>
        <w:jc w:val="both"/>
        <w:rPr>
          <w:highlight w:val="darkGray"/>
        </w:rPr>
      </w:pPr>
      <w:r w:rsidRPr="00B9629C">
        <w:rPr>
          <w:highlight w:val="darkGray"/>
        </w:rPr>
        <w:t>HIV-exposed, unknown infection status (at risk of becoming HIV-infected).</w:t>
      </w:r>
    </w:p>
    <w:p w14:paraId="6D80D327" w14:textId="41B4E4FC" w:rsidR="00E5138C" w:rsidRPr="00B9629C" w:rsidRDefault="00E5138C" w:rsidP="004B018F">
      <w:pPr>
        <w:pStyle w:val="Heading7"/>
        <w:jc w:val="both"/>
        <w:rPr>
          <w:highlight w:val="darkGray"/>
        </w:rPr>
      </w:pPr>
      <w:r w:rsidRPr="00B9629C">
        <w:rPr>
          <w:highlight w:val="darkGray"/>
        </w:rPr>
        <w:t>For the purpose of the ART guidelines:</w:t>
      </w:r>
    </w:p>
    <w:p w14:paraId="023183A5" w14:textId="77777777" w:rsidR="00E5138C" w:rsidRPr="00B9629C" w:rsidRDefault="00E5138C" w:rsidP="004B018F">
      <w:pPr>
        <w:pStyle w:val="ListParagraph"/>
        <w:jc w:val="both"/>
        <w:rPr>
          <w:highlight w:val="darkGray"/>
        </w:rPr>
      </w:pPr>
      <w:r w:rsidRPr="00B9629C">
        <w:rPr>
          <w:highlight w:val="darkGray"/>
        </w:rPr>
        <w:t>Children &lt;10 years of age: follow the paediatric antiretroviral therapy (ART) guidelines.</w:t>
      </w:r>
    </w:p>
    <w:tbl>
      <w:tblPr>
        <w:tblpPr w:leftFromText="180" w:rightFromText="180" w:vertAnchor="text" w:horzAnchor="margin" w:tblpXSpec="right" w:tblpY="7"/>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9A34C1" w:rsidRPr="00B9629C" w14:paraId="3E7CBE62" w14:textId="77777777" w:rsidTr="009A34C1">
        <w:tc>
          <w:tcPr>
            <w:tcW w:w="907" w:type="dxa"/>
            <w:shd w:val="clear" w:color="auto" w:fill="auto"/>
          </w:tcPr>
          <w:p w14:paraId="77276C90" w14:textId="1E9A8AA0" w:rsidR="009A34C1" w:rsidRPr="00B9629C" w:rsidRDefault="009A34C1" w:rsidP="009A34C1">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1A3AE4" w:rsidRPr="00B9629C">
              <w:rPr>
                <w:sz w:val="14"/>
                <w:szCs w:val="14"/>
                <w:highlight w:val="darkGray"/>
              </w:rPr>
              <w:t>b</w:t>
            </w:r>
            <w:r w:rsidRPr="00B9629C">
              <w:rPr>
                <w:rStyle w:val="EndnoteReference"/>
                <w:sz w:val="14"/>
                <w:szCs w:val="14"/>
                <w:highlight w:val="darkGray"/>
              </w:rPr>
              <w:endnoteReference w:id="45"/>
            </w:r>
          </w:p>
        </w:tc>
      </w:tr>
    </w:tbl>
    <w:p w14:paraId="409409D0" w14:textId="6B2E3395" w:rsidR="00E5138C" w:rsidRPr="00B9629C" w:rsidRDefault="00E5138C" w:rsidP="009A34C1">
      <w:pPr>
        <w:pStyle w:val="ListParagraph"/>
        <w:rPr>
          <w:highlight w:val="darkGray"/>
        </w:rPr>
      </w:pPr>
      <w:r w:rsidRPr="00B9629C">
        <w:rPr>
          <w:highlight w:val="darkGray"/>
        </w:rPr>
        <w:t>Adolescents (10</w:t>
      </w:r>
      <w:r w:rsidR="00985A1C" w:rsidRPr="00B9629C">
        <w:rPr>
          <w:highlight w:val="darkGray"/>
        </w:rPr>
        <w:t xml:space="preserve"> to </w:t>
      </w:r>
      <w:r w:rsidRPr="00B9629C">
        <w:rPr>
          <w:highlight w:val="darkGray"/>
        </w:rPr>
        <w:t>19 years of age): follow the adult ART guidelines.</w:t>
      </w:r>
    </w:p>
    <w:p w14:paraId="4D80860E" w14:textId="77777777" w:rsidR="00E5138C" w:rsidRPr="00B9629C" w:rsidRDefault="00E5138C" w:rsidP="009C0B88">
      <w:pPr>
        <w:pStyle w:val="Heading5"/>
        <w:rPr>
          <w:highlight w:val="darkGray"/>
        </w:rPr>
      </w:pPr>
      <w:r w:rsidRPr="00B9629C">
        <w:rPr>
          <w:highlight w:val="darkGray"/>
        </w:rPr>
        <w:t>DIAGNOSIS IN CHILDREN</w:t>
      </w:r>
    </w:p>
    <w:p w14:paraId="56A39F93" w14:textId="77777777" w:rsidR="00E5138C" w:rsidRPr="00B9629C" w:rsidRDefault="00E5138C" w:rsidP="00E5138C">
      <w:pPr>
        <w:pStyle w:val="NoSpacing"/>
        <w:rPr>
          <w:highlight w:val="darkGray"/>
        </w:rPr>
      </w:pPr>
      <w:r w:rsidRPr="00B9629C">
        <w:rPr>
          <w:highlight w:val="darkGray"/>
        </w:rPr>
        <w:t>Testing must be done with counselling of parent/legal guardian/primary caregiver and, where appropriate, the child. The appropriate consent/assent should be obtained.</w:t>
      </w:r>
    </w:p>
    <w:p w14:paraId="1AFC6DED" w14:textId="6C8050BC" w:rsidR="00E5138C" w:rsidRPr="00B9629C" w:rsidRDefault="006B03F4" w:rsidP="009C0B88">
      <w:pPr>
        <w:pStyle w:val="Heading5"/>
        <w:rPr>
          <w:highlight w:val="darkGray"/>
        </w:rPr>
      </w:pPr>
      <w:r w:rsidRPr="00B9629C">
        <w:rPr>
          <w:highlight w:val="darkGray"/>
        </w:rPr>
        <w:t>HIV</w:t>
      </w:r>
      <w:r w:rsidR="00E5138C" w:rsidRPr="00B9629C">
        <w:rPr>
          <w:highlight w:val="darkGray"/>
        </w:rPr>
        <w:t xml:space="preserve"> TEST</w:t>
      </w:r>
      <w:r w:rsidRPr="00B9629C">
        <w:rPr>
          <w:highlight w:val="darkGray"/>
        </w:rPr>
        <w:t>ing</w:t>
      </w:r>
      <w:r w:rsidR="00E5138C" w:rsidRPr="00B9629C">
        <w:rPr>
          <w:highlight w:val="darkGray"/>
        </w:rPr>
        <w:t xml:space="preserve"> IN CHILDREN</w:t>
      </w:r>
    </w:p>
    <w:tbl>
      <w:tblPr>
        <w:tblStyle w:val="TableGrid"/>
        <w:tblW w:w="0" w:type="auto"/>
        <w:tblLook w:val="04A0" w:firstRow="1" w:lastRow="0" w:firstColumn="1" w:lastColumn="0" w:noHBand="0" w:noVBand="1"/>
      </w:tblPr>
      <w:tblGrid>
        <w:gridCol w:w="2335"/>
        <w:gridCol w:w="1530"/>
        <w:gridCol w:w="2610"/>
      </w:tblGrid>
      <w:tr w:rsidR="00F83CB1" w:rsidRPr="00B9629C" w14:paraId="77EDC085" w14:textId="77777777" w:rsidTr="00014361">
        <w:tc>
          <w:tcPr>
            <w:tcW w:w="2335" w:type="dxa"/>
          </w:tcPr>
          <w:p w14:paraId="28EFF25A" w14:textId="240EA299" w:rsidR="00F83CB1" w:rsidRPr="00B9629C" w:rsidRDefault="00F83CB1" w:rsidP="00840AAC">
            <w:pPr>
              <w:spacing w:before="0" w:after="0"/>
              <w:rPr>
                <w:b/>
                <w:highlight w:val="darkGray"/>
              </w:rPr>
            </w:pPr>
            <w:bookmarkStart w:id="55" w:name="_Hlk50786028"/>
            <w:r w:rsidRPr="00B9629C">
              <w:rPr>
                <w:b/>
                <w:highlight w:val="darkGray"/>
              </w:rPr>
              <w:t>Age</w:t>
            </w:r>
          </w:p>
        </w:tc>
        <w:tc>
          <w:tcPr>
            <w:tcW w:w="1530" w:type="dxa"/>
          </w:tcPr>
          <w:p w14:paraId="183126C3" w14:textId="215C04A0" w:rsidR="00F83CB1" w:rsidRPr="00B9629C" w:rsidRDefault="00F83CB1" w:rsidP="00840AAC">
            <w:pPr>
              <w:spacing w:before="0" w:after="0"/>
              <w:rPr>
                <w:b/>
                <w:highlight w:val="darkGray"/>
              </w:rPr>
            </w:pPr>
            <w:r w:rsidRPr="00B9629C">
              <w:rPr>
                <w:b/>
                <w:highlight w:val="darkGray"/>
              </w:rPr>
              <w:t>Test</w:t>
            </w:r>
          </w:p>
        </w:tc>
        <w:tc>
          <w:tcPr>
            <w:tcW w:w="2610" w:type="dxa"/>
          </w:tcPr>
          <w:p w14:paraId="30A8C5EE" w14:textId="488B664B" w:rsidR="00F83CB1" w:rsidRPr="00B9629C" w:rsidRDefault="00F83CB1" w:rsidP="00840AAC">
            <w:pPr>
              <w:spacing w:before="0" w:after="0"/>
              <w:rPr>
                <w:b/>
                <w:highlight w:val="darkGray"/>
              </w:rPr>
            </w:pPr>
            <w:r w:rsidRPr="00B9629C">
              <w:rPr>
                <w:b/>
                <w:highlight w:val="darkGray"/>
              </w:rPr>
              <w:t>Note</w:t>
            </w:r>
          </w:p>
        </w:tc>
      </w:tr>
      <w:tr w:rsidR="00DD2617" w:rsidRPr="00B9629C" w14:paraId="6ED6E239" w14:textId="77777777" w:rsidTr="00014361">
        <w:tc>
          <w:tcPr>
            <w:tcW w:w="6475" w:type="dxa"/>
            <w:gridSpan w:val="3"/>
          </w:tcPr>
          <w:p w14:paraId="5C5F506F" w14:textId="6F805712" w:rsidR="00DD2617" w:rsidRPr="00B9629C" w:rsidRDefault="00DD2617" w:rsidP="00840AAC">
            <w:pPr>
              <w:spacing w:before="0" w:after="0"/>
              <w:jc w:val="center"/>
              <w:rPr>
                <w:highlight w:val="darkGray"/>
              </w:rPr>
            </w:pPr>
            <w:r w:rsidRPr="00B9629C">
              <w:rPr>
                <w:b/>
                <w:bCs/>
                <w:highlight w:val="darkGray"/>
              </w:rPr>
              <w:t>HIV-exposed</w:t>
            </w:r>
          </w:p>
        </w:tc>
      </w:tr>
      <w:tr w:rsidR="00F83CB1" w:rsidRPr="00B9629C" w14:paraId="1D3359B0" w14:textId="77777777" w:rsidTr="00014361">
        <w:tc>
          <w:tcPr>
            <w:tcW w:w="2335" w:type="dxa"/>
          </w:tcPr>
          <w:p w14:paraId="44B1939A" w14:textId="56CD84D9" w:rsidR="00F83CB1" w:rsidRPr="00B9629C" w:rsidRDefault="00F83CB1" w:rsidP="00840AAC">
            <w:pPr>
              <w:spacing w:before="0" w:after="0"/>
              <w:rPr>
                <w:highlight w:val="darkGray"/>
              </w:rPr>
            </w:pPr>
            <w:r w:rsidRPr="00B9629C">
              <w:rPr>
                <w:highlight w:val="darkGray"/>
              </w:rPr>
              <w:t>Birth</w:t>
            </w:r>
          </w:p>
        </w:tc>
        <w:tc>
          <w:tcPr>
            <w:tcW w:w="1530" w:type="dxa"/>
          </w:tcPr>
          <w:p w14:paraId="6B784E30" w14:textId="4F3F9AFD" w:rsidR="00F83CB1" w:rsidRPr="00B9629C" w:rsidRDefault="00F83CB1" w:rsidP="00840AAC">
            <w:pPr>
              <w:spacing w:before="0" w:after="0"/>
              <w:rPr>
                <w:highlight w:val="darkGray"/>
              </w:rPr>
            </w:pPr>
            <w:r w:rsidRPr="00B9629C">
              <w:rPr>
                <w:highlight w:val="darkGray"/>
              </w:rPr>
              <w:t>HIV PCR</w:t>
            </w:r>
          </w:p>
        </w:tc>
        <w:tc>
          <w:tcPr>
            <w:tcW w:w="2610" w:type="dxa"/>
            <w:vMerge w:val="restart"/>
          </w:tcPr>
          <w:p w14:paraId="015C8014" w14:textId="46346993" w:rsidR="00F83CB1" w:rsidRPr="00B9629C" w:rsidRDefault="00F83CB1" w:rsidP="00840AAC">
            <w:pPr>
              <w:spacing w:before="0" w:after="0"/>
              <w:rPr>
                <w:highlight w:val="darkGray"/>
              </w:rPr>
            </w:pPr>
            <w:r w:rsidRPr="00B9629C">
              <w:rPr>
                <w:highlight w:val="darkGray"/>
              </w:rPr>
              <w:t>If the HIV PCR is positive at any time, confirm with a second HIV PCR</w:t>
            </w:r>
            <w:r w:rsidR="00985A1C" w:rsidRPr="00B9629C">
              <w:rPr>
                <w:highlight w:val="darkGray"/>
              </w:rPr>
              <w:t>.</w:t>
            </w:r>
          </w:p>
        </w:tc>
      </w:tr>
      <w:tr w:rsidR="00F83CB1" w:rsidRPr="00B9629C" w14:paraId="73547F15" w14:textId="77777777" w:rsidTr="00014361">
        <w:tc>
          <w:tcPr>
            <w:tcW w:w="2335" w:type="dxa"/>
          </w:tcPr>
          <w:p w14:paraId="560468C9" w14:textId="74FFFB05" w:rsidR="00F83CB1" w:rsidRPr="00B9629C" w:rsidRDefault="00F83CB1" w:rsidP="00840AAC">
            <w:pPr>
              <w:spacing w:before="0" w:after="0"/>
              <w:rPr>
                <w:highlight w:val="darkGray"/>
              </w:rPr>
            </w:pPr>
            <w:r w:rsidRPr="00B9629C">
              <w:rPr>
                <w:highlight w:val="darkGray"/>
              </w:rPr>
              <w:t>10 weeks</w:t>
            </w:r>
          </w:p>
        </w:tc>
        <w:tc>
          <w:tcPr>
            <w:tcW w:w="1530" w:type="dxa"/>
          </w:tcPr>
          <w:p w14:paraId="0234DB8A" w14:textId="1313169B" w:rsidR="00F83CB1" w:rsidRPr="00B9629C" w:rsidRDefault="00F83CB1" w:rsidP="00840AAC">
            <w:pPr>
              <w:spacing w:before="0" w:after="0"/>
              <w:rPr>
                <w:highlight w:val="darkGray"/>
              </w:rPr>
            </w:pPr>
            <w:r w:rsidRPr="00B9629C">
              <w:rPr>
                <w:highlight w:val="darkGray"/>
              </w:rPr>
              <w:t>HIV PCR</w:t>
            </w:r>
          </w:p>
        </w:tc>
        <w:tc>
          <w:tcPr>
            <w:tcW w:w="2610" w:type="dxa"/>
            <w:vMerge/>
          </w:tcPr>
          <w:p w14:paraId="40D6DB8E" w14:textId="77777777" w:rsidR="00F83CB1" w:rsidRPr="00B9629C" w:rsidRDefault="00F83CB1" w:rsidP="00840AAC">
            <w:pPr>
              <w:spacing w:before="0" w:after="0"/>
              <w:rPr>
                <w:highlight w:val="darkGray"/>
              </w:rPr>
            </w:pPr>
          </w:p>
        </w:tc>
      </w:tr>
      <w:tr w:rsidR="00F83CB1" w:rsidRPr="00B9629C" w14:paraId="1AA70C46" w14:textId="77777777" w:rsidTr="00014361">
        <w:tc>
          <w:tcPr>
            <w:tcW w:w="2335" w:type="dxa"/>
          </w:tcPr>
          <w:p w14:paraId="36C9762E" w14:textId="77950EFA" w:rsidR="00F83CB1" w:rsidRPr="00B9629C" w:rsidRDefault="00F83CB1" w:rsidP="00840AAC">
            <w:pPr>
              <w:spacing w:before="0" w:after="0"/>
              <w:rPr>
                <w:highlight w:val="darkGray"/>
              </w:rPr>
            </w:pPr>
            <w:r w:rsidRPr="00B9629C">
              <w:rPr>
                <w:highlight w:val="darkGray"/>
              </w:rPr>
              <w:t>6 months</w:t>
            </w:r>
          </w:p>
        </w:tc>
        <w:tc>
          <w:tcPr>
            <w:tcW w:w="1530" w:type="dxa"/>
          </w:tcPr>
          <w:p w14:paraId="69C79A4D" w14:textId="799DBF35" w:rsidR="00F83CB1" w:rsidRPr="00B9629C" w:rsidRDefault="00F83CB1" w:rsidP="00840AAC">
            <w:pPr>
              <w:spacing w:before="0" w:after="0"/>
              <w:rPr>
                <w:highlight w:val="darkGray"/>
              </w:rPr>
            </w:pPr>
            <w:r w:rsidRPr="00B9629C">
              <w:rPr>
                <w:highlight w:val="darkGray"/>
              </w:rPr>
              <w:t>HIV PCR</w:t>
            </w:r>
          </w:p>
        </w:tc>
        <w:tc>
          <w:tcPr>
            <w:tcW w:w="2610" w:type="dxa"/>
            <w:vMerge/>
          </w:tcPr>
          <w:p w14:paraId="297762C7" w14:textId="77777777" w:rsidR="00F83CB1" w:rsidRPr="00B9629C" w:rsidRDefault="00F83CB1" w:rsidP="00840AAC">
            <w:pPr>
              <w:spacing w:before="0" w:after="0"/>
              <w:rPr>
                <w:highlight w:val="darkGray"/>
              </w:rPr>
            </w:pPr>
          </w:p>
        </w:tc>
      </w:tr>
      <w:tr w:rsidR="00F83CB1" w:rsidRPr="00B9629C" w14:paraId="05CD432B" w14:textId="77777777" w:rsidTr="00014361">
        <w:tc>
          <w:tcPr>
            <w:tcW w:w="2335" w:type="dxa"/>
          </w:tcPr>
          <w:p w14:paraId="158E9BBF" w14:textId="24B99A9D" w:rsidR="00F83CB1" w:rsidRPr="00B9629C" w:rsidRDefault="00F83CB1" w:rsidP="00840AAC">
            <w:pPr>
              <w:spacing w:before="0" w:after="0"/>
              <w:rPr>
                <w:highlight w:val="darkGray"/>
              </w:rPr>
            </w:pPr>
            <w:r w:rsidRPr="00B9629C">
              <w:rPr>
                <w:highlight w:val="darkGray"/>
              </w:rPr>
              <w:t>6 weeks post-cessation of breastfeeding</w:t>
            </w:r>
          </w:p>
        </w:tc>
        <w:tc>
          <w:tcPr>
            <w:tcW w:w="1530" w:type="dxa"/>
          </w:tcPr>
          <w:p w14:paraId="7D97BD26" w14:textId="3EE434D9" w:rsidR="000427DB" w:rsidRPr="00B9629C" w:rsidRDefault="000427DB" w:rsidP="00840AAC">
            <w:pPr>
              <w:spacing w:before="0" w:after="0"/>
              <w:rPr>
                <w:highlight w:val="darkGray"/>
              </w:rPr>
            </w:pPr>
            <w:r w:rsidRPr="00B9629C">
              <w:rPr>
                <w:highlight w:val="darkGray"/>
              </w:rPr>
              <w:t>Age appropriate testing:</w:t>
            </w:r>
          </w:p>
          <w:p w14:paraId="26700D47" w14:textId="6BAA414B" w:rsidR="00DD2617" w:rsidRPr="00B9629C" w:rsidRDefault="00DD2617" w:rsidP="00840AAC">
            <w:pPr>
              <w:spacing w:before="0" w:after="0"/>
              <w:rPr>
                <w:highlight w:val="darkGray"/>
              </w:rPr>
            </w:pPr>
            <w:r w:rsidRPr="00B9629C">
              <w:rPr>
                <w:highlight w:val="darkGray"/>
              </w:rPr>
              <w:t>&lt;18 months: HIV PCR</w:t>
            </w:r>
          </w:p>
          <w:p w14:paraId="1AF99859" w14:textId="4C4FA33D" w:rsidR="00F83CB1" w:rsidRPr="00B9629C" w:rsidRDefault="00DD2617" w:rsidP="00840AAC">
            <w:pPr>
              <w:spacing w:before="0" w:after="0"/>
              <w:rPr>
                <w:highlight w:val="darkGray"/>
              </w:rPr>
            </w:pPr>
            <w:r w:rsidRPr="00B9629C">
              <w:rPr>
                <w:highlight w:val="darkGray"/>
              </w:rPr>
              <w:t>≥18 months: HIV rapid/ELISA</w:t>
            </w:r>
          </w:p>
        </w:tc>
        <w:tc>
          <w:tcPr>
            <w:tcW w:w="2610" w:type="dxa"/>
          </w:tcPr>
          <w:p w14:paraId="74565D61" w14:textId="77777777" w:rsidR="00F83CB1" w:rsidRPr="00B9629C" w:rsidRDefault="00F83CB1" w:rsidP="00840AAC">
            <w:pPr>
              <w:spacing w:before="0" w:after="0"/>
              <w:rPr>
                <w:highlight w:val="darkGray"/>
              </w:rPr>
            </w:pPr>
          </w:p>
        </w:tc>
      </w:tr>
      <w:tr w:rsidR="00DD2617" w:rsidRPr="00B9629C" w14:paraId="785B0816" w14:textId="77777777" w:rsidTr="00014361">
        <w:tc>
          <w:tcPr>
            <w:tcW w:w="6475" w:type="dxa"/>
            <w:gridSpan w:val="3"/>
          </w:tcPr>
          <w:p w14:paraId="463D1336" w14:textId="786F4102" w:rsidR="00DD2617" w:rsidRPr="00B9629C" w:rsidRDefault="00DD2617" w:rsidP="00840AAC">
            <w:pPr>
              <w:spacing w:before="0" w:after="0"/>
              <w:jc w:val="center"/>
              <w:rPr>
                <w:highlight w:val="darkGray"/>
              </w:rPr>
            </w:pPr>
            <w:r w:rsidRPr="00B9629C">
              <w:rPr>
                <w:b/>
                <w:bCs/>
                <w:highlight w:val="darkGray"/>
              </w:rPr>
              <w:t>Universal screening</w:t>
            </w:r>
          </w:p>
        </w:tc>
      </w:tr>
      <w:tr w:rsidR="00F83CB1" w:rsidRPr="00B9629C" w14:paraId="225517ED" w14:textId="77777777" w:rsidTr="00014361">
        <w:tc>
          <w:tcPr>
            <w:tcW w:w="2335" w:type="dxa"/>
          </w:tcPr>
          <w:p w14:paraId="57522535" w14:textId="33A92A03" w:rsidR="00F83CB1" w:rsidRPr="00B9629C" w:rsidRDefault="00F83CB1" w:rsidP="00840AAC">
            <w:pPr>
              <w:spacing w:before="0" w:after="0"/>
              <w:rPr>
                <w:highlight w:val="darkGray"/>
              </w:rPr>
            </w:pPr>
            <w:r w:rsidRPr="00B9629C">
              <w:rPr>
                <w:highlight w:val="darkGray"/>
              </w:rPr>
              <w:t>18 months</w:t>
            </w:r>
          </w:p>
        </w:tc>
        <w:tc>
          <w:tcPr>
            <w:tcW w:w="1530" w:type="dxa"/>
          </w:tcPr>
          <w:p w14:paraId="056A4DC8" w14:textId="0571B05F" w:rsidR="00F83CB1" w:rsidRPr="00B9629C" w:rsidRDefault="00F83CB1" w:rsidP="00840AAC">
            <w:pPr>
              <w:spacing w:before="0" w:after="0"/>
              <w:rPr>
                <w:highlight w:val="darkGray"/>
              </w:rPr>
            </w:pPr>
            <w:r w:rsidRPr="00B9629C">
              <w:rPr>
                <w:highlight w:val="darkGray"/>
              </w:rPr>
              <w:t>HIV rapid/ELISA</w:t>
            </w:r>
          </w:p>
        </w:tc>
        <w:tc>
          <w:tcPr>
            <w:tcW w:w="2610" w:type="dxa"/>
          </w:tcPr>
          <w:p w14:paraId="5A3697DE" w14:textId="7EC80D9E" w:rsidR="00F83CB1" w:rsidRPr="00B9629C" w:rsidRDefault="00F83CB1" w:rsidP="00840AAC">
            <w:pPr>
              <w:spacing w:before="0" w:after="0"/>
              <w:rPr>
                <w:highlight w:val="darkGray"/>
              </w:rPr>
            </w:pPr>
            <w:r w:rsidRPr="00B9629C">
              <w:rPr>
                <w:highlight w:val="darkGray"/>
              </w:rPr>
              <w:t>Perform on all children, unless known to be HIV infected</w:t>
            </w:r>
            <w:r w:rsidR="00985A1C" w:rsidRPr="00B9629C">
              <w:rPr>
                <w:highlight w:val="darkGray"/>
              </w:rPr>
              <w:t>.</w:t>
            </w:r>
          </w:p>
        </w:tc>
      </w:tr>
      <w:tr w:rsidR="00DD2617" w:rsidRPr="00B9629C" w14:paraId="537F0B6A" w14:textId="77777777" w:rsidTr="00014361">
        <w:tc>
          <w:tcPr>
            <w:tcW w:w="6475" w:type="dxa"/>
            <w:gridSpan w:val="3"/>
          </w:tcPr>
          <w:p w14:paraId="0EC5C0B8" w14:textId="0D433C6E" w:rsidR="00DD2617" w:rsidRPr="00B9629C" w:rsidRDefault="00DD2617" w:rsidP="00840AAC">
            <w:pPr>
              <w:spacing w:before="0" w:after="0"/>
              <w:jc w:val="center"/>
              <w:rPr>
                <w:highlight w:val="darkGray"/>
              </w:rPr>
            </w:pPr>
            <w:r w:rsidRPr="00B9629C">
              <w:rPr>
                <w:b/>
                <w:bCs/>
                <w:highlight w:val="darkGray"/>
              </w:rPr>
              <w:t>HIV infected confirmatory test</w:t>
            </w:r>
            <w:r w:rsidRPr="00B9629C">
              <w:rPr>
                <w:highlight w:val="darkGray"/>
              </w:rPr>
              <w:t xml:space="preserve"> (any child with positive HIV test)</w:t>
            </w:r>
          </w:p>
        </w:tc>
      </w:tr>
      <w:tr w:rsidR="00DD2617" w:rsidRPr="00B9629C" w14:paraId="4C8CAABC" w14:textId="77777777" w:rsidTr="00014361">
        <w:tc>
          <w:tcPr>
            <w:tcW w:w="2335" w:type="dxa"/>
          </w:tcPr>
          <w:p w14:paraId="4BE5C0AB" w14:textId="61F35969" w:rsidR="00DD2617" w:rsidRPr="00B9629C" w:rsidRDefault="00DD2617" w:rsidP="00840AAC">
            <w:pPr>
              <w:spacing w:before="0" w:after="0"/>
              <w:rPr>
                <w:highlight w:val="darkGray"/>
              </w:rPr>
            </w:pPr>
            <w:r w:rsidRPr="00B9629C">
              <w:rPr>
                <w:highlight w:val="darkGray"/>
              </w:rPr>
              <w:t>&lt;24 months</w:t>
            </w:r>
          </w:p>
        </w:tc>
        <w:tc>
          <w:tcPr>
            <w:tcW w:w="1530" w:type="dxa"/>
          </w:tcPr>
          <w:p w14:paraId="481D2DD2" w14:textId="60266FD9" w:rsidR="00DD2617" w:rsidRPr="00B9629C" w:rsidRDefault="00DD2617" w:rsidP="00840AAC">
            <w:pPr>
              <w:spacing w:before="0" w:after="0"/>
              <w:rPr>
                <w:highlight w:val="darkGray"/>
              </w:rPr>
            </w:pPr>
            <w:r w:rsidRPr="00B9629C">
              <w:rPr>
                <w:highlight w:val="darkGray"/>
              </w:rPr>
              <w:t>HIV PCR</w:t>
            </w:r>
          </w:p>
        </w:tc>
        <w:tc>
          <w:tcPr>
            <w:tcW w:w="2610" w:type="dxa"/>
          </w:tcPr>
          <w:p w14:paraId="2273B8FE" w14:textId="33031E67" w:rsidR="00DD2617" w:rsidRPr="00B9629C" w:rsidRDefault="00DD2617" w:rsidP="00840AAC">
            <w:pPr>
              <w:spacing w:before="0" w:after="0"/>
              <w:rPr>
                <w:highlight w:val="darkGray"/>
              </w:rPr>
            </w:pPr>
            <w:r w:rsidRPr="00B9629C">
              <w:rPr>
                <w:highlight w:val="darkGray"/>
              </w:rPr>
              <w:t>Between 18 and 24 months, the initial test will be HIV rapid/ELISA, but is confirmed with an HIV PCR</w:t>
            </w:r>
            <w:r w:rsidR="00985A1C" w:rsidRPr="00B9629C">
              <w:rPr>
                <w:highlight w:val="darkGray"/>
              </w:rPr>
              <w:t>.</w:t>
            </w:r>
          </w:p>
        </w:tc>
      </w:tr>
      <w:tr w:rsidR="00DD2617" w:rsidRPr="00B9629C" w14:paraId="3771F83F" w14:textId="77777777" w:rsidTr="00014361">
        <w:tc>
          <w:tcPr>
            <w:tcW w:w="2335" w:type="dxa"/>
          </w:tcPr>
          <w:p w14:paraId="4B7ECC8E" w14:textId="5E80D97E" w:rsidR="00DD2617" w:rsidRPr="00B9629C" w:rsidRDefault="00DD2617" w:rsidP="00840AAC">
            <w:pPr>
              <w:spacing w:before="0" w:after="0"/>
              <w:rPr>
                <w:highlight w:val="darkGray"/>
              </w:rPr>
            </w:pPr>
            <w:r w:rsidRPr="00B9629C">
              <w:rPr>
                <w:highlight w:val="darkGray"/>
              </w:rPr>
              <w:t>≥24 month</w:t>
            </w:r>
          </w:p>
        </w:tc>
        <w:tc>
          <w:tcPr>
            <w:tcW w:w="1530" w:type="dxa"/>
          </w:tcPr>
          <w:p w14:paraId="5A7A50C1" w14:textId="4F19B979" w:rsidR="00DD2617" w:rsidRPr="00B9629C" w:rsidRDefault="00DD2617" w:rsidP="00840AAC">
            <w:pPr>
              <w:spacing w:before="0" w:after="0"/>
              <w:rPr>
                <w:highlight w:val="darkGray"/>
              </w:rPr>
            </w:pPr>
            <w:r w:rsidRPr="00B9629C">
              <w:rPr>
                <w:highlight w:val="darkGray"/>
              </w:rPr>
              <w:t>HIV rapid/ELISA</w:t>
            </w:r>
          </w:p>
        </w:tc>
        <w:tc>
          <w:tcPr>
            <w:tcW w:w="2610" w:type="dxa"/>
          </w:tcPr>
          <w:p w14:paraId="2178EEE8" w14:textId="6CE8FDB6" w:rsidR="00DD2617" w:rsidRPr="00B9629C" w:rsidRDefault="00DD2617" w:rsidP="00840AAC">
            <w:pPr>
              <w:spacing w:before="0" w:after="0"/>
              <w:rPr>
                <w:highlight w:val="darkGray"/>
              </w:rPr>
            </w:pPr>
            <w:r w:rsidRPr="00B9629C">
              <w:rPr>
                <w:highlight w:val="darkGray"/>
              </w:rPr>
              <w:t>Perform the second test on a different blood specimen with a test kit from a different manufacturer</w:t>
            </w:r>
            <w:r w:rsidR="00985A1C" w:rsidRPr="00B9629C">
              <w:rPr>
                <w:highlight w:val="darkGray"/>
              </w:rPr>
              <w:t>.</w:t>
            </w:r>
          </w:p>
        </w:tc>
      </w:tr>
      <w:tr w:rsidR="00EE251A" w:rsidRPr="00B9629C" w14:paraId="6CD4D87D" w14:textId="77777777" w:rsidTr="00014361">
        <w:tc>
          <w:tcPr>
            <w:tcW w:w="6475" w:type="dxa"/>
            <w:gridSpan w:val="3"/>
          </w:tcPr>
          <w:p w14:paraId="399A3AF7" w14:textId="1E83ABE8" w:rsidR="00EE251A" w:rsidRPr="00B9629C" w:rsidRDefault="00EE251A" w:rsidP="00840AAC">
            <w:pPr>
              <w:spacing w:before="0" w:after="0"/>
              <w:jc w:val="center"/>
              <w:rPr>
                <w:b/>
                <w:bCs/>
                <w:highlight w:val="darkGray"/>
              </w:rPr>
            </w:pPr>
            <w:r w:rsidRPr="00B9629C">
              <w:rPr>
                <w:b/>
                <w:bCs/>
                <w:highlight w:val="darkGray"/>
              </w:rPr>
              <w:lastRenderedPageBreak/>
              <w:t>Possible/suspected symptomatic HIV infection</w:t>
            </w:r>
          </w:p>
        </w:tc>
      </w:tr>
      <w:tr w:rsidR="00EE251A" w:rsidRPr="00B9629C" w14:paraId="184C853F" w14:textId="77777777" w:rsidTr="00014361">
        <w:tc>
          <w:tcPr>
            <w:tcW w:w="2335" w:type="dxa"/>
          </w:tcPr>
          <w:p w14:paraId="0F535860" w14:textId="1C320F81" w:rsidR="00EE251A" w:rsidRPr="00B9629C" w:rsidRDefault="00EE251A" w:rsidP="00840AAC">
            <w:pPr>
              <w:spacing w:before="0" w:after="0"/>
              <w:ind w:left="284" w:hanging="284"/>
              <w:rPr>
                <w:highlight w:val="darkGray"/>
              </w:rPr>
            </w:pPr>
            <w:r w:rsidRPr="00B9629C">
              <w:rPr>
                <w:highlight w:val="darkGray"/>
              </w:rPr>
              <w:t>Any age if IMCI classification of:</w:t>
            </w:r>
          </w:p>
          <w:p w14:paraId="0024B4C2" w14:textId="2BC070C7" w:rsidR="00EE251A" w:rsidRPr="00B9629C" w:rsidRDefault="00EE251A" w:rsidP="00840AAC">
            <w:pPr>
              <w:pStyle w:val="ListParagraph"/>
              <w:rPr>
                <w:highlight w:val="darkGray"/>
              </w:rPr>
            </w:pPr>
            <w:r w:rsidRPr="00B9629C">
              <w:rPr>
                <w:highlight w:val="darkGray"/>
              </w:rPr>
              <w:t>Pneumonia</w:t>
            </w:r>
            <w:r w:rsidR="00985A1C" w:rsidRPr="00B9629C">
              <w:rPr>
                <w:highlight w:val="darkGray"/>
              </w:rPr>
              <w:t>.</w:t>
            </w:r>
          </w:p>
          <w:p w14:paraId="76CD33E2" w14:textId="2328D5C5" w:rsidR="00EE251A" w:rsidRPr="00B9629C" w:rsidRDefault="00EE251A" w:rsidP="00840AAC">
            <w:pPr>
              <w:pStyle w:val="ListParagraph"/>
              <w:rPr>
                <w:highlight w:val="darkGray"/>
              </w:rPr>
            </w:pPr>
            <w:r w:rsidRPr="00B9629C">
              <w:rPr>
                <w:highlight w:val="darkGray"/>
              </w:rPr>
              <w:t>Ear discharge</w:t>
            </w:r>
            <w:r w:rsidR="000427DB" w:rsidRPr="00B9629C">
              <w:rPr>
                <w:highlight w:val="darkGray"/>
              </w:rPr>
              <w:t xml:space="preserve"> (ever)</w:t>
            </w:r>
            <w:r w:rsidR="00985A1C" w:rsidRPr="00B9629C">
              <w:rPr>
                <w:highlight w:val="darkGray"/>
              </w:rPr>
              <w:t>.</w:t>
            </w:r>
          </w:p>
          <w:p w14:paraId="29520E94" w14:textId="668D153E" w:rsidR="000427DB" w:rsidRPr="00B9629C" w:rsidRDefault="000427DB" w:rsidP="00840AAC">
            <w:pPr>
              <w:pStyle w:val="ListParagraph"/>
              <w:rPr>
                <w:highlight w:val="darkGray"/>
              </w:rPr>
            </w:pPr>
            <w:r w:rsidRPr="00B9629C">
              <w:rPr>
                <w:highlight w:val="darkGray"/>
              </w:rPr>
              <w:t>Persistent diarrhoea in past 3 months</w:t>
            </w:r>
            <w:r w:rsidR="00985A1C" w:rsidRPr="00B9629C">
              <w:rPr>
                <w:highlight w:val="darkGray"/>
              </w:rPr>
              <w:t>.</w:t>
            </w:r>
          </w:p>
          <w:p w14:paraId="6C32B42A" w14:textId="0E8815E8" w:rsidR="000427DB" w:rsidRPr="00B9629C" w:rsidRDefault="000427DB" w:rsidP="00840AAC">
            <w:pPr>
              <w:pStyle w:val="ListParagraph"/>
              <w:rPr>
                <w:highlight w:val="darkGray"/>
              </w:rPr>
            </w:pPr>
            <w:r w:rsidRPr="00B9629C">
              <w:rPr>
                <w:highlight w:val="darkGray"/>
              </w:rPr>
              <w:t xml:space="preserve">Not growing well, </w:t>
            </w:r>
            <w:r w:rsidR="006E68A3" w:rsidRPr="00B9629C">
              <w:rPr>
                <w:highlight w:val="darkGray"/>
              </w:rPr>
              <w:t>moderate acute malnutrition (</w:t>
            </w:r>
            <w:r w:rsidRPr="00B9629C">
              <w:rPr>
                <w:highlight w:val="darkGray"/>
              </w:rPr>
              <w:t>MAM</w:t>
            </w:r>
            <w:r w:rsidR="006E68A3" w:rsidRPr="00B9629C">
              <w:rPr>
                <w:highlight w:val="darkGray"/>
              </w:rPr>
              <w:t>)</w:t>
            </w:r>
            <w:r w:rsidRPr="00B9629C">
              <w:rPr>
                <w:highlight w:val="darkGray"/>
              </w:rPr>
              <w:t xml:space="preserve"> or </w:t>
            </w:r>
            <w:r w:rsidR="006E68A3" w:rsidRPr="00B9629C">
              <w:rPr>
                <w:highlight w:val="darkGray"/>
              </w:rPr>
              <w:t>severe acute malnutrition (</w:t>
            </w:r>
            <w:r w:rsidRPr="00B9629C">
              <w:rPr>
                <w:highlight w:val="darkGray"/>
              </w:rPr>
              <w:t>SAM</w:t>
            </w:r>
            <w:r w:rsidR="006E68A3" w:rsidRPr="00B9629C">
              <w:rPr>
                <w:highlight w:val="darkGray"/>
              </w:rPr>
              <w:t>)</w:t>
            </w:r>
            <w:r w:rsidR="001C251A" w:rsidRPr="00B9629C">
              <w:rPr>
                <w:highlight w:val="darkGray"/>
              </w:rPr>
              <w:t>.</w:t>
            </w:r>
          </w:p>
          <w:p w14:paraId="5C24F187" w14:textId="77777777" w:rsidR="000427DB" w:rsidRPr="00B9629C" w:rsidRDefault="000427DB" w:rsidP="00840AAC">
            <w:pPr>
              <w:pStyle w:val="ListParagraph"/>
              <w:rPr>
                <w:highlight w:val="darkGray"/>
              </w:rPr>
            </w:pPr>
            <w:r w:rsidRPr="00B9629C">
              <w:rPr>
                <w:highlight w:val="darkGray"/>
              </w:rPr>
              <w:t>≥ 2 enlarged glands of: neck, axilla or groin.</w:t>
            </w:r>
          </w:p>
          <w:p w14:paraId="1052AD0D" w14:textId="77777777" w:rsidR="000427DB" w:rsidRPr="00B9629C" w:rsidRDefault="000427DB" w:rsidP="00840AAC">
            <w:pPr>
              <w:pStyle w:val="ListParagraph"/>
              <w:rPr>
                <w:highlight w:val="darkGray"/>
              </w:rPr>
            </w:pPr>
            <w:r w:rsidRPr="00B9629C">
              <w:rPr>
                <w:highlight w:val="darkGray"/>
              </w:rPr>
              <w:t>Oral thrush.</w:t>
            </w:r>
          </w:p>
          <w:p w14:paraId="3C822D8B" w14:textId="5D1FC653" w:rsidR="00EE251A" w:rsidRPr="00B9629C" w:rsidRDefault="000427DB" w:rsidP="00840AAC">
            <w:pPr>
              <w:pStyle w:val="ListParagraph"/>
              <w:rPr>
                <w:highlight w:val="darkGray"/>
              </w:rPr>
            </w:pPr>
            <w:r w:rsidRPr="00B9629C">
              <w:rPr>
                <w:highlight w:val="darkGray"/>
              </w:rPr>
              <w:t>Parotid enlargement</w:t>
            </w:r>
          </w:p>
        </w:tc>
        <w:tc>
          <w:tcPr>
            <w:tcW w:w="1530" w:type="dxa"/>
          </w:tcPr>
          <w:p w14:paraId="2BC00FA3" w14:textId="77777777" w:rsidR="000427DB" w:rsidRPr="00B9629C" w:rsidRDefault="000427DB" w:rsidP="00840AAC">
            <w:pPr>
              <w:spacing w:before="0" w:after="0"/>
              <w:rPr>
                <w:highlight w:val="darkGray"/>
              </w:rPr>
            </w:pPr>
            <w:r w:rsidRPr="00B9629C">
              <w:rPr>
                <w:highlight w:val="darkGray"/>
              </w:rPr>
              <w:t>Age appropriate testing:</w:t>
            </w:r>
          </w:p>
          <w:p w14:paraId="02249D23" w14:textId="0E829FC9" w:rsidR="000427DB" w:rsidRPr="00B9629C" w:rsidRDefault="006B03F4" w:rsidP="00840AAC">
            <w:pPr>
              <w:spacing w:before="0" w:after="0"/>
              <w:rPr>
                <w:highlight w:val="darkGray"/>
              </w:rPr>
            </w:pPr>
            <w:r w:rsidRPr="00B9629C">
              <w:rPr>
                <w:highlight w:val="darkGray"/>
              </w:rPr>
              <w:t>&lt;</w:t>
            </w:r>
            <w:r w:rsidR="000427DB" w:rsidRPr="00B9629C">
              <w:rPr>
                <w:highlight w:val="darkGray"/>
              </w:rPr>
              <w:t>18 months: HIV PCR</w:t>
            </w:r>
          </w:p>
          <w:p w14:paraId="5B1BBC9E" w14:textId="77777777" w:rsidR="00EE251A" w:rsidRPr="00B9629C" w:rsidRDefault="006B03F4" w:rsidP="00840AAC">
            <w:pPr>
              <w:spacing w:before="0" w:after="0"/>
              <w:rPr>
                <w:highlight w:val="darkGray"/>
              </w:rPr>
            </w:pPr>
            <w:r w:rsidRPr="00B9629C">
              <w:rPr>
                <w:highlight w:val="darkGray"/>
              </w:rPr>
              <w:t>≥</w:t>
            </w:r>
            <w:r w:rsidR="000427DB" w:rsidRPr="00B9629C">
              <w:rPr>
                <w:highlight w:val="darkGray"/>
              </w:rPr>
              <w:t>18 months: HIV rapid/ELISA</w:t>
            </w:r>
          </w:p>
          <w:p w14:paraId="2C927ED4" w14:textId="77777777" w:rsidR="006E68A3" w:rsidRPr="00B9629C" w:rsidRDefault="006E68A3" w:rsidP="006E68A3">
            <w:pPr>
              <w:rPr>
                <w:highlight w:val="darkGray"/>
              </w:rPr>
            </w:pPr>
          </w:p>
          <w:p w14:paraId="691A0A2E" w14:textId="22CED9E6" w:rsidR="006E68A3" w:rsidRPr="00B9629C" w:rsidRDefault="006E68A3" w:rsidP="00424607">
            <w:pPr>
              <w:jc w:val="center"/>
              <w:rPr>
                <w:highlight w:val="darkGray"/>
              </w:rPr>
            </w:pPr>
          </w:p>
        </w:tc>
        <w:tc>
          <w:tcPr>
            <w:tcW w:w="2610" w:type="dxa"/>
          </w:tcPr>
          <w:p w14:paraId="27057B00" w14:textId="77777777" w:rsidR="00EE251A" w:rsidRPr="00B9629C" w:rsidRDefault="00EE251A" w:rsidP="00840AAC">
            <w:pPr>
              <w:spacing w:before="0" w:after="0"/>
              <w:rPr>
                <w:highlight w:val="darkGray"/>
              </w:rPr>
            </w:pPr>
          </w:p>
        </w:tc>
      </w:tr>
      <w:tr w:rsidR="000427DB" w:rsidRPr="00B9629C" w14:paraId="4590B43F" w14:textId="77777777" w:rsidTr="00014361">
        <w:tc>
          <w:tcPr>
            <w:tcW w:w="6475" w:type="dxa"/>
            <w:gridSpan w:val="3"/>
          </w:tcPr>
          <w:p w14:paraId="1BE544E5" w14:textId="6CFAC17C" w:rsidR="000427DB" w:rsidRPr="00B9629C" w:rsidRDefault="000427DB" w:rsidP="00840AAC">
            <w:pPr>
              <w:spacing w:before="0" w:after="0"/>
              <w:jc w:val="center"/>
              <w:rPr>
                <w:b/>
                <w:bCs/>
                <w:highlight w:val="darkGray"/>
              </w:rPr>
            </w:pPr>
            <w:r w:rsidRPr="00B9629C">
              <w:rPr>
                <w:b/>
                <w:bCs/>
                <w:highlight w:val="darkGray"/>
              </w:rPr>
              <w:t>Other situations</w:t>
            </w:r>
          </w:p>
        </w:tc>
      </w:tr>
      <w:tr w:rsidR="000427DB" w:rsidRPr="00B9629C" w14:paraId="46C0D467" w14:textId="77777777" w:rsidTr="00014361">
        <w:tc>
          <w:tcPr>
            <w:tcW w:w="2335" w:type="dxa"/>
          </w:tcPr>
          <w:p w14:paraId="7AF0A4B8" w14:textId="2FB87D51" w:rsidR="000427DB" w:rsidRPr="00B9629C" w:rsidRDefault="000427DB" w:rsidP="00840AAC">
            <w:pPr>
              <w:pStyle w:val="ListParagraph"/>
              <w:rPr>
                <w:highlight w:val="darkGray"/>
              </w:rPr>
            </w:pPr>
            <w:r w:rsidRPr="00B9629C">
              <w:rPr>
                <w:highlight w:val="darkGray"/>
              </w:rPr>
              <w:t>Parents request testing</w:t>
            </w:r>
            <w:r w:rsidR="00985A1C" w:rsidRPr="00B9629C">
              <w:rPr>
                <w:highlight w:val="darkGray"/>
              </w:rPr>
              <w:t>.</w:t>
            </w:r>
          </w:p>
          <w:p w14:paraId="32E339CE" w14:textId="3088C877" w:rsidR="000427DB" w:rsidRPr="00B9629C" w:rsidRDefault="000427DB" w:rsidP="00840AAC">
            <w:pPr>
              <w:pStyle w:val="ListParagraph"/>
              <w:rPr>
                <w:highlight w:val="darkGray"/>
              </w:rPr>
            </w:pPr>
            <w:r w:rsidRPr="00B9629C">
              <w:rPr>
                <w:highlight w:val="darkGray"/>
              </w:rPr>
              <w:t>Breastfed infant of a newly diagnosed HIV infected mother</w:t>
            </w:r>
            <w:r w:rsidR="00985A1C" w:rsidRPr="00B9629C">
              <w:rPr>
                <w:highlight w:val="darkGray"/>
              </w:rPr>
              <w:t>.</w:t>
            </w:r>
          </w:p>
          <w:p w14:paraId="7294D82D" w14:textId="4D23AA83" w:rsidR="000427DB" w:rsidRPr="00B9629C" w:rsidRDefault="000427DB" w:rsidP="00840AAC">
            <w:pPr>
              <w:pStyle w:val="ListParagraph"/>
              <w:rPr>
                <w:highlight w:val="darkGray"/>
              </w:rPr>
            </w:pPr>
            <w:r w:rsidRPr="00B9629C">
              <w:rPr>
                <w:highlight w:val="darkGray"/>
              </w:rPr>
              <w:t>Suspicion of sexual assault</w:t>
            </w:r>
            <w:r w:rsidR="00985A1C" w:rsidRPr="00B9629C">
              <w:rPr>
                <w:highlight w:val="darkGray"/>
              </w:rPr>
              <w:t>.</w:t>
            </w:r>
          </w:p>
          <w:p w14:paraId="4451919E" w14:textId="77777777" w:rsidR="006B03F4" w:rsidRPr="00B9629C" w:rsidRDefault="006B03F4" w:rsidP="00840AAC">
            <w:pPr>
              <w:pStyle w:val="ListParagraph"/>
              <w:rPr>
                <w:highlight w:val="darkGray"/>
              </w:rPr>
            </w:pPr>
            <w:r w:rsidRPr="00B9629C">
              <w:rPr>
                <w:highlight w:val="darkGray"/>
              </w:rPr>
              <w:t>Wet-nursed/breastfed infant fed by a woman of unknown or HIV-infected status (and repeat age-appropriate test 6 weeks later).</w:t>
            </w:r>
          </w:p>
          <w:p w14:paraId="2994ABBD" w14:textId="1FDB8606" w:rsidR="000427DB" w:rsidRPr="00B9629C" w:rsidRDefault="006B03F4" w:rsidP="00840AAC">
            <w:pPr>
              <w:pStyle w:val="ListParagraph"/>
              <w:rPr>
                <w:highlight w:val="darkGray"/>
              </w:rPr>
            </w:pPr>
            <w:r w:rsidRPr="00B9629C">
              <w:rPr>
                <w:highlight w:val="darkGray"/>
              </w:rPr>
              <w:t>Children considered for adoption or fostering</w:t>
            </w:r>
            <w:r w:rsidR="00840AAC" w:rsidRPr="00B9629C">
              <w:rPr>
                <w:highlight w:val="darkGray"/>
              </w:rPr>
              <w:t>.</w:t>
            </w:r>
          </w:p>
        </w:tc>
        <w:tc>
          <w:tcPr>
            <w:tcW w:w="1530" w:type="dxa"/>
          </w:tcPr>
          <w:p w14:paraId="7684434E" w14:textId="77777777" w:rsidR="006B03F4" w:rsidRPr="00B9629C" w:rsidRDefault="006B03F4" w:rsidP="00840AAC">
            <w:pPr>
              <w:spacing w:before="0" w:after="0"/>
              <w:rPr>
                <w:highlight w:val="darkGray"/>
              </w:rPr>
            </w:pPr>
            <w:r w:rsidRPr="00B9629C">
              <w:rPr>
                <w:highlight w:val="darkGray"/>
              </w:rPr>
              <w:t>Age appropriate testing:</w:t>
            </w:r>
          </w:p>
          <w:p w14:paraId="4B16FD1F" w14:textId="2A865540" w:rsidR="006B03F4" w:rsidRPr="00B9629C" w:rsidRDefault="006B03F4" w:rsidP="00840AAC">
            <w:pPr>
              <w:spacing w:before="0" w:after="0"/>
              <w:rPr>
                <w:highlight w:val="darkGray"/>
              </w:rPr>
            </w:pPr>
            <w:r w:rsidRPr="00B9629C">
              <w:rPr>
                <w:highlight w:val="darkGray"/>
              </w:rPr>
              <w:t>&lt;18 months: HIV PCR</w:t>
            </w:r>
          </w:p>
          <w:p w14:paraId="478D4342" w14:textId="36751946" w:rsidR="000427DB" w:rsidRPr="00B9629C" w:rsidRDefault="006B03F4" w:rsidP="00840AAC">
            <w:pPr>
              <w:spacing w:before="0" w:after="0"/>
              <w:rPr>
                <w:highlight w:val="darkGray"/>
              </w:rPr>
            </w:pPr>
            <w:r w:rsidRPr="00B9629C">
              <w:rPr>
                <w:highlight w:val="darkGray"/>
              </w:rPr>
              <w:t>≥18 months: HIV rapid/ELISA</w:t>
            </w:r>
          </w:p>
        </w:tc>
        <w:tc>
          <w:tcPr>
            <w:tcW w:w="2610" w:type="dxa"/>
          </w:tcPr>
          <w:p w14:paraId="115A0D67" w14:textId="77777777" w:rsidR="000427DB" w:rsidRPr="00B9629C" w:rsidRDefault="000427DB" w:rsidP="00840AAC">
            <w:pPr>
              <w:spacing w:before="0" w:after="0"/>
              <w:rPr>
                <w:highlight w:val="darkGray"/>
              </w:rPr>
            </w:pPr>
          </w:p>
        </w:tc>
      </w:tr>
    </w:tbl>
    <w:p w14:paraId="70C5E8D1" w14:textId="259975DB" w:rsidR="00F83CB1" w:rsidRPr="00B9629C" w:rsidRDefault="00EE251A" w:rsidP="003470B5">
      <w:pPr>
        <w:pStyle w:val="Heading7"/>
        <w:jc w:val="both"/>
        <w:rPr>
          <w:highlight w:val="darkGray"/>
          <w:u w:val="none"/>
        </w:rPr>
      </w:pPr>
      <w:r w:rsidRPr="00B9629C">
        <w:rPr>
          <w:highlight w:val="darkGray"/>
          <w:u w:val="none"/>
        </w:rPr>
        <w:t>If an HIV PCR test is indeterminate or discordant, refer to the National Department of Health Guidelines for prevention of Mother to Child Transmission of Communicable Infections</w:t>
      </w:r>
      <w:r w:rsidR="000427DB" w:rsidRPr="00B9629C">
        <w:rPr>
          <w:highlight w:val="darkGray"/>
          <w:u w:val="none"/>
        </w:rPr>
        <w:t>,</w:t>
      </w:r>
      <w:r w:rsidRPr="00B9629C">
        <w:rPr>
          <w:highlight w:val="darkGray"/>
          <w:u w:val="none"/>
        </w:rPr>
        <w:t xml:space="preserve"> 2023. </w:t>
      </w:r>
    </w:p>
    <w:p w14:paraId="0B57884B" w14:textId="77777777" w:rsidR="00014361" w:rsidRPr="00B9629C" w:rsidRDefault="00D1728C" w:rsidP="00014361">
      <w:pPr>
        <w:spacing w:before="0" w:after="0"/>
        <w:rPr>
          <w:rFonts w:eastAsia="Times New Roman" w:cs="Arial"/>
          <w:spacing w:val="0"/>
          <w:sz w:val="16"/>
          <w:szCs w:val="16"/>
          <w:highlight w:val="darkGray"/>
          <w:lang w:eastAsia="en-GB"/>
        </w:rPr>
      </w:pPr>
      <w:r w:rsidRPr="00B9629C">
        <w:rPr>
          <w:rFonts w:eastAsia="Times New Roman" w:cs="Arial"/>
          <w:b/>
          <w:spacing w:val="0"/>
          <w:sz w:val="16"/>
          <w:szCs w:val="16"/>
          <w:highlight w:val="darkGray"/>
          <w:lang w:eastAsia="en-GB"/>
        </w:rPr>
        <w:t>Table 11.7</w:t>
      </w:r>
      <w:r w:rsidRPr="00B9629C">
        <w:rPr>
          <w:rFonts w:eastAsia="Times New Roman" w:cs="Arial"/>
          <w:spacing w:val="0"/>
          <w:sz w:val="16"/>
          <w:szCs w:val="16"/>
          <w:highlight w:val="darkGray"/>
          <w:lang w:eastAsia="en-GB"/>
        </w:rPr>
        <w:t xml:space="preserve"> HIV testing in children</w:t>
      </w:r>
      <w:bookmarkEnd w:id="55"/>
    </w:p>
    <w:p w14:paraId="20080D05" w14:textId="77777777" w:rsidR="00014361" w:rsidRPr="00B9629C" w:rsidRDefault="00014361" w:rsidP="00014361">
      <w:pPr>
        <w:spacing w:before="0" w:after="0"/>
        <w:rPr>
          <w:rFonts w:eastAsia="Times New Roman" w:cs="Arial"/>
          <w:spacing w:val="0"/>
          <w:sz w:val="16"/>
          <w:szCs w:val="16"/>
          <w:highlight w:val="darkGray"/>
          <w:lang w:eastAsia="en-GB"/>
        </w:rPr>
      </w:pPr>
    </w:p>
    <w:p w14:paraId="0542CDCE" w14:textId="77777777" w:rsidR="00014361" w:rsidRPr="00B9629C" w:rsidRDefault="00014361" w:rsidP="00014361">
      <w:pPr>
        <w:spacing w:before="0" w:after="0"/>
        <w:rPr>
          <w:rFonts w:eastAsia="Times New Roman" w:cs="Arial"/>
          <w:spacing w:val="0"/>
          <w:sz w:val="16"/>
          <w:szCs w:val="16"/>
          <w:highlight w:val="darkGray"/>
          <w:lang w:eastAsia="en-GB"/>
        </w:rPr>
      </w:pPr>
    </w:p>
    <w:p w14:paraId="0868D389" w14:textId="38145008" w:rsidR="00E5138C" w:rsidRPr="00B9629C" w:rsidRDefault="00E5138C" w:rsidP="00014361">
      <w:pPr>
        <w:spacing w:before="0" w:after="0"/>
        <w:rPr>
          <w:b/>
          <w:highlight w:val="darkGray"/>
        </w:rPr>
      </w:pPr>
      <w:r w:rsidRPr="00B9629C">
        <w:rPr>
          <w:b/>
          <w:highlight w:val="darkGray"/>
        </w:rPr>
        <w:t xml:space="preserve">WHO clinical staging of HIV and </w:t>
      </w:r>
      <w:r w:rsidR="006B03F4" w:rsidRPr="00B9629C">
        <w:rPr>
          <w:b/>
          <w:highlight w:val="darkGray"/>
        </w:rPr>
        <w:t xml:space="preserve">AIDS </w:t>
      </w:r>
      <w:r w:rsidRPr="00B9629C">
        <w:rPr>
          <w:b/>
          <w:highlight w:val="darkGray"/>
        </w:rPr>
        <w:t>for infants and children </w:t>
      </w:r>
    </w:p>
    <w:p w14:paraId="1757D5F8" w14:textId="1FB85307" w:rsidR="00F66092" w:rsidRPr="00B9629C" w:rsidRDefault="00F80853" w:rsidP="00F66092">
      <w:pPr>
        <w:spacing w:before="0" w:after="0"/>
        <w:rPr>
          <w:sz w:val="12"/>
          <w:szCs w:val="12"/>
          <w:highlight w:val="darkGray"/>
        </w:rPr>
      </w:pPr>
      <w:hyperlink r:id="rId21" w:history="1">
        <w:r w:rsidR="00F66092" w:rsidRPr="00B9629C">
          <w:rPr>
            <w:rStyle w:val="Hyperlink"/>
            <w:sz w:val="12"/>
            <w:szCs w:val="12"/>
            <w:highlight w:val="darkGray"/>
          </w:rPr>
          <w:t>https://iris.who.int/bitstream/handle/10665/69058/WHO_HIV_2005.02.pdf</w:t>
        </w:r>
      </w:hyperlink>
    </w:p>
    <w:tbl>
      <w:tblPr>
        <w:tblStyle w:val="SamplePHCTable"/>
        <w:tblW w:w="0" w:type="auto"/>
        <w:tblLook w:val="0680" w:firstRow="0" w:lastRow="0" w:firstColumn="1" w:lastColumn="0" w:noHBand="1" w:noVBand="1"/>
      </w:tblPr>
      <w:tblGrid>
        <w:gridCol w:w="6681"/>
      </w:tblGrid>
      <w:tr w:rsidR="00E5138C" w:rsidRPr="00B9629C" w14:paraId="33A36149" w14:textId="77777777" w:rsidTr="00F12F3B">
        <w:tc>
          <w:tcPr>
            <w:tcW w:w="6681" w:type="dxa"/>
          </w:tcPr>
          <w:p w14:paraId="5104F0CA" w14:textId="77777777" w:rsidR="00E5138C" w:rsidRPr="00B9629C" w:rsidRDefault="00E5138C" w:rsidP="00344086">
            <w:pPr>
              <w:pStyle w:val="NoSpacing"/>
              <w:rPr>
                <w:rStyle w:val="Strong"/>
                <w:highlight w:val="darkGray"/>
              </w:rPr>
            </w:pPr>
            <w:r w:rsidRPr="00B9629C">
              <w:rPr>
                <w:rStyle w:val="Strong"/>
                <w:highlight w:val="darkGray"/>
              </w:rPr>
              <w:t>Adapted WHO clinical staging of HIV and AIDS for infants and children</w:t>
            </w:r>
          </w:p>
          <w:p w14:paraId="45965764" w14:textId="77777777" w:rsidR="00E5138C" w:rsidRPr="00B9629C" w:rsidRDefault="00E5138C" w:rsidP="00571834">
            <w:pPr>
              <w:pStyle w:val="NoSpacing"/>
              <w:jc w:val="left"/>
              <w:rPr>
                <w:highlight w:val="darkGray"/>
              </w:rPr>
            </w:pPr>
            <w:r w:rsidRPr="00B9629C">
              <w:rPr>
                <w:highlight w:val="darkGray"/>
              </w:rPr>
              <w:t>For persons ≤15 years of age with confirmed laboratory evidence of HIV infection</w:t>
            </w:r>
          </w:p>
        </w:tc>
      </w:tr>
      <w:tr w:rsidR="00E5138C" w:rsidRPr="00B9629C" w14:paraId="50F9A593" w14:textId="77777777" w:rsidTr="00F12F3B">
        <w:tc>
          <w:tcPr>
            <w:tcW w:w="6681" w:type="dxa"/>
          </w:tcPr>
          <w:p w14:paraId="1DD7EBB6" w14:textId="77777777" w:rsidR="00E5138C" w:rsidRPr="00B9629C" w:rsidRDefault="00E5138C" w:rsidP="007D3F93">
            <w:pPr>
              <w:pStyle w:val="NoSpacing"/>
              <w:jc w:val="left"/>
              <w:rPr>
                <w:rStyle w:val="Strong"/>
                <w:highlight w:val="darkGray"/>
              </w:rPr>
            </w:pPr>
            <w:r w:rsidRPr="00B9629C">
              <w:rPr>
                <w:rStyle w:val="Strong"/>
                <w:highlight w:val="darkGray"/>
              </w:rPr>
              <w:t>Clinical Stage 1</w:t>
            </w:r>
          </w:p>
          <w:p w14:paraId="7F7A75D0" w14:textId="5477415C" w:rsidR="00E5138C" w:rsidRPr="00B9629C" w:rsidRDefault="00985A1C" w:rsidP="007D3F93">
            <w:pPr>
              <w:pStyle w:val="ListParagraph"/>
              <w:jc w:val="left"/>
              <w:rPr>
                <w:highlight w:val="darkGray"/>
              </w:rPr>
            </w:pPr>
            <w:r w:rsidRPr="00B9629C">
              <w:rPr>
                <w:highlight w:val="darkGray"/>
              </w:rPr>
              <w:t>A</w:t>
            </w:r>
            <w:r w:rsidR="00E5138C" w:rsidRPr="00B9629C">
              <w:rPr>
                <w:highlight w:val="darkGray"/>
              </w:rPr>
              <w:t>symptomatic</w:t>
            </w:r>
            <w:r w:rsidRPr="00B9629C">
              <w:rPr>
                <w:highlight w:val="darkGray"/>
              </w:rPr>
              <w:t>,</w:t>
            </w:r>
          </w:p>
          <w:p w14:paraId="18069E75" w14:textId="43AB703A" w:rsidR="00E5138C" w:rsidRPr="00B9629C" w:rsidRDefault="00E5138C" w:rsidP="007D3F93">
            <w:pPr>
              <w:pStyle w:val="ListParagraph"/>
              <w:jc w:val="left"/>
              <w:rPr>
                <w:highlight w:val="darkGray"/>
              </w:rPr>
            </w:pPr>
            <w:r w:rsidRPr="00B9629C">
              <w:rPr>
                <w:highlight w:val="darkGray"/>
              </w:rPr>
              <w:t>persistent generalised lymphadenopathy (PGL)</w:t>
            </w:r>
            <w:r w:rsidR="00985A1C" w:rsidRPr="00B9629C">
              <w:rPr>
                <w:highlight w:val="darkGray"/>
              </w:rPr>
              <w:t>.</w:t>
            </w:r>
          </w:p>
        </w:tc>
      </w:tr>
      <w:tr w:rsidR="00E5138C" w:rsidRPr="00B9629C" w14:paraId="653D667D" w14:textId="77777777" w:rsidTr="00F12F3B">
        <w:tc>
          <w:tcPr>
            <w:tcW w:w="6681" w:type="dxa"/>
          </w:tcPr>
          <w:p w14:paraId="1451E5A7" w14:textId="77777777" w:rsidR="00E5138C" w:rsidRPr="00B9629C" w:rsidRDefault="00E5138C" w:rsidP="007D3F93">
            <w:pPr>
              <w:pStyle w:val="NoSpacing"/>
              <w:jc w:val="left"/>
              <w:rPr>
                <w:rStyle w:val="Strong"/>
                <w:highlight w:val="darkGray"/>
              </w:rPr>
            </w:pPr>
            <w:r w:rsidRPr="00B9629C">
              <w:rPr>
                <w:rStyle w:val="Strong"/>
                <w:highlight w:val="darkGray"/>
              </w:rPr>
              <w:t>Clinical Stage 2</w:t>
            </w:r>
          </w:p>
          <w:p w14:paraId="24E3E4B4" w14:textId="543E8A24" w:rsidR="00E5138C" w:rsidRPr="00B9629C" w:rsidRDefault="00E5138C" w:rsidP="007D3F93">
            <w:pPr>
              <w:pStyle w:val="ListParagraph"/>
              <w:jc w:val="left"/>
              <w:rPr>
                <w:highlight w:val="darkGray"/>
              </w:rPr>
            </w:pPr>
            <w:r w:rsidRPr="00B9629C">
              <w:rPr>
                <w:highlight w:val="darkGray"/>
              </w:rPr>
              <w:lastRenderedPageBreak/>
              <w:t>unexplained persistent weight loss</w:t>
            </w:r>
            <w:r w:rsidR="00985A1C" w:rsidRPr="00B9629C">
              <w:rPr>
                <w:highlight w:val="darkGray"/>
              </w:rPr>
              <w:t>,</w:t>
            </w:r>
          </w:p>
          <w:p w14:paraId="55C9873C" w14:textId="648F2910" w:rsidR="00E5138C" w:rsidRPr="00B9629C" w:rsidRDefault="00E5138C" w:rsidP="007D3F93">
            <w:pPr>
              <w:pStyle w:val="ListParagraph"/>
              <w:jc w:val="left"/>
              <w:rPr>
                <w:highlight w:val="darkGray"/>
              </w:rPr>
            </w:pPr>
            <w:r w:rsidRPr="00B9629C">
              <w:rPr>
                <w:highlight w:val="darkGray"/>
              </w:rPr>
              <w:t>hepatosplenomegaly</w:t>
            </w:r>
            <w:r w:rsidR="00985A1C" w:rsidRPr="00B9629C">
              <w:rPr>
                <w:highlight w:val="darkGray"/>
              </w:rPr>
              <w:t>,</w:t>
            </w:r>
          </w:p>
          <w:p w14:paraId="2F55EB54" w14:textId="1C948873" w:rsidR="00E5138C" w:rsidRPr="00B9629C" w:rsidRDefault="00E5138C" w:rsidP="007D3F93">
            <w:pPr>
              <w:pStyle w:val="ListParagraph"/>
              <w:jc w:val="left"/>
              <w:rPr>
                <w:highlight w:val="darkGray"/>
              </w:rPr>
            </w:pPr>
            <w:r w:rsidRPr="00B9629C">
              <w:rPr>
                <w:highlight w:val="darkGray"/>
              </w:rPr>
              <w:t>papular pruritic eruptions</w:t>
            </w:r>
            <w:r w:rsidR="00985A1C" w:rsidRPr="00B9629C">
              <w:rPr>
                <w:highlight w:val="darkGray"/>
              </w:rPr>
              <w:t>,</w:t>
            </w:r>
          </w:p>
          <w:p w14:paraId="0E31C9E3" w14:textId="5F1C1DA6" w:rsidR="00E5138C" w:rsidRPr="00B9629C" w:rsidRDefault="00E5138C" w:rsidP="007D3F93">
            <w:pPr>
              <w:pStyle w:val="ListParagraph"/>
              <w:jc w:val="left"/>
              <w:rPr>
                <w:highlight w:val="darkGray"/>
              </w:rPr>
            </w:pPr>
            <w:r w:rsidRPr="00B9629C">
              <w:rPr>
                <w:highlight w:val="darkGray"/>
              </w:rPr>
              <w:t>extensive human papilloma virus infection</w:t>
            </w:r>
            <w:r w:rsidR="00985A1C" w:rsidRPr="00B9629C">
              <w:rPr>
                <w:highlight w:val="darkGray"/>
              </w:rPr>
              <w:t>,</w:t>
            </w:r>
          </w:p>
          <w:p w14:paraId="271AD12C" w14:textId="6417338B" w:rsidR="00E5138C" w:rsidRPr="00B9629C" w:rsidRDefault="00E5138C" w:rsidP="007D3F93">
            <w:pPr>
              <w:pStyle w:val="ListParagraph"/>
              <w:jc w:val="left"/>
              <w:rPr>
                <w:highlight w:val="darkGray"/>
              </w:rPr>
            </w:pPr>
            <w:r w:rsidRPr="00B9629C">
              <w:rPr>
                <w:highlight w:val="darkGray"/>
              </w:rPr>
              <w:t>extensive molluscum contagiosum</w:t>
            </w:r>
            <w:r w:rsidR="00985A1C" w:rsidRPr="00B9629C">
              <w:rPr>
                <w:highlight w:val="darkGray"/>
              </w:rPr>
              <w:t>,</w:t>
            </w:r>
          </w:p>
          <w:p w14:paraId="4AD7584E" w14:textId="137F84E3" w:rsidR="00E5138C" w:rsidRPr="00B9629C" w:rsidRDefault="00E5138C" w:rsidP="007D3F93">
            <w:pPr>
              <w:pStyle w:val="ListParagraph"/>
              <w:jc w:val="left"/>
              <w:rPr>
                <w:highlight w:val="darkGray"/>
              </w:rPr>
            </w:pPr>
            <w:r w:rsidRPr="00B9629C">
              <w:rPr>
                <w:highlight w:val="darkGray"/>
              </w:rPr>
              <w:t>fungal nail infections</w:t>
            </w:r>
            <w:r w:rsidR="00985A1C" w:rsidRPr="00B9629C">
              <w:rPr>
                <w:highlight w:val="darkGray"/>
              </w:rPr>
              <w:t>,</w:t>
            </w:r>
          </w:p>
          <w:p w14:paraId="42638193" w14:textId="78E32670" w:rsidR="00E5138C" w:rsidRPr="00B9629C" w:rsidRDefault="00E5138C" w:rsidP="007D3F93">
            <w:pPr>
              <w:pStyle w:val="ListParagraph"/>
              <w:jc w:val="left"/>
              <w:rPr>
                <w:highlight w:val="darkGray"/>
              </w:rPr>
            </w:pPr>
            <w:r w:rsidRPr="00B9629C">
              <w:rPr>
                <w:highlight w:val="darkGray"/>
              </w:rPr>
              <w:t>recurrent oral ulcerations</w:t>
            </w:r>
            <w:r w:rsidR="00985A1C" w:rsidRPr="00B9629C">
              <w:rPr>
                <w:highlight w:val="darkGray"/>
              </w:rPr>
              <w:t>,</w:t>
            </w:r>
          </w:p>
          <w:p w14:paraId="7E6ECB0D" w14:textId="32599353" w:rsidR="00E5138C" w:rsidRPr="00B9629C" w:rsidRDefault="00E5138C" w:rsidP="007D3F93">
            <w:pPr>
              <w:pStyle w:val="ListParagraph"/>
              <w:jc w:val="left"/>
              <w:rPr>
                <w:highlight w:val="darkGray"/>
              </w:rPr>
            </w:pPr>
            <w:r w:rsidRPr="00B9629C">
              <w:rPr>
                <w:highlight w:val="darkGray"/>
              </w:rPr>
              <w:t>lineal gingival erythema (LGE)</w:t>
            </w:r>
            <w:r w:rsidR="00985A1C" w:rsidRPr="00B9629C">
              <w:rPr>
                <w:highlight w:val="darkGray"/>
              </w:rPr>
              <w:t>,</w:t>
            </w:r>
          </w:p>
          <w:p w14:paraId="7B70AC14" w14:textId="5A5F62D8" w:rsidR="00E5138C" w:rsidRPr="00B9629C" w:rsidRDefault="00E5138C" w:rsidP="007D3F93">
            <w:pPr>
              <w:pStyle w:val="ListParagraph"/>
              <w:jc w:val="left"/>
              <w:rPr>
                <w:highlight w:val="darkGray"/>
              </w:rPr>
            </w:pPr>
            <w:r w:rsidRPr="00B9629C">
              <w:rPr>
                <w:highlight w:val="darkGray"/>
              </w:rPr>
              <w:t>unexplained persistent parotid enlargement</w:t>
            </w:r>
            <w:r w:rsidR="00985A1C" w:rsidRPr="00B9629C">
              <w:rPr>
                <w:highlight w:val="darkGray"/>
              </w:rPr>
              <w:t>,</w:t>
            </w:r>
          </w:p>
          <w:p w14:paraId="2C866CEF" w14:textId="5EBCB399" w:rsidR="00E5138C" w:rsidRPr="00B9629C" w:rsidRDefault="00E5138C" w:rsidP="007D3F93">
            <w:pPr>
              <w:pStyle w:val="ListParagraph"/>
              <w:jc w:val="left"/>
              <w:rPr>
                <w:highlight w:val="darkGray"/>
              </w:rPr>
            </w:pPr>
            <w:r w:rsidRPr="00B9629C">
              <w:rPr>
                <w:highlight w:val="darkGray"/>
              </w:rPr>
              <w:t>herpes zoster</w:t>
            </w:r>
            <w:r w:rsidR="00985A1C" w:rsidRPr="00B9629C">
              <w:rPr>
                <w:highlight w:val="darkGray"/>
              </w:rPr>
              <w:t>,</w:t>
            </w:r>
          </w:p>
          <w:p w14:paraId="3C0DD56E" w14:textId="77777777" w:rsidR="00E5138C" w:rsidRPr="00B9629C" w:rsidRDefault="00E5138C" w:rsidP="007D3F93">
            <w:pPr>
              <w:pStyle w:val="ListParagraph"/>
              <w:jc w:val="left"/>
              <w:rPr>
                <w:highlight w:val="darkGray"/>
              </w:rPr>
            </w:pPr>
            <w:r w:rsidRPr="00B9629C">
              <w:rPr>
                <w:highlight w:val="darkGray"/>
              </w:rPr>
              <w:t>recurrent or chronic RTIs, i.e.</w:t>
            </w:r>
          </w:p>
          <w:p w14:paraId="79C1B72C" w14:textId="4F0A31A1" w:rsidR="00E5138C" w:rsidRPr="00B9629C" w:rsidRDefault="00E5138C" w:rsidP="00F7195A">
            <w:pPr>
              <w:pStyle w:val="ListParagraph"/>
              <w:numPr>
                <w:ilvl w:val="1"/>
                <w:numId w:val="5"/>
              </w:numPr>
              <w:jc w:val="left"/>
              <w:rPr>
                <w:highlight w:val="darkGray"/>
              </w:rPr>
            </w:pPr>
            <w:r w:rsidRPr="00B9629C">
              <w:rPr>
                <w:highlight w:val="darkGray"/>
              </w:rPr>
              <w:t>otitis media</w:t>
            </w:r>
            <w:r w:rsidR="00985A1C" w:rsidRPr="00B9629C">
              <w:rPr>
                <w:highlight w:val="darkGray"/>
              </w:rPr>
              <w:t>,</w:t>
            </w:r>
          </w:p>
          <w:p w14:paraId="179D0780" w14:textId="12D12945" w:rsidR="00E5138C" w:rsidRPr="00B9629C" w:rsidRDefault="00E5138C" w:rsidP="00F7195A">
            <w:pPr>
              <w:pStyle w:val="ListParagraph"/>
              <w:numPr>
                <w:ilvl w:val="1"/>
                <w:numId w:val="5"/>
              </w:numPr>
              <w:jc w:val="left"/>
              <w:rPr>
                <w:highlight w:val="darkGray"/>
              </w:rPr>
            </w:pPr>
            <w:r w:rsidRPr="00B9629C">
              <w:rPr>
                <w:highlight w:val="darkGray"/>
              </w:rPr>
              <w:t>otorrhoea</w:t>
            </w:r>
            <w:r w:rsidR="00985A1C" w:rsidRPr="00B9629C">
              <w:rPr>
                <w:highlight w:val="darkGray"/>
              </w:rPr>
              <w:t>,</w:t>
            </w:r>
          </w:p>
          <w:p w14:paraId="7E357E5B" w14:textId="5557C1C9" w:rsidR="00E5138C" w:rsidRPr="00B9629C" w:rsidRDefault="00E5138C" w:rsidP="00F7195A">
            <w:pPr>
              <w:pStyle w:val="ListParagraph"/>
              <w:numPr>
                <w:ilvl w:val="1"/>
                <w:numId w:val="5"/>
              </w:numPr>
              <w:jc w:val="left"/>
              <w:rPr>
                <w:highlight w:val="darkGray"/>
              </w:rPr>
            </w:pPr>
            <w:r w:rsidRPr="00B9629C">
              <w:rPr>
                <w:highlight w:val="darkGray"/>
              </w:rPr>
              <w:t>sinusitis</w:t>
            </w:r>
            <w:r w:rsidR="00985A1C" w:rsidRPr="00B9629C">
              <w:rPr>
                <w:highlight w:val="darkGray"/>
              </w:rPr>
              <w:t>.</w:t>
            </w:r>
          </w:p>
        </w:tc>
      </w:tr>
      <w:tr w:rsidR="00E5138C" w:rsidRPr="00B9629C" w14:paraId="383339D2" w14:textId="77777777" w:rsidTr="00F12F3B">
        <w:tc>
          <w:tcPr>
            <w:tcW w:w="6681" w:type="dxa"/>
          </w:tcPr>
          <w:p w14:paraId="7F91A5F1" w14:textId="77777777" w:rsidR="00E5138C" w:rsidRPr="00B9629C" w:rsidRDefault="00E5138C" w:rsidP="007D3F93">
            <w:pPr>
              <w:pStyle w:val="NoSpacing"/>
              <w:jc w:val="left"/>
              <w:rPr>
                <w:rStyle w:val="Strong"/>
                <w:highlight w:val="darkGray"/>
              </w:rPr>
            </w:pPr>
            <w:r w:rsidRPr="00B9629C">
              <w:rPr>
                <w:rStyle w:val="Strong"/>
                <w:highlight w:val="darkGray"/>
              </w:rPr>
              <w:lastRenderedPageBreak/>
              <w:t>Clinical Stage 3</w:t>
            </w:r>
          </w:p>
          <w:p w14:paraId="11981B45" w14:textId="21156C8C" w:rsidR="00E5138C" w:rsidRPr="00B9629C" w:rsidRDefault="00E5138C" w:rsidP="007D3F93">
            <w:pPr>
              <w:pStyle w:val="ListParagraph"/>
              <w:jc w:val="left"/>
              <w:rPr>
                <w:highlight w:val="darkGray"/>
              </w:rPr>
            </w:pPr>
            <w:r w:rsidRPr="00B9629C">
              <w:rPr>
                <w:highlight w:val="darkGray"/>
              </w:rPr>
              <w:t>moderate unexplained malnutrition (not adequately responding to standard therapy)</w:t>
            </w:r>
            <w:r w:rsidR="00985A1C" w:rsidRPr="00B9629C">
              <w:rPr>
                <w:highlight w:val="darkGray"/>
              </w:rPr>
              <w:t>.</w:t>
            </w:r>
          </w:p>
          <w:p w14:paraId="135ADE57" w14:textId="629D02F7" w:rsidR="00E5138C" w:rsidRPr="00B9629C" w:rsidRDefault="00E5138C" w:rsidP="007D3F93">
            <w:pPr>
              <w:pStyle w:val="ListParagraph"/>
              <w:jc w:val="left"/>
              <w:rPr>
                <w:highlight w:val="darkGray"/>
              </w:rPr>
            </w:pPr>
            <w:r w:rsidRPr="00B9629C">
              <w:rPr>
                <w:highlight w:val="darkGray"/>
              </w:rPr>
              <w:t>unexplained persistent diarrhoea (14 days or more)</w:t>
            </w:r>
            <w:r w:rsidR="00985A1C" w:rsidRPr="00B9629C">
              <w:rPr>
                <w:highlight w:val="darkGray"/>
              </w:rPr>
              <w:t>.</w:t>
            </w:r>
          </w:p>
          <w:p w14:paraId="201072E5" w14:textId="1DBE880D" w:rsidR="00E5138C" w:rsidRPr="00B9629C" w:rsidRDefault="00E5138C" w:rsidP="007D3F93">
            <w:pPr>
              <w:pStyle w:val="ListParagraph"/>
              <w:jc w:val="left"/>
              <w:rPr>
                <w:highlight w:val="darkGray"/>
              </w:rPr>
            </w:pPr>
            <w:r w:rsidRPr="00B9629C">
              <w:rPr>
                <w:highlight w:val="darkGray"/>
              </w:rPr>
              <w:t>unexplained persistent fever (above 37.5°C, intermittent or constant, for longer than one month)</w:t>
            </w:r>
            <w:r w:rsidR="00985A1C" w:rsidRPr="00B9629C">
              <w:rPr>
                <w:highlight w:val="darkGray"/>
              </w:rPr>
              <w:t>.</w:t>
            </w:r>
          </w:p>
          <w:p w14:paraId="32147304" w14:textId="35F9138D" w:rsidR="00E5138C" w:rsidRPr="00B9629C" w:rsidRDefault="00E5138C" w:rsidP="007D3F93">
            <w:pPr>
              <w:pStyle w:val="ListParagraph"/>
              <w:jc w:val="left"/>
              <w:rPr>
                <w:highlight w:val="darkGray"/>
              </w:rPr>
            </w:pPr>
            <w:r w:rsidRPr="00B9629C">
              <w:rPr>
                <w:highlight w:val="darkGray"/>
              </w:rPr>
              <w:t>persistent oral candidiasis (after first 6-8 weeks of life)</w:t>
            </w:r>
            <w:r w:rsidR="00985A1C" w:rsidRPr="00B9629C">
              <w:rPr>
                <w:highlight w:val="darkGray"/>
              </w:rPr>
              <w:t>.</w:t>
            </w:r>
          </w:p>
          <w:p w14:paraId="558D204B" w14:textId="4501926C" w:rsidR="00E5138C" w:rsidRPr="00B9629C" w:rsidRDefault="00E5138C" w:rsidP="007D3F93">
            <w:pPr>
              <w:pStyle w:val="ListParagraph"/>
              <w:jc w:val="left"/>
              <w:rPr>
                <w:highlight w:val="darkGray"/>
              </w:rPr>
            </w:pPr>
            <w:r w:rsidRPr="00B9629C">
              <w:rPr>
                <w:highlight w:val="darkGray"/>
              </w:rPr>
              <w:t>oral hairy leukoplakia</w:t>
            </w:r>
            <w:r w:rsidR="00985A1C" w:rsidRPr="00B9629C">
              <w:rPr>
                <w:highlight w:val="darkGray"/>
              </w:rPr>
              <w:t>.</w:t>
            </w:r>
          </w:p>
          <w:p w14:paraId="221CADCC" w14:textId="046C2E36" w:rsidR="00E5138C" w:rsidRPr="00B9629C" w:rsidRDefault="00E5138C" w:rsidP="007D3F93">
            <w:pPr>
              <w:pStyle w:val="ListParagraph"/>
              <w:jc w:val="left"/>
              <w:rPr>
                <w:highlight w:val="darkGray"/>
              </w:rPr>
            </w:pPr>
            <w:r w:rsidRPr="00B9629C">
              <w:rPr>
                <w:highlight w:val="darkGray"/>
              </w:rPr>
              <w:t>acute necrotising ulcerative gingivitis/periodontitis</w:t>
            </w:r>
            <w:r w:rsidR="00985A1C" w:rsidRPr="00B9629C">
              <w:rPr>
                <w:highlight w:val="darkGray"/>
              </w:rPr>
              <w:t>.</w:t>
            </w:r>
          </w:p>
          <w:p w14:paraId="414428B3" w14:textId="70D5EAD5" w:rsidR="00E5138C" w:rsidRPr="00B9629C" w:rsidRDefault="00E5138C" w:rsidP="007D3F93">
            <w:pPr>
              <w:pStyle w:val="ListParagraph"/>
              <w:jc w:val="left"/>
              <w:rPr>
                <w:highlight w:val="darkGray"/>
              </w:rPr>
            </w:pPr>
            <w:r w:rsidRPr="00B9629C">
              <w:rPr>
                <w:highlight w:val="darkGray"/>
              </w:rPr>
              <w:t>lymph node TB</w:t>
            </w:r>
            <w:r w:rsidR="00985A1C" w:rsidRPr="00B9629C">
              <w:rPr>
                <w:highlight w:val="darkGray"/>
              </w:rPr>
              <w:t>.</w:t>
            </w:r>
          </w:p>
          <w:p w14:paraId="6EDA40B4" w14:textId="2BAA9DEB" w:rsidR="00E5138C" w:rsidRPr="00B9629C" w:rsidRDefault="00E5138C" w:rsidP="007D3F93">
            <w:pPr>
              <w:pStyle w:val="ListParagraph"/>
              <w:jc w:val="left"/>
              <w:rPr>
                <w:highlight w:val="darkGray"/>
              </w:rPr>
            </w:pPr>
            <w:r w:rsidRPr="00B9629C">
              <w:rPr>
                <w:highlight w:val="darkGray"/>
              </w:rPr>
              <w:t>pulmonary TB</w:t>
            </w:r>
            <w:r w:rsidR="00985A1C" w:rsidRPr="00B9629C">
              <w:rPr>
                <w:highlight w:val="darkGray"/>
              </w:rPr>
              <w:t>.</w:t>
            </w:r>
          </w:p>
          <w:p w14:paraId="45F125E3" w14:textId="52A737FB" w:rsidR="00E5138C" w:rsidRPr="00B9629C" w:rsidRDefault="00E5138C" w:rsidP="007D3F93">
            <w:pPr>
              <w:pStyle w:val="ListParagraph"/>
              <w:jc w:val="left"/>
              <w:rPr>
                <w:highlight w:val="darkGray"/>
              </w:rPr>
            </w:pPr>
            <w:r w:rsidRPr="00B9629C">
              <w:rPr>
                <w:highlight w:val="darkGray"/>
              </w:rPr>
              <w:t>severe recurrent bacterial pneumonia</w:t>
            </w:r>
            <w:r w:rsidR="00985A1C" w:rsidRPr="00B9629C">
              <w:rPr>
                <w:highlight w:val="darkGray"/>
              </w:rPr>
              <w:t>.</w:t>
            </w:r>
          </w:p>
          <w:p w14:paraId="4F474FE7" w14:textId="45DC3113" w:rsidR="00E5138C" w:rsidRPr="00B9629C" w:rsidRDefault="00E5138C" w:rsidP="007D3F93">
            <w:pPr>
              <w:pStyle w:val="ListParagraph"/>
              <w:jc w:val="left"/>
              <w:rPr>
                <w:highlight w:val="darkGray"/>
              </w:rPr>
            </w:pPr>
            <w:r w:rsidRPr="00B9629C">
              <w:rPr>
                <w:highlight w:val="darkGray"/>
              </w:rPr>
              <w:t>chronic HIV-associated lung disease including bronchiectasis</w:t>
            </w:r>
            <w:r w:rsidR="00985A1C" w:rsidRPr="00B9629C">
              <w:rPr>
                <w:highlight w:val="darkGray"/>
              </w:rPr>
              <w:t>.</w:t>
            </w:r>
          </w:p>
          <w:p w14:paraId="7DD133F8" w14:textId="588948C8" w:rsidR="00E5138C" w:rsidRPr="00B9629C" w:rsidRDefault="00E5138C" w:rsidP="007D3F93">
            <w:pPr>
              <w:pStyle w:val="ListParagraph"/>
              <w:jc w:val="left"/>
              <w:rPr>
                <w:highlight w:val="darkGray"/>
              </w:rPr>
            </w:pPr>
            <w:r w:rsidRPr="00B9629C">
              <w:rPr>
                <w:highlight w:val="darkGray"/>
              </w:rPr>
              <w:t>symptomatic lymphoid interstitial pneumonitis (LIP)</w:t>
            </w:r>
            <w:r w:rsidR="00985A1C" w:rsidRPr="00B9629C">
              <w:rPr>
                <w:highlight w:val="darkGray"/>
              </w:rPr>
              <w:t>.</w:t>
            </w:r>
          </w:p>
          <w:p w14:paraId="5DC3B63D" w14:textId="508159FD" w:rsidR="00E5138C" w:rsidRPr="00B9629C" w:rsidRDefault="00E5138C" w:rsidP="007D3F93">
            <w:pPr>
              <w:pStyle w:val="ListParagraph"/>
              <w:jc w:val="left"/>
              <w:rPr>
                <w:highlight w:val="darkGray"/>
              </w:rPr>
            </w:pPr>
            <w:r w:rsidRPr="00B9629C">
              <w:rPr>
                <w:highlight w:val="darkGray"/>
              </w:rPr>
              <w:t>unexplained anaemia (</w:t>
            </w:r>
            <w:r w:rsidR="00724290" w:rsidRPr="00B9629C">
              <w:rPr>
                <w:highlight w:val="darkGray"/>
              </w:rPr>
              <w:t>&lt;</w:t>
            </w:r>
            <w:r w:rsidRPr="00B9629C">
              <w:rPr>
                <w:highlight w:val="darkGray"/>
              </w:rPr>
              <w:t>8 g/dL), and or neutropaenia (</w:t>
            </w:r>
            <w:r w:rsidR="00724290" w:rsidRPr="00B9629C">
              <w:rPr>
                <w:highlight w:val="darkGray"/>
              </w:rPr>
              <w:t>&lt;</w:t>
            </w:r>
            <w:r w:rsidRPr="00B9629C">
              <w:rPr>
                <w:highlight w:val="darkGray"/>
              </w:rPr>
              <w:t>500/mm</w:t>
            </w:r>
            <w:r w:rsidRPr="00B9629C">
              <w:rPr>
                <w:highlight w:val="darkGray"/>
                <w:vertAlign w:val="superscript"/>
              </w:rPr>
              <w:t>3</w:t>
            </w:r>
            <w:r w:rsidRPr="00B9629C">
              <w:rPr>
                <w:highlight w:val="darkGray"/>
              </w:rPr>
              <w:t>) and/or thrombocytopaenia (</w:t>
            </w:r>
            <w:r w:rsidR="00724290" w:rsidRPr="00B9629C">
              <w:rPr>
                <w:highlight w:val="darkGray"/>
              </w:rPr>
              <w:t>&lt;</w:t>
            </w:r>
            <w:r w:rsidRPr="00B9629C">
              <w:rPr>
                <w:highlight w:val="darkGray"/>
              </w:rPr>
              <w:t>50 000/mm</w:t>
            </w:r>
            <w:r w:rsidRPr="00B9629C">
              <w:rPr>
                <w:highlight w:val="darkGray"/>
                <w:vertAlign w:val="superscript"/>
              </w:rPr>
              <w:t>3</w:t>
            </w:r>
            <w:r w:rsidRPr="00B9629C">
              <w:rPr>
                <w:highlight w:val="darkGray"/>
              </w:rPr>
              <w:t>) for more than one month</w:t>
            </w:r>
            <w:r w:rsidR="00985A1C" w:rsidRPr="00B9629C">
              <w:rPr>
                <w:highlight w:val="darkGray"/>
              </w:rPr>
              <w:t>.</w:t>
            </w:r>
          </w:p>
        </w:tc>
      </w:tr>
      <w:tr w:rsidR="00E5138C" w:rsidRPr="00B9629C" w14:paraId="60A19D7D" w14:textId="77777777" w:rsidTr="00F12F3B">
        <w:tc>
          <w:tcPr>
            <w:tcW w:w="6681" w:type="dxa"/>
          </w:tcPr>
          <w:p w14:paraId="203E0A34" w14:textId="77777777" w:rsidR="00E5138C" w:rsidRPr="00B9629C" w:rsidRDefault="00E5138C" w:rsidP="00C62F4C">
            <w:pPr>
              <w:pStyle w:val="NoSpacing"/>
              <w:jc w:val="left"/>
              <w:rPr>
                <w:rStyle w:val="Strong"/>
                <w:highlight w:val="darkGray"/>
              </w:rPr>
            </w:pPr>
            <w:r w:rsidRPr="00B9629C">
              <w:rPr>
                <w:rStyle w:val="Strong"/>
                <w:highlight w:val="darkGray"/>
              </w:rPr>
              <w:t>Clinical Stage 4</w:t>
            </w:r>
          </w:p>
          <w:p w14:paraId="071A295D" w14:textId="458CB628" w:rsidR="00E5138C" w:rsidRPr="00B9629C" w:rsidRDefault="00E5138C" w:rsidP="00C62F4C">
            <w:pPr>
              <w:pStyle w:val="ListParagraph"/>
              <w:jc w:val="left"/>
              <w:rPr>
                <w:highlight w:val="darkGray"/>
              </w:rPr>
            </w:pPr>
            <w:r w:rsidRPr="00B9629C">
              <w:rPr>
                <w:highlight w:val="darkGray"/>
              </w:rPr>
              <w:t>unexplained severe wasting, stunting or severe malnutrition not adequately responding to standard therapy</w:t>
            </w:r>
            <w:r w:rsidR="00985A1C" w:rsidRPr="00B9629C">
              <w:rPr>
                <w:highlight w:val="darkGray"/>
              </w:rPr>
              <w:t>.</w:t>
            </w:r>
          </w:p>
          <w:p w14:paraId="11B1784E" w14:textId="4D68A453" w:rsidR="00E5138C" w:rsidRPr="00B9629C" w:rsidRDefault="00E5138C" w:rsidP="00C62F4C">
            <w:pPr>
              <w:pStyle w:val="ListParagraph"/>
              <w:jc w:val="left"/>
              <w:rPr>
                <w:highlight w:val="darkGray"/>
              </w:rPr>
            </w:pPr>
            <w:r w:rsidRPr="00B9629C">
              <w:rPr>
                <w:highlight w:val="darkGray"/>
              </w:rPr>
              <w:t>pneumocystis pneumonia</w:t>
            </w:r>
            <w:r w:rsidR="00985A1C" w:rsidRPr="00B9629C">
              <w:rPr>
                <w:highlight w:val="darkGray"/>
              </w:rPr>
              <w:t>.</w:t>
            </w:r>
          </w:p>
          <w:p w14:paraId="6060FF8E" w14:textId="09C1A4B0" w:rsidR="00E5138C" w:rsidRPr="00B9629C" w:rsidRDefault="00E5138C" w:rsidP="00C62F4C">
            <w:pPr>
              <w:pStyle w:val="ListParagraph"/>
              <w:jc w:val="left"/>
              <w:rPr>
                <w:highlight w:val="darkGray"/>
              </w:rPr>
            </w:pPr>
            <w:r w:rsidRPr="00B9629C">
              <w:rPr>
                <w:highlight w:val="darkGray"/>
              </w:rPr>
              <w:t>recurrent severe presumed bacterial infections, e.g.</w:t>
            </w:r>
          </w:p>
          <w:tbl>
            <w:tblPr>
              <w:tblW w:w="0" w:type="auto"/>
              <w:tblInd w:w="426" w:type="dxa"/>
              <w:tblLook w:val="04A0" w:firstRow="1" w:lastRow="0" w:firstColumn="1" w:lastColumn="0" w:noHBand="0" w:noVBand="1"/>
            </w:tblPr>
            <w:tblGrid>
              <w:gridCol w:w="3026"/>
              <w:gridCol w:w="3013"/>
            </w:tblGrid>
            <w:tr w:rsidR="00E5138C" w:rsidRPr="00B9629C" w14:paraId="6E2450CC" w14:textId="77777777" w:rsidTr="00352DAD">
              <w:tc>
                <w:tcPr>
                  <w:tcW w:w="3227" w:type="dxa"/>
                </w:tcPr>
                <w:p w14:paraId="0438E5C6" w14:textId="77777777" w:rsidR="00E5138C" w:rsidRPr="00B9629C" w:rsidRDefault="00E5138C" w:rsidP="009750A0">
                  <w:pPr>
                    <w:pStyle w:val="ListParagraph"/>
                    <w:numPr>
                      <w:ilvl w:val="1"/>
                      <w:numId w:val="5"/>
                    </w:numPr>
                    <w:rPr>
                      <w:sz w:val="16"/>
                      <w:highlight w:val="darkGray"/>
                    </w:rPr>
                  </w:pPr>
                  <w:r w:rsidRPr="00B9629C">
                    <w:rPr>
                      <w:sz w:val="16"/>
                      <w:highlight w:val="darkGray"/>
                    </w:rPr>
                    <w:t>empyema</w:t>
                  </w:r>
                </w:p>
              </w:tc>
              <w:tc>
                <w:tcPr>
                  <w:tcW w:w="3227" w:type="dxa"/>
                </w:tcPr>
                <w:p w14:paraId="15D381B9" w14:textId="77777777" w:rsidR="00E5138C" w:rsidRPr="00B9629C" w:rsidRDefault="00E5138C" w:rsidP="009750A0">
                  <w:pPr>
                    <w:pStyle w:val="ListParagraph"/>
                    <w:numPr>
                      <w:ilvl w:val="1"/>
                      <w:numId w:val="5"/>
                    </w:numPr>
                    <w:rPr>
                      <w:sz w:val="16"/>
                      <w:highlight w:val="darkGray"/>
                    </w:rPr>
                  </w:pPr>
                  <w:r w:rsidRPr="00B9629C">
                    <w:rPr>
                      <w:sz w:val="16"/>
                      <w:highlight w:val="darkGray"/>
                    </w:rPr>
                    <w:t>bone or joint infection</w:t>
                  </w:r>
                </w:p>
              </w:tc>
            </w:tr>
            <w:tr w:rsidR="00E5138C" w:rsidRPr="00B9629C" w14:paraId="7F050727" w14:textId="77777777" w:rsidTr="00352DAD">
              <w:tc>
                <w:tcPr>
                  <w:tcW w:w="3227" w:type="dxa"/>
                </w:tcPr>
                <w:p w14:paraId="023CA3F7" w14:textId="77777777" w:rsidR="00E5138C" w:rsidRPr="00B9629C" w:rsidRDefault="00E5138C" w:rsidP="009750A0">
                  <w:pPr>
                    <w:pStyle w:val="ListParagraph"/>
                    <w:numPr>
                      <w:ilvl w:val="1"/>
                      <w:numId w:val="5"/>
                    </w:numPr>
                    <w:rPr>
                      <w:sz w:val="16"/>
                      <w:highlight w:val="darkGray"/>
                    </w:rPr>
                  </w:pPr>
                  <w:r w:rsidRPr="00B9629C">
                    <w:rPr>
                      <w:sz w:val="16"/>
                      <w:highlight w:val="darkGray"/>
                    </w:rPr>
                    <w:t>pyomyositis</w:t>
                  </w:r>
                </w:p>
              </w:tc>
              <w:tc>
                <w:tcPr>
                  <w:tcW w:w="3227" w:type="dxa"/>
                </w:tcPr>
                <w:p w14:paraId="6B6AE5F6" w14:textId="77777777" w:rsidR="00E5138C" w:rsidRPr="00B9629C" w:rsidRDefault="00E5138C" w:rsidP="009750A0">
                  <w:pPr>
                    <w:pStyle w:val="ListParagraph"/>
                    <w:numPr>
                      <w:ilvl w:val="1"/>
                      <w:numId w:val="5"/>
                    </w:numPr>
                    <w:rPr>
                      <w:sz w:val="16"/>
                      <w:highlight w:val="darkGray"/>
                    </w:rPr>
                  </w:pPr>
                  <w:r w:rsidRPr="00B9629C">
                    <w:rPr>
                      <w:sz w:val="16"/>
                      <w:highlight w:val="darkGray"/>
                    </w:rPr>
                    <w:t>meningitis</w:t>
                  </w:r>
                </w:p>
              </w:tc>
            </w:tr>
          </w:tbl>
          <w:p w14:paraId="7EF04C97" w14:textId="4B6C1D40" w:rsidR="00E5138C" w:rsidRPr="00B9629C" w:rsidRDefault="00E5138C" w:rsidP="00C62F4C">
            <w:pPr>
              <w:pStyle w:val="ListParagraph"/>
              <w:jc w:val="left"/>
              <w:rPr>
                <w:highlight w:val="darkGray"/>
              </w:rPr>
            </w:pPr>
            <w:r w:rsidRPr="00B9629C">
              <w:rPr>
                <w:rStyle w:val="Emphasis"/>
                <w:highlight w:val="darkGray"/>
              </w:rPr>
              <w:t>but</w:t>
            </w:r>
            <w:r w:rsidRPr="00B9629C">
              <w:rPr>
                <w:highlight w:val="darkGray"/>
              </w:rPr>
              <w:t xml:space="preserve"> excluding pneumonia</w:t>
            </w:r>
            <w:r w:rsidR="00985A1C" w:rsidRPr="00B9629C">
              <w:rPr>
                <w:highlight w:val="darkGray"/>
              </w:rPr>
              <w:t>,</w:t>
            </w:r>
          </w:p>
          <w:p w14:paraId="63B72C92" w14:textId="20FE7C11" w:rsidR="00E5138C" w:rsidRPr="00B9629C" w:rsidRDefault="00E5138C" w:rsidP="00C62F4C">
            <w:pPr>
              <w:pStyle w:val="ListParagraph"/>
              <w:jc w:val="left"/>
              <w:rPr>
                <w:highlight w:val="darkGray"/>
              </w:rPr>
            </w:pPr>
            <w:r w:rsidRPr="00B9629C">
              <w:rPr>
                <w:highlight w:val="darkGray"/>
              </w:rPr>
              <w:t>chronic herpes simplex infection; (orolabial or cutaneous of more than one month’s duration or visceral at any site)</w:t>
            </w:r>
            <w:r w:rsidR="00985A1C" w:rsidRPr="00B9629C">
              <w:rPr>
                <w:highlight w:val="darkGray"/>
              </w:rPr>
              <w:t>,</w:t>
            </w:r>
          </w:p>
          <w:p w14:paraId="0535D6A7" w14:textId="79D986B3" w:rsidR="00E5138C" w:rsidRPr="00B9629C" w:rsidRDefault="00E5138C" w:rsidP="00C62F4C">
            <w:pPr>
              <w:pStyle w:val="ListParagraph"/>
              <w:jc w:val="left"/>
              <w:rPr>
                <w:highlight w:val="darkGray"/>
              </w:rPr>
            </w:pPr>
            <w:r w:rsidRPr="00B9629C">
              <w:rPr>
                <w:highlight w:val="darkGray"/>
              </w:rPr>
              <w:t>extrapulmonary TB</w:t>
            </w:r>
            <w:r w:rsidR="00985A1C" w:rsidRPr="00B9629C">
              <w:rPr>
                <w:highlight w:val="darkGray"/>
              </w:rPr>
              <w:t>,</w:t>
            </w:r>
          </w:p>
          <w:p w14:paraId="7D787093" w14:textId="31C72071" w:rsidR="00E5138C" w:rsidRPr="00B9629C" w:rsidRDefault="00E5138C" w:rsidP="00C62F4C">
            <w:pPr>
              <w:pStyle w:val="ListParagraph"/>
              <w:jc w:val="left"/>
              <w:rPr>
                <w:highlight w:val="darkGray"/>
              </w:rPr>
            </w:pPr>
            <w:r w:rsidRPr="00B9629C">
              <w:rPr>
                <w:highlight w:val="darkGray"/>
              </w:rPr>
              <w:t>Kaposi’s sarcoma</w:t>
            </w:r>
            <w:r w:rsidR="00985A1C" w:rsidRPr="00B9629C">
              <w:rPr>
                <w:highlight w:val="darkGray"/>
              </w:rPr>
              <w:t>,</w:t>
            </w:r>
          </w:p>
          <w:p w14:paraId="1083A22E" w14:textId="23CFDF9C" w:rsidR="00E5138C" w:rsidRPr="00B9629C" w:rsidRDefault="00E5138C" w:rsidP="00C62F4C">
            <w:pPr>
              <w:pStyle w:val="ListParagraph"/>
              <w:jc w:val="left"/>
              <w:rPr>
                <w:highlight w:val="darkGray"/>
              </w:rPr>
            </w:pPr>
            <w:r w:rsidRPr="00B9629C">
              <w:rPr>
                <w:highlight w:val="darkGray"/>
              </w:rPr>
              <w:t>oesophageal candidiasis (or candidiasis of trachea, bronchi or lungs)</w:t>
            </w:r>
            <w:r w:rsidR="00985A1C" w:rsidRPr="00B9629C">
              <w:rPr>
                <w:highlight w:val="darkGray"/>
              </w:rPr>
              <w:t>,</w:t>
            </w:r>
          </w:p>
          <w:p w14:paraId="24F16C0B" w14:textId="59F2607C" w:rsidR="00E5138C" w:rsidRPr="00B9629C" w:rsidRDefault="00E5138C" w:rsidP="00C62F4C">
            <w:pPr>
              <w:pStyle w:val="ListParagraph"/>
              <w:jc w:val="left"/>
              <w:rPr>
                <w:highlight w:val="darkGray"/>
              </w:rPr>
            </w:pPr>
            <w:r w:rsidRPr="00B9629C">
              <w:rPr>
                <w:highlight w:val="darkGray"/>
              </w:rPr>
              <w:t>CNS toxoplasmosis (outside the neonatal period)</w:t>
            </w:r>
            <w:r w:rsidR="00985A1C" w:rsidRPr="00B9629C">
              <w:rPr>
                <w:highlight w:val="darkGray"/>
              </w:rPr>
              <w:t>,</w:t>
            </w:r>
          </w:p>
          <w:p w14:paraId="5CCAB7B6" w14:textId="48B174F5" w:rsidR="00E5138C" w:rsidRPr="00B9629C" w:rsidRDefault="00E5138C" w:rsidP="00C62F4C">
            <w:pPr>
              <w:pStyle w:val="ListParagraph"/>
              <w:jc w:val="left"/>
              <w:rPr>
                <w:highlight w:val="darkGray"/>
              </w:rPr>
            </w:pPr>
            <w:r w:rsidRPr="00B9629C">
              <w:rPr>
                <w:highlight w:val="darkGray"/>
              </w:rPr>
              <w:t>HIV encephalopathy</w:t>
            </w:r>
            <w:r w:rsidR="00985A1C" w:rsidRPr="00B9629C">
              <w:rPr>
                <w:highlight w:val="darkGray"/>
              </w:rPr>
              <w:t>,</w:t>
            </w:r>
          </w:p>
          <w:p w14:paraId="67F6B986" w14:textId="23050BCD" w:rsidR="00E5138C" w:rsidRPr="00B9629C" w:rsidRDefault="00E5138C" w:rsidP="00C62F4C">
            <w:pPr>
              <w:pStyle w:val="ListParagraph"/>
              <w:jc w:val="left"/>
              <w:rPr>
                <w:highlight w:val="darkGray"/>
              </w:rPr>
            </w:pPr>
            <w:r w:rsidRPr="00B9629C">
              <w:rPr>
                <w:highlight w:val="darkGray"/>
              </w:rPr>
              <w:t>CMV infection (CMV retinitis or infections of organs other than liver, spleen or lymph nodes; onset at age one month of more)</w:t>
            </w:r>
            <w:r w:rsidR="00985A1C" w:rsidRPr="00B9629C">
              <w:rPr>
                <w:highlight w:val="darkGray"/>
              </w:rPr>
              <w:t>,</w:t>
            </w:r>
          </w:p>
          <w:p w14:paraId="7F3845E8" w14:textId="64CE97B0" w:rsidR="00E5138C" w:rsidRPr="00B9629C" w:rsidRDefault="00E5138C" w:rsidP="00C62F4C">
            <w:pPr>
              <w:pStyle w:val="ListParagraph"/>
              <w:jc w:val="left"/>
              <w:rPr>
                <w:highlight w:val="darkGray"/>
              </w:rPr>
            </w:pPr>
            <w:r w:rsidRPr="00B9629C">
              <w:rPr>
                <w:highlight w:val="darkGray"/>
              </w:rPr>
              <w:t>extrapulmonary cryptococcosis including meningitis</w:t>
            </w:r>
            <w:r w:rsidR="00985A1C" w:rsidRPr="00B9629C">
              <w:rPr>
                <w:highlight w:val="darkGray"/>
              </w:rPr>
              <w:t>,</w:t>
            </w:r>
          </w:p>
          <w:p w14:paraId="2CDEDBA1" w14:textId="728577BF" w:rsidR="00E5138C" w:rsidRPr="00B9629C" w:rsidRDefault="00E5138C" w:rsidP="00C62F4C">
            <w:pPr>
              <w:pStyle w:val="ListParagraph"/>
              <w:jc w:val="left"/>
              <w:rPr>
                <w:highlight w:val="darkGray"/>
              </w:rPr>
            </w:pPr>
            <w:r w:rsidRPr="00B9629C">
              <w:rPr>
                <w:highlight w:val="darkGray"/>
              </w:rPr>
              <w:t>any disseminated endemic mycosis, e.g.</w:t>
            </w:r>
          </w:p>
          <w:p w14:paraId="7C9C7D30" w14:textId="1A123CEC" w:rsidR="00E5138C" w:rsidRPr="00B9629C" w:rsidRDefault="00E5138C" w:rsidP="00F7195A">
            <w:pPr>
              <w:pStyle w:val="ListParagraph"/>
              <w:numPr>
                <w:ilvl w:val="1"/>
                <w:numId w:val="5"/>
              </w:numPr>
              <w:jc w:val="left"/>
              <w:rPr>
                <w:highlight w:val="darkGray"/>
              </w:rPr>
            </w:pPr>
            <w:r w:rsidRPr="00B9629C">
              <w:rPr>
                <w:highlight w:val="darkGray"/>
              </w:rPr>
              <w:t>extrapulmonary histoplasmosis</w:t>
            </w:r>
            <w:r w:rsidR="00985A1C" w:rsidRPr="00B9629C">
              <w:rPr>
                <w:highlight w:val="darkGray"/>
              </w:rPr>
              <w:t>,</w:t>
            </w:r>
          </w:p>
          <w:p w14:paraId="1A7B8224" w14:textId="44CB0B2A" w:rsidR="00E5138C" w:rsidRPr="00B9629C" w:rsidRDefault="00E5138C" w:rsidP="00F7195A">
            <w:pPr>
              <w:pStyle w:val="ListParagraph"/>
              <w:numPr>
                <w:ilvl w:val="1"/>
                <w:numId w:val="5"/>
              </w:numPr>
              <w:jc w:val="left"/>
              <w:rPr>
                <w:highlight w:val="darkGray"/>
              </w:rPr>
            </w:pPr>
            <w:r w:rsidRPr="00B9629C">
              <w:rPr>
                <w:highlight w:val="darkGray"/>
              </w:rPr>
              <w:t>coccidiomycosis</w:t>
            </w:r>
            <w:r w:rsidR="00985A1C" w:rsidRPr="00B9629C">
              <w:rPr>
                <w:highlight w:val="darkGray"/>
              </w:rPr>
              <w:t>,</w:t>
            </w:r>
          </w:p>
          <w:p w14:paraId="0F3C618B" w14:textId="6A60FA11" w:rsidR="00E5138C" w:rsidRPr="00B9629C" w:rsidRDefault="00E5138C" w:rsidP="00F7195A">
            <w:pPr>
              <w:pStyle w:val="ListParagraph"/>
              <w:numPr>
                <w:ilvl w:val="1"/>
                <w:numId w:val="5"/>
              </w:numPr>
              <w:jc w:val="left"/>
              <w:rPr>
                <w:highlight w:val="darkGray"/>
              </w:rPr>
            </w:pPr>
            <w:r w:rsidRPr="00B9629C">
              <w:rPr>
                <w:highlight w:val="darkGray"/>
              </w:rPr>
              <w:t>chronic cryptosporidiosis</w:t>
            </w:r>
            <w:r w:rsidR="00985A1C" w:rsidRPr="00B9629C">
              <w:rPr>
                <w:highlight w:val="darkGray"/>
              </w:rPr>
              <w:t>,</w:t>
            </w:r>
          </w:p>
          <w:p w14:paraId="1A76C965" w14:textId="0FC5B47D" w:rsidR="00E5138C" w:rsidRPr="00B9629C" w:rsidRDefault="00E5138C" w:rsidP="00F7195A">
            <w:pPr>
              <w:pStyle w:val="ListParagraph"/>
              <w:numPr>
                <w:ilvl w:val="1"/>
                <w:numId w:val="5"/>
              </w:numPr>
              <w:jc w:val="left"/>
              <w:rPr>
                <w:highlight w:val="darkGray"/>
              </w:rPr>
            </w:pPr>
            <w:r w:rsidRPr="00B9629C">
              <w:rPr>
                <w:highlight w:val="darkGray"/>
              </w:rPr>
              <w:lastRenderedPageBreak/>
              <w:t>chronic isosporiasis</w:t>
            </w:r>
            <w:r w:rsidR="00985A1C" w:rsidRPr="00B9629C">
              <w:rPr>
                <w:highlight w:val="darkGray"/>
              </w:rPr>
              <w:t>,</w:t>
            </w:r>
          </w:p>
          <w:p w14:paraId="5A18EE7F" w14:textId="3742267E" w:rsidR="00E5138C" w:rsidRPr="00B9629C" w:rsidRDefault="00E5138C" w:rsidP="00C62F4C">
            <w:pPr>
              <w:pStyle w:val="ListParagraph"/>
              <w:jc w:val="left"/>
              <w:rPr>
                <w:highlight w:val="darkGray"/>
              </w:rPr>
            </w:pPr>
            <w:r w:rsidRPr="00B9629C">
              <w:rPr>
                <w:highlight w:val="darkGray"/>
              </w:rPr>
              <w:t>disseminated non-tuberculous mycobacteria infection</w:t>
            </w:r>
            <w:r w:rsidR="00985A1C" w:rsidRPr="00B9629C">
              <w:rPr>
                <w:highlight w:val="darkGray"/>
              </w:rPr>
              <w:t>,</w:t>
            </w:r>
          </w:p>
          <w:p w14:paraId="098270EE" w14:textId="0DD5504B" w:rsidR="00E5138C" w:rsidRPr="00B9629C" w:rsidRDefault="00E5138C" w:rsidP="00C62F4C">
            <w:pPr>
              <w:pStyle w:val="ListParagraph"/>
              <w:jc w:val="left"/>
              <w:rPr>
                <w:highlight w:val="darkGray"/>
              </w:rPr>
            </w:pPr>
            <w:r w:rsidRPr="00B9629C">
              <w:rPr>
                <w:highlight w:val="darkGray"/>
              </w:rPr>
              <w:t>HIV associated recto-vaginal fistula</w:t>
            </w:r>
            <w:r w:rsidR="00985A1C" w:rsidRPr="00B9629C">
              <w:rPr>
                <w:highlight w:val="darkGray"/>
              </w:rPr>
              <w:t>,</w:t>
            </w:r>
          </w:p>
          <w:p w14:paraId="6C33186D" w14:textId="3225C439" w:rsidR="00E5138C" w:rsidRPr="00B9629C" w:rsidRDefault="00E5138C" w:rsidP="00C62F4C">
            <w:pPr>
              <w:pStyle w:val="ListParagraph"/>
              <w:jc w:val="left"/>
              <w:rPr>
                <w:highlight w:val="darkGray"/>
              </w:rPr>
            </w:pPr>
            <w:r w:rsidRPr="00B9629C">
              <w:rPr>
                <w:highlight w:val="darkGray"/>
              </w:rPr>
              <w:t>cerebral or B cell non-Hodgkin lymphoma</w:t>
            </w:r>
            <w:r w:rsidR="00985A1C" w:rsidRPr="00B9629C">
              <w:rPr>
                <w:highlight w:val="darkGray"/>
              </w:rPr>
              <w:t>,</w:t>
            </w:r>
          </w:p>
          <w:p w14:paraId="7F3CEFC0" w14:textId="5FFD803C" w:rsidR="00E5138C" w:rsidRPr="00B9629C" w:rsidRDefault="00E5138C" w:rsidP="00C62F4C">
            <w:pPr>
              <w:pStyle w:val="ListParagraph"/>
              <w:jc w:val="left"/>
              <w:rPr>
                <w:highlight w:val="darkGray"/>
              </w:rPr>
            </w:pPr>
            <w:r w:rsidRPr="00B9629C">
              <w:rPr>
                <w:highlight w:val="darkGray"/>
              </w:rPr>
              <w:t>progressive multifocal leukoencephalopathy (PML)</w:t>
            </w:r>
            <w:r w:rsidR="00985A1C" w:rsidRPr="00B9629C">
              <w:rPr>
                <w:highlight w:val="darkGray"/>
              </w:rPr>
              <w:t>,</w:t>
            </w:r>
          </w:p>
          <w:p w14:paraId="5FC69727" w14:textId="27D80012" w:rsidR="00E5138C" w:rsidRPr="00B9629C" w:rsidRDefault="00E5138C" w:rsidP="00C62F4C">
            <w:pPr>
              <w:pStyle w:val="ListParagraph"/>
              <w:jc w:val="left"/>
              <w:rPr>
                <w:highlight w:val="darkGray"/>
              </w:rPr>
            </w:pPr>
            <w:r w:rsidRPr="00B9629C">
              <w:rPr>
                <w:highlight w:val="darkGray"/>
              </w:rPr>
              <w:t>HIV-associated cardiomyopathy or HIV-associated nephropathy</w:t>
            </w:r>
            <w:r w:rsidR="00985A1C" w:rsidRPr="00B9629C">
              <w:rPr>
                <w:highlight w:val="darkGray"/>
              </w:rPr>
              <w:t>.</w:t>
            </w:r>
          </w:p>
        </w:tc>
      </w:tr>
    </w:tbl>
    <w:p w14:paraId="7CC7BD63" w14:textId="394C4357" w:rsidR="00E5138C" w:rsidRPr="00B9629C" w:rsidRDefault="00E32922" w:rsidP="00E32922">
      <w:pPr>
        <w:spacing w:before="0"/>
        <w:rPr>
          <w:sz w:val="16"/>
          <w:highlight w:val="darkGray"/>
        </w:rPr>
      </w:pPr>
      <w:r w:rsidRPr="00B9629C">
        <w:rPr>
          <w:b/>
          <w:sz w:val="16"/>
          <w:highlight w:val="darkGray"/>
        </w:rPr>
        <w:lastRenderedPageBreak/>
        <w:t>Table 11</w:t>
      </w:r>
      <w:r w:rsidR="002A2159" w:rsidRPr="00B9629C">
        <w:rPr>
          <w:b/>
          <w:sz w:val="16"/>
          <w:highlight w:val="darkGray"/>
        </w:rPr>
        <w:t>.</w:t>
      </w:r>
      <w:r w:rsidR="00D1728C" w:rsidRPr="00B9629C">
        <w:rPr>
          <w:b/>
          <w:sz w:val="16"/>
          <w:highlight w:val="darkGray"/>
        </w:rPr>
        <w:t>8</w:t>
      </w:r>
      <w:r w:rsidRPr="00B9629C">
        <w:rPr>
          <w:b/>
          <w:sz w:val="16"/>
          <w:highlight w:val="darkGray"/>
        </w:rPr>
        <w:t>:</w:t>
      </w:r>
      <w:r w:rsidRPr="00B9629C">
        <w:rPr>
          <w:sz w:val="16"/>
          <w:highlight w:val="darkGray"/>
        </w:rPr>
        <w:t xml:space="preserve"> WHO clinical staging for infants and children</w:t>
      </w:r>
    </w:p>
    <w:p w14:paraId="4BB62619" w14:textId="77777777" w:rsidR="00E32922" w:rsidRPr="00B9629C" w:rsidRDefault="00E32922" w:rsidP="00E5138C">
      <w:pPr>
        <w:rPr>
          <w:highlight w:val="darkGray"/>
        </w:rPr>
      </w:pPr>
    </w:p>
    <w:p w14:paraId="15B97940" w14:textId="5877898D" w:rsidR="00E5138C" w:rsidRPr="00B9629C" w:rsidRDefault="00712563" w:rsidP="00F12F3B">
      <w:pPr>
        <w:pStyle w:val="Heading2"/>
        <w:rPr>
          <w:highlight w:val="darkGray"/>
        </w:rPr>
      </w:pPr>
      <w:bookmarkStart w:id="56" w:name="_Toc57132062"/>
      <w:bookmarkStart w:id="57" w:name="_Toc177151111"/>
      <w:r w:rsidRPr="00B9629C">
        <w:rPr>
          <w:highlight w:val="darkGray"/>
        </w:rPr>
        <w:t>The HIV-exposed infant</w:t>
      </w:r>
      <w:bookmarkEnd w:id="56"/>
      <w:bookmarkEnd w:id="57"/>
      <w:r w:rsidR="006D4857" w:rsidRPr="00B9629C">
        <w:rPr>
          <w:highlight w:val="darkGray"/>
        </w:rPr>
        <w:fldChar w:fldCharType="begin"/>
      </w:r>
      <w:r w:rsidR="006D4857" w:rsidRPr="00B9629C">
        <w:rPr>
          <w:highlight w:val="darkGray"/>
        </w:rPr>
        <w:instrText xml:space="preserve"> XE "The HIV-exposed infant" \f “c”</w:instrText>
      </w:r>
      <w:r w:rsidR="006D4857" w:rsidRPr="00B9629C">
        <w:rPr>
          <w:highlight w:val="darkGray"/>
        </w:rPr>
        <w:fldChar w:fldCharType="end"/>
      </w:r>
    </w:p>
    <w:p w14:paraId="076D5083"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Z20.6</w:t>
      </w:r>
    </w:p>
    <w:p w14:paraId="14F0752C" w14:textId="77777777" w:rsidR="00F869C6" w:rsidRPr="00B9629C" w:rsidRDefault="00E5138C" w:rsidP="003470B5">
      <w:pPr>
        <w:pStyle w:val="NoSpacing"/>
        <w:jc w:val="both"/>
        <w:rPr>
          <w:b/>
          <w:bCs/>
          <w:caps/>
          <w:sz w:val="20"/>
          <w:highlight w:val="darkGray"/>
        </w:rPr>
      </w:pPr>
      <w:r w:rsidRPr="00B9629C">
        <w:rPr>
          <w:b/>
          <w:bCs/>
          <w:caps/>
          <w:sz w:val="20"/>
          <w:highlight w:val="darkGray"/>
        </w:rPr>
        <w:t>DESCRIPTION</w:t>
      </w:r>
    </w:p>
    <w:p w14:paraId="32289C39" w14:textId="130EE102" w:rsidR="00F10714" w:rsidRPr="00B9629C" w:rsidRDefault="00F10714" w:rsidP="003470B5">
      <w:pPr>
        <w:pStyle w:val="NoSpacing"/>
        <w:jc w:val="both"/>
        <w:rPr>
          <w:highlight w:val="darkGray"/>
        </w:rPr>
      </w:pPr>
      <w:r w:rsidRPr="00B9629C">
        <w:rPr>
          <w:highlight w:val="darkGray"/>
        </w:rPr>
        <w:t xml:space="preserve">An HIV-exposed </w:t>
      </w:r>
      <w:r w:rsidR="003470B5" w:rsidRPr="00B9629C">
        <w:rPr>
          <w:highlight w:val="darkGray"/>
        </w:rPr>
        <w:t>i</w:t>
      </w:r>
      <w:r w:rsidRPr="00B9629C">
        <w:rPr>
          <w:highlight w:val="darkGray"/>
        </w:rPr>
        <w:t xml:space="preserve">nfant or child is one born to a mother living with HIV, until HIV infection in the infant or child is reliably excluded and the infant or child is no longer exposed through breastfeeding. </w:t>
      </w:r>
    </w:p>
    <w:p w14:paraId="24A3DE24" w14:textId="77777777" w:rsidR="00F10714" w:rsidRPr="00B9629C" w:rsidRDefault="00F10714" w:rsidP="00BA4880">
      <w:pPr>
        <w:pStyle w:val="NoSpacing"/>
        <w:jc w:val="both"/>
        <w:rPr>
          <w:highlight w:val="darkGray"/>
        </w:rPr>
      </w:pPr>
    </w:p>
    <w:p w14:paraId="36259E35" w14:textId="3C6A6639" w:rsidR="00E5138C" w:rsidRPr="00B9629C" w:rsidRDefault="00E5138C" w:rsidP="00BA4880">
      <w:pPr>
        <w:pStyle w:val="NoSpacing"/>
        <w:jc w:val="both"/>
        <w:rPr>
          <w:highlight w:val="darkGray"/>
        </w:rPr>
      </w:pPr>
      <w:r w:rsidRPr="00B9629C">
        <w:rPr>
          <w:highlight w:val="darkGray"/>
        </w:rPr>
        <w:t xml:space="preserve">Transmission of HIV infection from mother to child may occur during pregnancy, during delivery or via breastfeeding. </w:t>
      </w:r>
      <w:r w:rsidR="002123F2" w:rsidRPr="00B9629C">
        <w:rPr>
          <w:highlight w:val="darkGray"/>
        </w:rPr>
        <w:t>T</w:t>
      </w:r>
      <w:r w:rsidRPr="00B9629C">
        <w:rPr>
          <w:highlight w:val="darkGray"/>
        </w:rPr>
        <w:t xml:space="preserve">ransmission of infection from mother to child can be effectively </w:t>
      </w:r>
      <w:r w:rsidR="002123F2" w:rsidRPr="00B9629C">
        <w:rPr>
          <w:highlight w:val="darkGray"/>
        </w:rPr>
        <w:t>prevented</w:t>
      </w:r>
      <w:r w:rsidRPr="00B9629C">
        <w:rPr>
          <w:highlight w:val="darkGray"/>
        </w:rPr>
        <w:t xml:space="preserve"> with a very high success rate by means of suppressing the mother’s VL and giving </w:t>
      </w:r>
      <w:r w:rsidR="00F10714" w:rsidRPr="00B9629C">
        <w:rPr>
          <w:highlight w:val="darkGray"/>
        </w:rPr>
        <w:t xml:space="preserve">post-exposure prophylaxis </w:t>
      </w:r>
      <w:r w:rsidRPr="00B9629C">
        <w:rPr>
          <w:highlight w:val="darkGray"/>
        </w:rPr>
        <w:t>to the infant</w:t>
      </w:r>
      <w:r w:rsidR="00C14EB1" w:rsidRPr="00B9629C">
        <w:rPr>
          <w:highlight w:val="darkGray"/>
        </w:rPr>
        <w:t xml:space="preserve">, a strategy </w:t>
      </w:r>
      <w:r w:rsidR="00FC44CC" w:rsidRPr="00B9629C">
        <w:rPr>
          <w:highlight w:val="darkGray"/>
        </w:rPr>
        <w:t xml:space="preserve">now </w:t>
      </w:r>
      <w:r w:rsidR="00D75CF3" w:rsidRPr="00B9629C">
        <w:rPr>
          <w:highlight w:val="darkGray"/>
        </w:rPr>
        <w:t>known as Vertical Transmission Prevention</w:t>
      </w:r>
      <w:r w:rsidR="00C14EB1" w:rsidRPr="00B9629C">
        <w:rPr>
          <w:highlight w:val="darkGray"/>
        </w:rPr>
        <w:t xml:space="preserve"> (</w:t>
      </w:r>
      <w:r w:rsidR="00FC212B" w:rsidRPr="00B9629C">
        <w:rPr>
          <w:highlight w:val="darkGray"/>
        </w:rPr>
        <w:t xml:space="preserve">VTP; </w:t>
      </w:r>
      <w:r w:rsidR="00C14EB1" w:rsidRPr="00B9629C">
        <w:rPr>
          <w:highlight w:val="darkGray"/>
        </w:rPr>
        <w:t xml:space="preserve">formerly termed </w:t>
      </w:r>
      <w:r w:rsidR="00D75CF3" w:rsidRPr="00B9629C">
        <w:rPr>
          <w:highlight w:val="darkGray"/>
        </w:rPr>
        <w:t xml:space="preserve">Prevention of Mother to Child </w:t>
      </w:r>
      <w:r w:rsidR="00C14EB1" w:rsidRPr="00B9629C">
        <w:rPr>
          <w:highlight w:val="darkGray"/>
        </w:rPr>
        <w:t>Transmission)</w:t>
      </w:r>
      <w:r w:rsidRPr="00B9629C">
        <w:rPr>
          <w:highlight w:val="darkGray"/>
        </w:rPr>
        <w:t>.</w:t>
      </w:r>
    </w:p>
    <w:p w14:paraId="19418329" w14:textId="77777777" w:rsidR="004F4351" w:rsidRPr="00B9629C" w:rsidRDefault="004F4351" w:rsidP="00BA4880">
      <w:pPr>
        <w:pStyle w:val="NoSpacing"/>
        <w:jc w:val="both"/>
        <w:rPr>
          <w:highlight w:val="darkGray"/>
        </w:rPr>
      </w:pPr>
    </w:p>
    <w:p w14:paraId="3A0A4AF0" w14:textId="77777777" w:rsidR="004F4351" w:rsidRPr="00B9629C" w:rsidRDefault="004F4351" w:rsidP="004F4351">
      <w:pPr>
        <w:spacing w:before="0" w:after="160" w:line="259" w:lineRule="auto"/>
        <w:jc w:val="both"/>
        <w:rPr>
          <w:rFonts w:eastAsia="Calibri" w:cs="Times New Roman"/>
          <w:highlight w:val="darkGray"/>
        </w:rPr>
      </w:pPr>
      <w:r w:rsidRPr="00B9629C">
        <w:rPr>
          <w:rFonts w:eastAsia="Calibri" w:cs="Times New Roman"/>
          <w:highlight w:val="darkGray"/>
        </w:rPr>
        <w:t>The risk of transmission from breast milk is low when the mother is virally suppressed. Ensure maternal VL monitoring is done every 6 months while breastfeeding and offer enhanced adherence counselling to ensure viral suppression is achieved and maintained.</w:t>
      </w:r>
    </w:p>
    <w:p w14:paraId="6F8E8654" w14:textId="77777777" w:rsidR="00E5138C" w:rsidRPr="00B9629C" w:rsidRDefault="00E5138C" w:rsidP="00C753E4">
      <w:pPr>
        <w:pStyle w:val="Heading6"/>
        <w:rPr>
          <w:highlight w:val="darkGray"/>
        </w:rPr>
      </w:pPr>
      <w:r w:rsidRPr="00B9629C">
        <w:rPr>
          <w:highlight w:val="darkGray"/>
        </w:rPr>
        <w:t>When to test HIV-exposed children</w:t>
      </w:r>
    </w:p>
    <w:p w14:paraId="49C42B51" w14:textId="77777777" w:rsidR="00E5138C" w:rsidRPr="00B9629C" w:rsidRDefault="00E5138C" w:rsidP="00C753E4">
      <w:pPr>
        <w:pStyle w:val="ListParagraph"/>
        <w:rPr>
          <w:highlight w:val="darkGray"/>
        </w:rPr>
      </w:pPr>
      <w:r w:rsidRPr="00B9629C">
        <w:rPr>
          <w:highlight w:val="darkGray"/>
        </w:rPr>
        <w:t>Birth (HIV PCR).</w:t>
      </w:r>
    </w:p>
    <w:p w14:paraId="05BEA45C" w14:textId="60EDD855" w:rsidR="00E5138C" w:rsidRPr="00B9629C" w:rsidRDefault="00E5138C" w:rsidP="00C753E4">
      <w:pPr>
        <w:pStyle w:val="ListParagraph"/>
        <w:rPr>
          <w:highlight w:val="darkGray"/>
        </w:rPr>
      </w:pPr>
      <w:r w:rsidRPr="00B9629C">
        <w:rPr>
          <w:highlight w:val="darkGray"/>
        </w:rPr>
        <w:t>For recommendations on when to perform additional tests, refer to the guidance on “</w:t>
      </w:r>
      <w:r w:rsidR="006B03F4" w:rsidRPr="00B9629C">
        <w:rPr>
          <w:highlight w:val="darkGray"/>
        </w:rPr>
        <w:t>HIV Testing in Children</w:t>
      </w:r>
      <w:r w:rsidRPr="00B9629C">
        <w:rPr>
          <w:highlight w:val="darkGray"/>
        </w:rPr>
        <w:t>”</w:t>
      </w:r>
      <w:r w:rsidR="00985A1C" w:rsidRPr="00B9629C">
        <w:rPr>
          <w:highlight w:val="darkGray"/>
        </w:rPr>
        <w:t>.</w:t>
      </w:r>
      <w:r w:rsidRPr="00B9629C">
        <w:rPr>
          <w:highlight w:val="darkGray"/>
        </w:rPr>
        <w:t xml:space="preserve"> (See section above: HIV infection in children</w:t>
      </w:r>
      <w:r w:rsidR="007319A2" w:rsidRPr="00B9629C">
        <w:rPr>
          <w:highlight w:val="darkGray"/>
        </w:rPr>
        <w:t xml:space="preserve"> (&lt;10 years old)</w:t>
      </w:r>
      <w:r w:rsidR="00807ACD" w:rsidRPr="00B9629C">
        <w:rPr>
          <w:highlight w:val="darkGray"/>
        </w:rPr>
        <w:t>)</w:t>
      </w:r>
    </w:p>
    <w:p w14:paraId="6B358631" w14:textId="77777777" w:rsidR="00A55941" w:rsidRPr="00B9629C" w:rsidRDefault="00A55941" w:rsidP="00A55941">
      <w:pPr>
        <w:pStyle w:val="Heading6"/>
        <w:rPr>
          <w:highlight w:val="darkGray"/>
        </w:rPr>
      </w:pPr>
      <w:r w:rsidRPr="00B9629C">
        <w:rPr>
          <w:highlight w:val="darkGray"/>
        </w:rPr>
        <w:t>Feeding advice</w:t>
      </w:r>
    </w:p>
    <w:p w14:paraId="35CF4BB3" w14:textId="77777777" w:rsidR="007F35AF" w:rsidRPr="00B9629C" w:rsidRDefault="007F35AF" w:rsidP="00A55941">
      <w:pPr>
        <w:pStyle w:val="ListParagraph"/>
        <w:jc w:val="both"/>
        <w:rPr>
          <w:highlight w:val="darkGray"/>
        </w:rPr>
      </w:pPr>
      <w:r w:rsidRPr="00B9629C">
        <w:rPr>
          <w:highlight w:val="darkGray"/>
        </w:rPr>
        <w:t xml:space="preserve">It is strongly recommended that exclusive breastfeeding be initiated within 1 hour of birth and continued for the first 6 months of life, after which the child's nutritional requirements will require the introduction of complementary foods in addition to breastfeeding. </w:t>
      </w:r>
    </w:p>
    <w:p w14:paraId="275A39EE" w14:textId="77777777" w:rsidR="007F35AF" w:rsidRPr="00B9629C" w:rsidRDefault="007F35AF" w:rsidP="00A55941">
      <w:pPr>
        <w:pStyle w:val="ListParagraph"/>
        <w:jc w:val="both"/>
        <w:rPr>
          <w:highlight w:val="darkGray"/>
        </w:rPr>
      </w:pPr>
      <w:r w:rsidRPr="00B9629C">
        <w:rPr>
          <w:highlight w:val="darkGray"/>
        </w:rPr>
        <w:t>Women living with HIV should be fully supported for ART adherence during the breastfeeding period and thereafter.</w:t>
      </w:r>
    </w:p>
    <w:p w14:paraId="529C7B6C" w14:textId="23F80B15" w:rsidR="00D97B31" w:rsidRPr="00B9629C" w:rsidRDefault="007F35AF" w:rsidP="00A55941">
      <w:pPr>
        <w:pStyle w:val="ListParagraph"/>
        <w:jc w:val="both"/>
        <w:rPr>
          <w:highlight w:val="darkGray"/>
        </w:rPr>
      </w:pPr>
      <w:r w:rsidRPr="00B9629C">
        <w:rPr>
          <w:highlight w:val="darkGray"/>
        </w:rPr>
        <w:t xml:space="preserve">Women with a VL </w:t>
      </w:r>
      <w:r w:rsidR="00724290" w:rsidRPr="00B9629C">
        <w:rPr>
          <w:highlight w:val="darkGray"/>
        </w:rPr>
        <w:t>&gt;</w:t>
      </w:r>
      <w:r w:rsidRPr="00B9629C">
        <w:rPr>
          <w:highlight w:val="darkGray"/>
        </w:rPr>
        <w:t>50 copies/mL on TLD1 should continue breastfeeding while every effort is made to regain viral suppression. Their infants should receive high-risk prophylaxis during breastfeeding.</w:t>
      </w:r>
    </w:p>
    <w:p w14:paraId="193A9892" w14:textId="77777777" w:rsidR="00D97B31" w:rsidRPr="00B9629C" w:rsidRDefault="00D97B31" w:rsidP="00A55941">
      <w:pPr>
        <w:pStyle w:val="ListParagraph"/>
        <w:jc w:val="both"/>
        <w:rPr>
          <w:highlight w:val="darkGray"/>
        </w:rPr>
      </w:pPr>
      <w:r w:rsidRPr="00B9629C">
        <w:rPr>
          <w:highlight w:val="darkGray"/>
        </w:rPr>
        <w:t>T</w:t>
      </w:r>
      <w:r w:rsidR="007F35AF" w:rsidRPr="00B9629C">
        <w:rPr>
          <w:highlight w:val="darkGray"/>
        </w:rPr>
        <w:t xml:space="preserve">he following may be indications to discontinue breastfeeding: </w:t>
      </w:r>
    </w:p>
    <w:p w14:paraId="1911F8AC" w14:textId="69547533" w:rsidR="00D97B31" w:rsidRPr="00B9629C" w:rsidRDefault="007F35AF" w:rsidP="009750A0">
      <w:pPr>
        <w:pStyle w:val="ListParagraph"/>
        <w:numPr>
          <w:ilvl w:val="0"/>
          <w:numId w:val="34"/>
        </w:numPr>
        <w:jc w:val="both"/>
        <w:rPr>
          <w:highlight w:val="darkGray"/>
        </w:rPr>
      </w:pPr>
      <w:r w:rsidRPr="00B9629C">
        <w:rPr>
          <w:highlight w:val="darkGray"/>
        </w:rPr>
        <w:t xml:space="preserve">Infants of mothers who are failing TLD2. </w:t>
      </w:r>
    </w:p>
    <w:p w14:paraId="69DB435E" w14:textId="57DCE932" w:rsidR="00D97B31" w:rsidRPr="00B9629C" w:rsidRDefault="007F35AF" w:rsidP="009750A0">
      <w:pPr>
        <w:pStyle w:val="ListParagraph"/>
        <w:numPr>
          <w:ilvl w:val="0"/>
          <w:numId w:val="34"/>
        </w:numPr>
        <w:jc w:val="both"/>
        <w:rPr>
          <w:highlight w:val="darkGray"/>
        </w:rPr>
      </w:pPr>
      <w:r w:rsidRPr="00B9629C">
        <w:rPr>
          <w:highlight w:val="darkGray"/>
        </w:rPr>
        <w:t xml:space="preserve">Infants of mothers who are failing third-line PI-based treatment. </w:t>
      </w:r>
    </w:p>
    <w:p w14:paraId="02308AC2" w14:textId="337F1A18" w:rsidR="007F35AF" w:rsidRPr="00B9629C" w:rsidRDefault="007F35AF" w:rsidP="00D97B31">
      <w:pPr>
        <w:pStyle w:val="ListParagraph"/>
        <w:jc w:val="both"/>
        <w:rPr>
          <w:highlight w:val="darkGray"/>
        </w:rPr>
      </w:pPr>
      <w:r w:rsidRPr="00B9629C">
        <w:rPr>
          <w:highlight w:val="darkGray"/>
        </w:rPr>
        <w:lastRenderedPageBreak/>
        <w:t>Discuss appropriate feeding practices with the mother regarding the risks and benefits of continuing breastfeeding vs replacement feeding.</w:t>
      </w:r>
    </w:p>
    <w:p w14:paraId="50BC571B" w14:textId="70545890" w:rsidR="00D97B31" w:rsidRPr="00B9629C" w:rsidRDefault="00D97B31" w:rsidP="00D97B31">
      <w:pPr>
        <w:pStyle w:val="ListParagraph"/>
        <w:jc w:val="both"/>
        <w:rPr>
          <w:highlight w:val="darkGray"/>
        </w:rPr>
      </w:pPr>
      <w:r w:rsidRPr="00B9629C">
        <w:rPr>
          <w:highlight w:val="darkGray"/>
        </w:rPr>
        <w:t>The use of flash pasteurisation or ‘Pretoria’ pasteurisation to reduce HIV transmission is supported but may pose significant barriers to successful breast milk feeding due to the effort involved. For instance, it can be used as an interim measure during maternal mastitis</w:t>
      </w:r>
      <w:r w:rsidR="000B6802" w:rsidRPr="00B9629C">
        <w:rPr>
          <w:highlight w:val="darkGray"/>
        </w:rPr>
        <w:t>.</w:t>
      </w:r>
    </w:p>
    <w:p w14:paraId="6B3BEF18" w14:textId="0888C779" w:rsidR="00513E20" w:rsidRPr="00B9629C" w:rsidRDefault="00513E20" w:rsidP="00513E20">
      <w:pPr>
        <w:pStyle w:val="ListParagraph"/>
        <w:numPr>
          <w:ilvl w:val="0"/>
          <w:numId w:val="0"/>
        </w:numPr>
        <w:ind w:left="360"/>
        <w:jc w:val="both"/>
        <w:rPr>
          <w:highlight w:val="darkGray"/>
        </w:rPr>
      </w:pPr>
      <w:r w:rsidRPr="00B9629C">
        <w:rPr>
          <w:b/>
          <w:highlight w:val="darkGray"/>
          <w:u w:val="single"/>
        </w:rPr>
        <w:t>NOTE:</w:t>
      </w:r>
      <w:r w:rsidRPr="00B9629C">
        <w:rPr>
          <w:highlight w:val="darkGray"/>
        </w:rPr>
        <w:t xml:space="preserve"> For the above, </w:t>
      </w:r>
    </w:p>
    <w:p w14:paraId="1D793E1E" w14:textId="77777777" w:rsidR="00513E20" w:rsidRPr="00B9629C" w:rsidRDefault="00513E20" w:rsidP="009750A0">
      <w:pPr>
        <w:pStyle w:val="ListParagraph"/>
        <w:numPr>
          <w:ilvl w:val="0"/>
          <w:numId w:val="34"/>
        </w:numPr>
        <w:jc w:val="both"/>
        <w:rPr>
          <w:highlight w:val="darkGray"/>
        </w:rPr>
      </w:pPr>
      <w:r w:rsidRPr="00B9629C">
        <w:rPr>
          <w:highlight w:val="darkGray"/>
        </w:rPr>
        <w:t>TLD1 = TLD as a first line ART regimen.</w:t>
      </w:r>
    </w:p>
    <w:p w14:paraId="0270FA0F" w14:textId="4F50B71A" w:rsidR="00513E20" w:rsidRPr="00B9629C" w:rsidRDefault="00513E20" w:rsidP="009750A0">
      <w:pPr>
        <w:pStyle w:val="ListParagraph"/>
        <w:numPr>
          <w:ilvl w:val="0"/>
          <w:numId w:val="34"/>
        </w:numPr>
        <w:jc w:val="both"/>
        <w:rPr>
          <w:highlight w:val="darkGray"/>
        </w:rPr>
      </w:pPr>
      <w:r w:rsidRPr="00B9629C">
        <w:rPr>
          <w:highlight w:val="darkGray"/>
        </w:rPr>
        <w:t>TLD2 = TLD in patient who has failed a previous ART regimen.</w:t>
      </w:r>
    </w:p>
    <w:p w14:paraId="101E5862" w14:textId="77777777" w:rsidR="007B7630" w:rsidRPr="00B9629C" w:rsidRDefault="007B7630" w:rsidP="00036036">
      <w:pPr>
        <w:pStyle w:val="Heading5"/>
        <w:rPr>
          <w:highlight w:val="darkGray"/>
        </w:rPr>
      </w:pPr>
    </w:p>
    <w:p w14:paraId="024C1E76" w14:textId="77777777" w:rsidR="00E5138C" w:rsidRPr="00B9629C" w:rsidRDefault="00E5138C" w:rsidP="007B7630">
      <w:pPr>
        <w:pStyle w:val="Heading5"/>
        <w:spacing w:before="0"/>
        <w:rPr>
          <w:highlight w:val="darkGray"/>
        </w:rPr>
      </w:pPr>
      <w:r w:rsidRPr="00B9629C">
        <w:rPr>
          <w:highlight w:val="darkGray"/>
        </w:rPr>
        <w:t>MEDICINE TREATMENT</w:t>
      </w:r>
    </w:p>
    <w:p w14:paraId="3D393EE7" w14:textId="77777777" w:rsidR="00E5138C" w:rsidRPr="00B9629C" w:rsidRDefault="00E5138C" w:rsidP="007B7630">
      <w:pPr>
        <w:pStyle w:val="Heading6"/>
        <w:spacing w:before="0"/>
        <w:rPr>
          <w:highlight w:val="darkGray"/>
        </w:rPr>
      </w:pPr>
      <w:r w:rsidRPr="00B9629C">
        <w:rPr>
          <w:highlight w:val="darkGray"/>
        </w:rPr>
        <w:t>Mother</w:t>
      </w:r>
    </w:p>
    <w:p w14:paraId="582EF9F0" w14:textId="576EC388" w:rsidR="00E5138C" w:rsidRPr="00B9629C" w:rsidRDefault="00E5138C" w:rsidP="004309E4">
      <w:pPr>
        <w:pStyle w:val="NoSpacing"/>
        <w:rPr>
          <w:highlight w:val="darkGray"/>
        </w:rPr>
      </w:pPr>
      <w:r w:rsidRPr="00B9629C">
        <w:rPr>
          <w:highlight w:val="darkGray"/>
        </w:rPr>
        <w:t xml:space="preserve">The </w:t>
      </w:r>
      <w:r w:rsidR="004C7896" w:rsidRPr="00B9629C">
        <w:rPr>
          <w:highlight w:val="darkGray"/>
        </w:rPr>
        <w:t xml:space="preserve">VTP </w:t>
      </w:r>
      <w:r w:rsidRPr="00B9629C">
        <w:rPr>
          <w:highlight w:val="darkGray"/>
        </w:rPr>
        <w:t>plan starts with initiation of ART in the mother (either pre or post conception). See Section 6.8: HIV in pregnancy.</w:t>
      </w:r>
    </w:p>
    <w:p w14:paraId="6D3B6411" w14:textId="77777777" w:rsidR="00E5138C" w:rsidRPr="00B9629C" w:rsidRDefault="00E5138C" w:rsidP="00C753E4">
      <w:pPr>
        <w:pStyle w:val="Heading6"/>
        <w:rPr>
          <w:highlight w:val="darkGray"/>
        </w:rPr>
      </w:pPr>
      <w:r w:rsidRPr="00B9629C">
        <w:rPr>
          <w:highlight w:val="darkGray"/>
        </w:rPr>
        <w:t>Infant</w:t>
      </w:r>
    </w:p>
    <w:p w14:paraId="1A7AC27C" w14:textId="77777777" w:rsidR="00E5138C" w:rsidRPr="00B9629C" w:rsidRDefault="00E5138C" w:rsidP="004309E4">
      <w:pPr>
        <w:pStyle w:val="NoSpacing"/>
        <w:rPr>
          <w:highlight w:val="darkGray"/>
        </w:rPr>
      </w:pPr>
      <w:r w:rsidRPr="00B9629C">
        <w:rPr>
          <w:highlight w:val="darkGray"/>
        </w:rPr>
        <w:t xml:space="preserve">Thereafter, the HIV-exposed infant may be classified into one of the following categories which determines the appropriate infant prophylaxis regimen: </w:t>
      </w:r>
    </w:p>
    <w:p w14:paraId="7283CE82" w14:textId="77777777" w:rsidR="00E5138C" w:rsidRPr="00B9629C" w:rsidRDefault="00E5138C" w:rsidP="004309E4">
      <w:pPr>
        <w:pStyle w:val="ListParagraph"/>
        <w:rPr>
          <w:highlight w:val="darkGray"/>
        </w:rPr>
      </w:pPr>
      <w:r w:rsidRPr="00B9629C">
        <w:rPr>
          <w:highlight w:val="darkGray"/>
        </w:rPr>
        <w:t>Low risk.</w:t>
      </w:r>
    </w:p>
    <w:p w14:paraId="45964BA9" w14:textId="77777777" w:rsidR="00E5138C" w:rsidRPr="00B9629C" w:rsidRDefault="00E5138C" w:rsidP="004309E4">
      <w:pPr>
        <w:pStyle w:val="ListParagraph"/>
        <w:rPr>
          <w:highlight w:val="darkGray"/>
        </w:rPr>
      </w:pPr>
      <w:r w:rsidRPr="00B9629C">
        <w:rPr>
          <w:highlight w:val="darkGray"/>
        </w:rPr>
        <w:t>High risk.</w:t>
      </w:r>
    </w:p>
    <w:tbl>
      <w:tblPr>
        <w:tblpPr w:leftFromText="180" w:rightFromText="180" w:vertAnchor="text" w:horzAnchor="margin" w:tblpXSpec="right" w:tblpYSpec="inside"/>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4309E4" w:rsidRPr="00B9629C" w14:paraId="55A74181" w14:textId="77777777" w:rsidTr="004309E4">
        <w:tc>
          <w:tcPr>
            <w:tcW w:w="907" w:type="dxa"/>
            <w:shd w:val="clear" w:color="auto" w:fill="auto"/>
          </w:tcPr>
          <w:p w14:paraId="3076B916" w14:textId="0CC29711" w:rsidR="004309E4" w:rsidRPr="00B9629C" w:rsidRDefault="004309E4" w:rsidP="004309E4">
            <w:pPr>
              <w:pStyle w:val="LoEText"/>
              <w:framePr w:hSpace="0" w:wrap="auto" w:vAnchor="margin" w:hAnchor="text" w:xAlign="left" w:yAlign="inline"/>
              <w:suppressOverlap w:val="0"/>
              <w:rPr>
                <w:sz w:val="14"/>
                <w:szCs w:val="14"/>
                <w:highlight w:val="darkGray"/>
              </w:rPr>
            </w:pPr>
            <w:r w:rsidRPr="00B9629C">
              <w:rPr>
                <w:sz w:val="14"/>
                <w:szCs w:val="14"/>
                <w:highlight w:val="darkGray"/>
              </w:rPr>
              <w:t>LoE:II</w:t>
            </w:r>
            <w:r w:rsidR="00624EE4" w:rsidRPr="00B9629C">
              <w:rPr>
                <w:sz w:val="14"/>
                <w:szCs w:val="14"/>
                <w:highlight w:val="darkGray"/>
              </w:rPr>
              <w:t>a</w:t>
            </w:r>
            <w:r w:rsidRPr="00B9629C">
              <w:rPr>
                <w:rStyle w:val="EndnoteReference"/>
                <w:sz w:val="14"/>
                <w:szCs w:val="14"/>
                <w:highlight w:val="darkGray"/>
              </w:rPr>
              <w:endnoteReference w:id="46"/>
            </w:r>
          </w:p>
        </w:tc>
      </w:tr>
    </w:tbl>
    <w:p w14:paraId="31E164BE" w14:textId="4AC6E18F" w:rsidR="00E5138C" w:rsidRPr="00B9629C" w:rsidRDefault="00E5138C" w:rsidP="004309E4">
      <w:pPr>
        <w:pStyle w:val="ListParagraph"/>
        <w:rPr>
          <w:highlight w:val="darkGray"/>
        </w:rPr>
      </w:pPr>
      <w:r w:rsidRPr="00B9629C">
        <w:rPr>
          <w:highlight w:val="darkGray"/>
        </w:rPr>
        <w:t>Unknown risk, e.g. abandoned infant (manage as high risk).</w:t>
      </w:r>
    </w:p>
    <w:p w14:paraId="3A95AEC9" w14:textId="77777777" w:rsidR="00E5138C" w:rsidRPr="00B9629C" w:rsidRDefault="00E5138C" w:rsidP="00E32922">
      <w:pPr>
        <w:spacing w:before="0" w:after="0"/>
        <w:rPr>
          <w:highlight w:val="darkGray"/>
        </w:rPr>
      </w:pPr>
    </w:p>
    <w:tbl>
      <w:tblPr>
        <w:tblStyle w:val="TableGrid"/>
        <w:tblW w:w="0" w:type="auto"/>
        <w:tblLook w:val="04A0" w:firstRow="1" w:lastRow="0" w:firstColumn="1" w:lastColumn="0" w:noHBand="0" w:noVBand="1"/>
      </w:tblPr>
      <w:tblGrid>
        <w:gridCol w:w="1670"/>
        <w:gridCol w:w="1670"/>
        <w:gridCol w:w="1670"/>
        <w:gridCol w:w="1670"/>
      </w:tblGrid>
      <w:tr w:rsidR="00D97B31" w:rsidRPr="00B9629C" w14:paraId="1EE95005" w14:textId="77777777" w:rsidTr="00424607">
        <w:trPr>
          <w:tblHeader/>
        </w:trPr>
        <w:tc>
          <w:tcPr>
            <w:tcW w:w="1670" w:type="dxa"/>
          </w:tcPr>
          <w:p w14:paraId="40864680" w14:textId="1DEC4F34" w:rsidR="00D97B31" w:rsidRPr="00B9629C" w:rsidRDefault="00D97B31" w:rsidP="00E32922">
            <w:pPr>
              <w:spacing w:before="0" w:after="0"/>
              <w:rPr>
                <w:b/>
                <w:highlight w:val="darkGray"/>
              </w:rPr>
            </w:pPr>
            <w:r w:rsidRPr="00B9629C">
              <w:rPr>
                <w:b/>
                <w:highlight w:val="darkGray"/>
              </w:rPr>
              <w:t>Maternal VL</w:t>
            </w:r>
          </w:p>
        </w:tc>
        <w:tc>
          <w:tcPr>
            <w:tcW w:w="1670" w:type="dxa"/>
          </w:tcPr>
          <w:p w14:paraId="7A4B7B22" w14:textId="021B6B21" w:rsidR="00D97B31" w:rsidRPr="00B9629C" w:rsidRDefault="00D97B31" w:rsidP="00E32922">
            <w:pPr>
              <w:spacing w:before="0" w:after="0"/>
              <w:rPr>
                <w:b/>
                <w:highlight w:val="darkGray"/>
              </w:rPr>
            </w:pPr>
            <w:r w:rsidRPr="00B9629C">
              <w:rPr>
                <w:b/>
                <w:highlight w:val="darkGray"/>
              </w:rPr>
              <w:t>Risk profile</w:t>
            </w:r>
          </w:p>
        </w:tc>
        <w:tc>
          <w:tcPr>
            <w:tcW w:w="1670" w:type="dxa"/>
          </w:tcPr>
          <w:p w14:paraId="3CBFB100" w14:textId="20D66D5E" w:rsidR="00D97B31" w:rsidRPr="00B9629C" w:rsidRDefault="00D97B31" w:rsidP="00E32922">
            <w:pPr>
              <w:spacing w:before="0" w:after="0"/>
              <w:rPr>
                <w:b/>
                <w:highlight w:val="darkGray"/>
              </w:rPr>
            </w:pPr>
            <w:r w:rsidRPr="00B9629C">
              <w:rPr>
                <w:b/>
                <w:highlight w:val="darkGray"/>
              </w:rPr>
              <w:t>Prophylaxis</w:t>
            </w:r>
          </w:p>
        </w:tc>
        <w:tc>
          <w:tcPr>
            <w:tcW w:w="1670" w:type="dxa"/>
          </w:tcPr>
          <w:p w14:paraId="20F62B56" w14:textId="6E3D848C" w:rsidR="00D97B31" w:rsidRPr="00B9629C" w:rsidRDefault="00D97B31" w:rsidP="00E32922">
            <w:pPr>
              <w:spacing w:before="0" w:after="0"/>
              <w:rPr>
                <w:b/>
                <w:highlight w:val="darkGray"/>
              </w:rPr>
            </w:pPr>
            <w:r w:rsidRPr="00B9629C">
              <w:rPr>
                <w:b/>
                <w:highlight w:val="darkGray"/>
              </w:rPr>
              <w:t>Comment</w:t>
            </w:r>
          </w:p>
        </w:tc>
      </w:tr>
      <w:tr w:rsidR="00D97B31" w:rsidRPr="00B9629C" w14:paraId="3DFB8C82" w14:textId="77777777" w:rsidTr="00D97B31">
        <w:tc>
          <w:tcPr>
            <w:tcW w:w="1670" w:type="dxa"/>
          </w:tcPr>
          <w:p w14:paraId="77AF981E" w14:textId="3755625E" w:rsidR="00D97B31" w:rsidRPr="00B9629C" w:rsidRDefault="00D97B31" w:rsidP="00E32922">
            <w:pPr>
              <w:spacing w:before="0" w:after="0"/>
              <w:rPr>
                <w:highlight w:val="darkGray"/>
              </w:rPr>
            </w:pPr>
            <w:r w:rsidRPr="00B9629C">
              <w:rPr>
                <w:highlight w:val="darkGray"/>
              </w:rPr>
              <w:t>Maternal delivery VL as yet unknown at discharge from labour ward (results pending).</w:t>
            </w:r>
          </w:p>
        </w:tc>
        <w:tc>
          <w:tcPr>
            <w:tcW w:w="1670" w:type="dxa"/>
          </w:tcPr>
          <w:p w14:paraId="266BC1F8" w14:textId="76FEBE6F" w:rsidR="00D97B31" w:rsidRPr="00B9629C" w:rsidRDefault="00D97B31" w:rsidP="00E32922">
            <w:pPr>
              <w:spacing w:before="0" w:after="0"/>
              <w:rPr>
                <w:highlight w:val="darkGray"/>
              </w:rPr>
            </w:pPr>
            <w:r w:rsidRPr="00B9629C">
              <w:rPr>
                <w:highlight w:val="darkGray"/>
              </w:rPr>
              <w:t>High-risk (until maternal delivery VL results become available)</w:t>
            </w:r>
            <w:r w:rsidR="00985A1C" w:rsidRPr="00B9629C">
              <w:rPr>
                <w:highlight w:val="darkGray"/>
              </w:rPr>
              <w:t>.</w:t>
            </w:r>
          </w:p>
        </w:tc>
        <w:tc>
          <w:tcPr>
            <w:tcW w:w="1670" w:type="dxa"/>
          </w:tcPr>
          <w:p w14:paraId="6DDF6C85" w14:textId="77777777" w:rsidR="00D97B31" w:rsidRPr="00B9629C" w:rsidRDefault="00D97B31" w:rsidP="00E32922">
            <w:pPr>
              <w:spacing w:before="0" w:after="0"/>
              <w:rPr>
                <w:highlight w:val="darkGray"/>
              </w:rPr>
            </w:pPr>
            <w:r w:rsidRPr="00B9629C">
              <w:rPr>
                <w:highlight w:val="darkGray"/>
              </w:rPr>
              <w:t xml:space="preserve">Provide dual prophylaxis: </w:t>
            </w:r>
          </w:p>
          <w:p w14:paraId="064C8860" w14:textId="77777777" w:rsidR="00D97B31" w:rsidRPr="00B9629C" w:rsidRDefault="00D97B31" w:rsidP="00E32922">
            <w:pPr>
              <w:spacing w:before="0" w:after="0"/>
              <w:rPr>
                <w:highlight w:val="darkGray"/>
              </w:rPr>
            </w:pPr>
            <w:r w:rsidRPr="00B9629C">
              <w:rPr>
                <w:highlight w:val="darkGray"/>
              </w:rPr>
              <w:t xml:space="preserve">AZT at birth and then twice daily for 6 weeks. </w:t>
            </w:r>
          </w:p>
          <w:p w14:paraId="0EFCFF5E" w14:textId="41187582" w:rsidR="00D97B31" w:rsidRPr="00B9629C" w:rsidRDefault="00D97B31" w:rsidP="00E32922">
            <w:pPr>
              <w:spacing w:before="0" w:after="0"/>
              <w:rPr>
                <w:highlight w:val="darkGray"/>
              </w:rPr>
            </w:pPr>
            <w:r w:rsidRPr="00B9629C">
              <w:rPr>
                <w:highlight w:val="darkGray"/>
              </w:rPr>
              <w:t>NVP at birth and then daily for a minimum of 12 weeks.</w:t>
            </w:r>
          </w:p>
        </w:tc>
        <w:tc>
          <w:tcPr>
            <w:tcW w:w="1670" w:type="dxa"/>
          </w:tcPr>
          <w:p w14:paraId="118F22EF" w14:textId="7DCDF6E6" w:rsidR="00D97B31" w:rsidRPr="00B9629C" w:rsidRDefault="00D97B31" w:rsidP="00E32922">
            <w:pPr>
              <w:spacing w:before="0" w:after="0"/>
              <w:rPr>
                <w:highlight w:val="darkGray"/>
              </w:rPr>
            </w:pPr>
            <w:r w:rsidRPr="00B9629C">
              <w:rPr>
                <w:highlight w:val="darkGray"/>
              </w:rPr>
              <w:t>All HIV-exposed infants will be considered high-risk until the final risk profile can be determined by the maternal delivery VL. If the maternal delivery VL result is not available at discharge from labour ward, review result at the 3</w:t>
            </w:r>
            <w:r w:rsidR="00985A1C" w:rsidRPr="00B9629C">
              <w:rPr>
                <w:highlight w:val="darkGray"/>
              </w:rPr>
              <w:t xml:space="preserve"> to</w:t>
            </w:r>
            <w:r w:rsidRPr="00B9629C">
              <w:rPr>
                <w:highlight w:val="darkGray"/>
              </w:rPr>
              <w:t xml:space="preserve"> 6 day postnatal visit and reclassify the infant accordingly.</w:t>
            </w:r>
          </w:p>
          <w:p w14:paraId="1ADD7C70" w14:textId="6185C053" w:rsidR="00D97B31" w:rsidRPr="00B9629C" w:rsidRDefault="00D97B31" w:rsidP="00E32922">
            <w:pPr>
              <w:spacing w:before="0" w:after="0"/>
              <w:rPr>
                <w:highlight w:val="darkGray"/>
              </w:rPr>
            </w:pPr>
            <w:r w:rsidRPr="00B9629C">
              <w:rPr>
                <w:highlight w:val="darkGray"/>
              </w:rPr>
              <w:t>Dispense a full 6 weeks supply of dual prophylaxis. Ask the mother to return with all medication at the 3</w:t>
            </w:r>
            <w:r w:rsidR="00985A1C" w:rsidRPr="00B9629C">
              <w:rPr>
                <w:highlight w:val="darkGray"/>
              </w:rPr>
              <w:t xml:space="preserve"> </w:t>
            </w:r>
            <w:r w:rsidR="00985A1C" w:rsidRPr="00B9629C">
              <w:rPr>
                <w:highlight w:val="darkGray"/>
              </w:rPr>
              <w:lastRenderedPageBreak/>
              <w:t xml:space="preserve">to </w:t>
            </w:r>
            <w:r w:rsidRPr="00B9629C">
              <w:rPr>
                <w:highlight w:val="darkGray"/>
              </w:rPr>
              <w:t>6 day postnatal visit</w:t>
            </w:r>
            <w:r w:rsidR="00985A1C" w:rsidRPr="00B9629C">
              <w:rPr>
                <w:highlight w:val="darkGray"/>
              </w:rPr>
              <w:t>.</w:t>
            </w:r>
          </w:p>
        </w:tc>
      </w:tr>
      <w:tr w:rsidR="00D97B31" w:rsidRPr="00B9629C" w14:paraId="03356E5B" w14:textId="77777777" w:rsidTr="00D97B31">
        <w:tc>
          <w:tcPr>
            <w:tcW w:w="1670" w:type="dxa"/>
          </w:tcPr>
          <w:p w14:paraId="764A3D6D" w14:textId="459FB07A" w:rsidR="00D97B31" w:rsidRPr="00B9629C" w:rsidRDefault="00D97B31" w:rsidP="00E32922">
            <w:pPr>
              <w:spacing w:before="0" w:after="0"/>
              <w:rPr>
                <w:highlight w:val="darkGray"/>
              </w:rPr>
            </w:pPr>
            <w:r w:rsidRPr="00B9629C">
              <w:rPr>
                <w:highlight w:val="darkGray"/>
              </w:rPr>
              <w:lastRenderedPageBreak/>
              <w:t>Maternal delivery VL ≥ 50 copies/mL in a breastfeeding mother</w:t>
            </w:r>
            <w:r w:rsidR="00985A1C" w:rsidRPr="00B9629C">
              <w:rPr>
                <w:highlight w:val="darkGray"/>
              </w:rPr>
              <w:t>.</w:t>
            </w:r>
          </w:p>
        </w:tc>
        <w:tc>
          <w:tcPr>
            <w:tcW w:w="1670" w:type="dxa"/>
          </w:tcPr>
          <w:p w14:paraId="19237583" w14:textId="080E3E31" w:rsidR="00D97B31" w:rsidRPr="00B9629C" w:rsidRDefault="00D97B31" w:rsidP="00E32922">
            <w:pPr>
              <w:spacing w:before="0" w:after="0"/>
              <w:rPr>
                <w:highlight w:val="darkGray"/>
              </w:rPr>
            </w:pPr>
            <w:r w:rsidRPr="00B9629C">
              <w:rPr>
                <w:highlight w:val="darkGray"/>
              </w:rPr>
              <w:t>High-risk</w:t>
            </w:r>
            <w:r w:rsidR="00985A1C" w:rsidRPr="00B9629C">
              <w:rPr>
                <w:highlight w:val="darkGray"/>
              </w:rPr>
              <w:t>.</w:t>
            </w:r>
          </w:p>
        </w:tc>
        <w:tc>
          <w:tcPr>
            <w:tcW w:w="1670" w:type="dxa"/>
          </w:tcPr>
          <w:p w14:paraId="7C359A37" w14:textId="77777777" w:rsidR="00D97B31" w:rsidRPr="00B9629C" w:rsidRDefault="00D97B31" w:rsidP="00E32922">
            <w:pPr>
              <w:spacing w:before="0" w:after="0"/>
              <w:rPr>
                <w:highlight w:val="darkGray"/>
              </w:rPr>
            </w:pPr>
            <w:r w:rsidRPr="00B9629C">
              <w:rPr>
                <w:highlight w:val="darkGray"/>
              </w:rPr>
              <w:t xml:space="preserve">Provide dual prophylaxis: </w:t>
            </w:r>
          </w:p>
          <w:p w14:paraId="7FBC6D0D" w14:textId="77777777" w:rsidR="00D97B31" w:rsidRPr="00B9629C" w:rsidRDefault="00D97B31" w:rsidP="00E32922">
            <w:pPr>
              <w:spacing w:before="0" w:after="0"/>
              <w:rPr>
                <w:highlight w:val="darkGray"/>
              </w:rPr>
            </w:pPr>
            <w:r w:rsidRPr="00B9629C">
              <w:rPr>
                <w:highlight w:val="darkGray"/>
              </w:rPr>
              <w:t xml:space="preserve">AZT at birth and then twice daily for 6 weeks. </w:t>
            </w:r>
          </w:p>
          <w:p w14:paraId="005FE043" w14:textId="7AB099B5" w:rsidR="00D97B31" w:rsidRPr="00B9629C" w:rsidRDefault="00D97B31" w:rsidP="00E32922">
            <w:pPr>
              <w:spacing w:before="0" w:after="0"/>
              <w:rPr>
                <w:highlight w:val="darkGray"/>
              </w:rPr>
            </w:pPr>
            <w:r w:rsidRPr="00B9629C">
              <w:rPr>
                <w:highlight w:val="darkGray"/>
              </w:rPr>
              <w:t>NVP at birth and then daily for a minimum of 12 weeks.</w:t>
            </w:r>
          </w:p>
        </w:tc>
        <w:tc>
          <w:tcPr>
            <w:tcW w:w="1670" w:type="dxa"/>
          </w:tcPr>
          <w:p w14:paraId="792B0A42" w14:textId="63302A35" w:rsidR="00D97B31" w:rsidRPr="00B9629C" w:rsidRDefault="00D97B31" w:rsidP="00E32922">
            <w:pPr>
              <w:spacing w:before="0" w:after="0"/>
              <w:rPr>
                <w:highlight w:val="darkGray"/>
              </w:rPr>
            </w:pPr>
            <w:r w:rsidRPr="00B9629C">
              <w:rPr>
                <w:highlight w:val="darkGray"/>
              </w:rPr>
              <w:t xml:space="preserve">Do an ABCDE assessment and get the mother’s VL resuppressed as a matter of urgency. Stop infant NVP only after confirmation of maternal VL being </w:t>
            </w:r>
            <w:r w:rsidR="00724290" w:rsidRPr="00B9629C">
              <w:rPr>
                <w:highlight w:val="darkGray"/>
              </w:rPr>
              <w:t>&lt;</w:t>
            </w:r>
            <w:r w:rsidRPr="00B9629C">
              <w:rPr>
                <w:highlight w:val="darkGray"/>
              </w:rPr>
              <w:t>50 copies/mL, or until 4 weeks after cessation of all breastfeeding</w:t>
            </w:r>
            <w:r w:rsidR="00985A1C" w:rsidRPr="00B9629C">
              <w:rPr>
                <w:highlight w:val="darkGray"/>
              </w:rPr>
              <w:t>.</w:t>
            </w:r>
          </w:p>
        </w:tc>
      </w:tr>
      <w:tr w:rsidR="00D97B31" w:rsidRPr="00B9629C" w14:paraId="546333FE" w14:textId="77777777" w:rsidTr="00D97B31">
        <w:tc>
          <w:tcPr>
            <w:tcW w:w="1670" w:type="dxa"/>
          </w:tcPr>
          <w:p w14:paraId="33D75BF8" w14:textId="4BDB4646" w:rsidR="00D97B31" w:rsidRPr="00B9629C" w:rsidRDefault="00D97B31" w:rsidP="00E32922">
            <w:pPr>
              <w:spacing w:before="0" w:after="0"/>
              <w:rPr>
                <w:highlight w:val="darkGray"/>
              </w:rPr>
            </w:pPr>
            <w:r w:rsidRPr="00B9629C">
              <w:rPr>
                <w:highlight w:val="darkGray"/>
              </w:rPr>
              <w:t>Maternal delivery VL ≥ 50 copies/mL in a mother who is exclusively formula feeding her infant from birth.*</w:t>
            </w:r>
          </w:p>
        </w:tc>
        <w:tc>
          <w:tcPr>
            <w:tcW w:w="1670" w:type="dxa"/>
          </w:tcPr>
          <w:p w14:paraId="67F01ACD" w14:textId="7460CDD6" w:rsidR="00D97B31" w:rsidRPr="00B9629C" w:rsidRDefault="00D97B31" w:rsidP="00E32922">
            <w:pPr>
              <w:spacing w:before="0" w:after="0"/>
              <w:rPr>
                <w:highlight w:val="darkGray"/>
              </w:rPr>
            </w:pPr>
            <w:r w:rsidRPr="00B9629C">
              <w:rPr>
                <w:highlight w:val="darkGray"/>
              </w:rPr>
              <w:t>High-risk</w:t>
            </w:r>
            <w:r w:rsidR="00985A1C" w:rsidRPr="00B9629C">
              <w:rPr>
                <w:highlight w:val="darkGray"/>
              </w:rPr>
              <w:t>.</w:t>
            </w:r>
          </w:p>
        </w:tc>
        <w:tc>
          <w:tcPr>
            <w:tcW w:w="1670" w:type="dxa"/>
          </w:tcPr>
          <w:p w14:paraId="014115ED" w14:textId="2371A35C" w:rsidR="00D97B31" w:rsidRPr="00B9629C" w:rsidRDefault="00885369" w:rsidP="00E32922">
            <w:pPr>
              <w:spacing w:before="0" w:after="0"/>
              <w:rPr>
                <w:highlight w:val="darkGray"/>
              </w:rPr>
            </w:pPr>
            <w:r w:rsidRPr="00B9629C">
              <w:rPr>
                <w:highlight w:val="darkGray"/>
              </w:rPr>
              <w:t>Provide dual prophylaxis: AZT at birth and then twice daily for 6 weeks. NVP at birth and then daily for 6 weeks.</w:t>
            </w:r>
          </w:p>
        </w:tc>
        <w:tc>
          <w:tcPr>
            <w:tcW w:w="1670" w:type="dxa"/>
          </w:tcPr>
          <w:p w14:paraId="38F2C458" w14:textId="21B8DB17" w:rsidR="00D97B31" w:rsidRPr="00B9629C" w:rsidRDefault="00885369" w:rsidP="00E32922">
            <w:pPr>
              <w:spacing w:before="0" w:after="0"/>
              <w:rPr>
                <w:highlight w:val="darkGray"/>
              </w:rPr>
            </w:pPr>
            <w:r w:rsidRPr="00B9629C">
              <w:rPr>
                <w:highlight w:val="darkGray"/>
              </w:rPr>
              <w:t>Do an ABCDE assessment and get the mother’s VL resuppressed as a matter of urgency</w:t>
            </w:r>
            <w:r w:rsidR="00985A1C" w:rsidRPr="00B9629C">
              <w:rPr>
                <w:highlight w:val="darkGray"/>
              </w:rPr>
              <w:t>.</w:t>
            </w:r>
          </w:p>
        </w:tc>
      </w:tr>
      <w:tr w:rsidR="00D97B31" w:rsidRPr="00B9629C" w14:paraId="4865163F" w14:textId="77777777" w:rsidTr="00D97B31">
        <w:tc>
          <w:tcPr>
            <w:tcW w:w="1670" w:type="dxa"/>
          </w:tcPr>
          <w:p w14:paraId="7CCE7C46" w14:textId="49D02F56" w:rsidR="00D97B31" w:rsidRPr="00B9629C" w:rsidRDefault="00885369" w:rsidP="00E32922">
            <w:pPr>
              <w:spacing w:before="0" w:after="0"/>
              <w:rPr>
                <w:highlight w:val="darkGray"/>
              </w:rPr>
            </w:pPr>
            <w:r w:rsidRPr="00B9629C">
              <w:rPr>
                <w:highlight w:val="darkGray"/>
              </w:rPr>
              <w:t xml:space="preserve">Maternal delivery VL </w:t>
            </w:r>
            <w:r w:rsidR="00724290" w:rsidRPr="00B9629C">
              <w:rPr>
                <w:highlight w:val="darkGray"/>
              </w:rPr>
              <w:t>&lt;</w:t>
            </w:r>
            <w:r w:rsidRPr="00B9629C">
              <w:rPr>
                <w:highlight w:val="darkGray"/>
              </w:rPr>
              <w:t>50 copies/mL regardless of feeding choice.</w:t>
            </w:r>
          </w:p>
        </w:tc>
        <w:tc>
          <w:tcPr>
            <w:tcW w:w="1670" w:type="dxa"/>
          </w:tcPr>
          <w:p w14:paraId="188283F1" w14:textId="0B171FBF" w:rsidR="00D97B31" w:rsidRPr="00B9629C" w:rsidRDefault="00885369" w:rsidP="00885369">
            <w:pPr>
              <w:spacing w:before="0" w:after="0"/>
              <w:rPr>
                <w:highlight w:val="darkGray"/>
              </w:rPr>
            </w:pPr>
            <w:r w:rsidRPr="00B9629C">
              <w:rPr>
                <w:highlight w:val="darkGray"/>
              </w:rPr>
              <w:t>Re-classify as low risk.</w:t>
            </w:r>
          </w:p>
        </w:tc>
        <w:tc>
          <w:tcPr>
            <w:tcW w:w="1670" w:type="dxa"/>
          </w:tcPr>
          <w:p w14:paraId="620C676D" w14:textId="0B11B111" w:rsidR="00D97B31" w:rsidRPr="00B9629C" w:rsidRDefault="004F4351" w:rsidP="00E32922">
            <w:pPr>
              <w:spacing w:before="0" w:after="0"/>
              <w:rPr>
                <w:highlight w:val="darkGray"/>
              </w:rPr>
            </w:pPr>
            <w:r w:rsidRPr="00B9629C">
              <w:rPr>
                <w:highlight w:val="darkGray"/>
              </w:rPr>
              <w:t>C</w:t>
            </w:r>
            <w:r w:rsidR="00885369" w:rsidRPr="00B9629C">
              <w:rPr>
                <w:highlight w:val="darkGray"/>
              </w:rPr>
              <w:t>hange to low risk prophylaxis: NVP at birth and then daily for 6 weeks</w:t>
            </w:r>
            <w:r w:rsidR="00985A1C" w:rsidRPr="00B9629C">
              <w:rPr>
                <w:highlight w:val="darkGray"/>
              </w:rPr>
              <w:t>.</w:t>
            </w:r>
          </w:p>
        </w:tc>
        <w:tc>
          <w:tcPr>
            <w:tcW w:w="1670" w:type="dxa"/>
          </w:tcPr>
          <w:p w14:paraId="10E8A741" w14:textId="5A876DC9" w:rsidR="00D97B31" w:rsidRPr="00B9629C" w:rsidRDefault="00885369" w:rsidP="00E32922">
            <w:pPr>
              <w:spacing w:before="0" w:after="0"/>
              <w:rPr>
                <w:highlight w:val="darkGray"/>
              </w:rPr>
            </w:pPr>
            <w:r w:rsidRPr="00B9629C">
              <w:rPr>
                <w:highlight w:val="darkGray"/>
              </w:rPr>
              <w:t>Affirm and encourage good adherence. Repeat maternal VL 6-monthly during breastfeeding.</w:t>
            </w:r>
          </w:p>
        </w:tc>
      </w:tr>
    </w:tbl>
    <w:p w14:paraId="021CA7FB" w14:textId="52B4C84A" w:rsidR="00D97B31" w:rsidRPr="00B9629C" w:rsidRDefault="00885369" w:rsidP="005D71A2">
      <w:pPr>
        <w:spacing w:before="0" w:after="0"/>
        <w:jc w:val="both"/>
        <w:rPr>
          <w:sz w:val="16"/>
          <w:szCs w:val="16"/>
          <w:highlight w:val="darkGray"/>
        </w:rPr>
      </w:pPr>
      <w:r w:rsidRPr="00B9629C">
        <w:rPr>
          <w:sz w:val="16"/>
          <w:szCs w:val="16"/>
          <w:highlight w:val="darkGray"/>
        </w:rPr>
        <w:t xml:space="preserve">*Non-breastfeeding mother diagnosed HIV-positive </w:t>
      </w:r>
      <w:r w:rsidR="00724290" w:rsidRPr="00B9629C">
        <w:rPr>
          <w:sz w:val="16"/>
          <w:szCs w:val="16"/>
          <w:highlight w:val="darkGray"/>
        </w:rPr>
        <w:t>&gt;</w:t>
      </w:r>
      <w:r w:rsidRPr="00B9629C">
        <w:rPr>
          <w:sz w:val="16"/>
          <w:szCs w:val="16"/>
          <w:highlight w:val="darkGray"/>
        </w:rPr>
        <w:t>72 hours after delivery: Do not start the infant on prophylaxis. Start maternal ART. Perform an HIV PCR test on the infant and, if positive, initiate ART</w:t>
      </w:r>
      <w:r w:rsidR="00E87000" w:rsidRPr="00B9629C">
        <w:rPr>
          <w:sz w:val="16"/>
          <w:szCs w:val="16"/>
          <w:highlight w:val="darkGray"/>
        </w:rPr>
        <w:t>.</w:t>
      </w:r>
      <w:r w:rsidRPr="00B9629C">
        <w:rPr>
          <w:sz w:val="16"/>
          <w:szCs w:val="16"/>
          <w:highlight w:val="darkGray"/>
        </w:rPr>
        <w:t xml:space="preserve"> </w:t>
      </w:r>
      <w:r w:rsidR="00E87000" w:rsidRPr="00B9629C">
        <w:rPr>
          <w:sz w:val="16"/>
          <w:szCs w:val="16"/>
          <w:highlight w:val="darkGray"/>
        </w:rPr>
        <w:t>I</w:t>
      </w:r>
      <w:r w:rsidRPr="00B9629C">
        <w:rPr>
          <w:sz w:val="16"/>
          <w:szCs w:val="16"/>
          <w:highlight w:val="darkGray"/>
        </w:rPr>
        <w:t>f negative, continue to monitor HIV risk and perform HIV testing as above</w:t>
      </w:r>
      <w:r w:rsidR="00E31C01" w:rsidRPr="00B9629C">
        <w:rPr>
          <w:sz w:val="16"/>
          <w:szCs w:val="16"/>
          <w:highlight w:val="darkGray"/>
        </w:rPr>
        <w:t>.</w:t>
      </w:r>
    </w:p>
    <w:p w14:paraId="3DC0325A" w14:textId="31706C0C" w:rsidR="00D1728C" w:rsidRPr="00B9629C" w:rsidRDefault="00D1728C" w:rsidP="00E32922">
      <w:pPr>
        <w:spacing w:before="0" w:after="0"/>
        <w:rPr>
          <w:sz w:val="16"/>
          <w:szCs w:val="16"/>
          <w:highlight w:val="darkGray"/>
        </w:rPr>
      </w:pPr>
      <w:r w:rsidRPr="00B9629C">
        <w:rPr>
          <w:b/>
          <w:sz w:val="16"/>
          <w:szCs w:val="16"/>
          <w:highlight w:val="darkGray"/>
        </w:rPr>
        <w:t>Table 11.9</w:t>
      </w:r>
      <w:r w:rsidRPr="00B9629C">
        <w:rPr>
          <w:sz w:val="16"/>
          <w:szCs w:val="16"/>
          <w:highlight w:val="darkGray"/>
        </w:rPr>
        <w:t xml:space="preserve">: </w:t>
      </w:r>
      <w:r w:rsidR="00837150" w:rsidRPr="00B9629C">
        <w:rPr>
          <w:sz w:val="16"/>
          <w:szCs w:val="16"/>
          <w:highlight w:val="darkGray"/>
        </w:rPr>
        <w:t>Risk categories for HIV-exposed infants</w:t>
      </w:r>
    </w:p>
    <w:p w14:paraId="01447030" w14:textId="578125DC" w:rsidR="00E5138C" w:rsidRPr="00B9629C" w:rsidRDefault="007D254C" w:rsidP="00E5138C">
      <w:pPr>
        <w:pStyle w:val="NoSpacing"/>
        <w:rPr>
          <w:highlight w:val="darkGray"/>
        </w:rPr>
      </w:pPr>
      <w:r w:rsidRPr="00B9629C">
        <w:rPr>
          <w:noProof/>
          <w:highlight w:val="darkGray"/>
          <w:lang w:eastAsia="en-ZA"/>
        </w:rPr>
        <w:lastRenderedPageBreak/>
        <w:drawing>
          <wp:inline distT="0" distB="0" distL="0" distR="0" wp14:anchorId="454B464B" wp14:editId="23A29410">
            <wp:extent cx="4338955" cy="5859780"/>
            <wp:effectExtent l="0" t="0" r="444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6680" cy="5883718"/>
                    </a:xfrm>
                    <a:prstGeom prst="rect">
                      <a:avLst/>
                    </a:prstGeom>
                  </pic:spPr>
                </pic:pic>
              </a:graphicData>
            </a:graphic>
          </wp:inline>
        </w:drawing>
      </w:r>
    </w:p>
    <w:tbl>
      <w:tblPr>
        <w:tblpPr w:leftFromText="180" w:rightFromText="180" w:vertAnchor="text" w:tblpXSpec="right" w:tblpY="13"/>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E5138C" w:rsidRPr="00B9629C" w14:paraId="79BF1169" w14:textId="77777777" w:rsidTr="007F1CB8">
        <w:tc>
          <w:tcPr>
            <w:tcW w:w="907" w:type="dxa"/>
            <w:shd w:val="clear" w:color="auto" w:fill="auto"/>
          </w:tcPr>
          <w:p w14:paraId="39908EB2" w14:textId="575264DD" w:rsidR="00E5138C" w:rsidRPr="00B9629C" w:rsidRDefault="00E5138C" w:rsidP="007F1CB8">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052FB2" w:rsidRPr="00B9629C">
              <w:rPr>
                <w:sz w:val="14"/>
                <w:szCs w:val="14"/>
                <w:highlight w:val="darkGray"/>
              </w:rPr>
              <w:t>b</w:t>
            </w:r>
            <w:r w:rsidRPr="00B9629C">
              <w:rPr>
                <w:rStyle w:val="EndnoteReference"/>
                <w:sz w:val="14"/>
                <w:szCs w:val="14"/>
                <w:highlight w:val="darkGray"/>
              </w:rPr>
              <w:endnoteReference w:id="47"/>
            </w:r>
          </w:p>
        </w:tc>
      </w:tr>
    </w:tbl>
    <w:p w14:paraId="320BF124" w14:textId="066715FC" w:rsidR="00E5138C" w:rsidRPr="00B9629C" w:rsidRDefault="005F1138" w:rsidP="00E5138C">
      <w:pPr>
        <w:pStyle w:val="NoSpacing"/>
        <w:rPr>
          <w:sz w:val="16"/>
          <w:highlight w:val="darkGray"/>
        </w:rPr>
      </w:pPr>
      <w:r w:rsidRPr="00B9629C">
        <w:rPr>
          <w:b/>
          <w:sz w:val="16"/>
          <w:highlight w:val="darkGray"/>
        </w:rPr>
        <w:t>Figure 11.</w:t>
      </w:r>
      <w:r w:rsidR="004A6630" w:rsidRPr="00B9629C">
        <w:rPr>
          <w:b/>
          <w:sz w:val="16"/>
          <w:highlight w:val="darkGray"/>
        </w:rPr>
        <w:t>4</w:t>
      </w:r>
      <w:r w:rsidRPr="00B9629C">
        <w:rPr>
          <w:b/>
          <w:sz w:val="16"/>
          <w:highlight w:val="darkGray"/>
        </w:rPr>
        <w:t>:</w:t>
      </w:r>
      <w:r w:rsidRPr="00B9629C">
        <w:rPr>
          <w:sz w:val="16"/>
          <w:highlight w:val="darkGray"/>
        </w:rPr>
        <w:t xml:space="preserve"> HIV prophylaxis in HIV-exposed infant at high risk</w:t>
      </w:r>
      <w:r w:rsidR="009B79D3" w:rsidRPr="00B9629C">
        <w:rPr>
          <w:sz w:val="16"/>
          <w:highlight w:val="darkGray"/>
        </w:rPr>
        <w:t xml:space="preserve"> after delivery</w:t>
      </w:r>
    </w:p>
    <w:p w14:paraId="64585151" w14:textId="77777777" w:rsidR="00E5138C" w:rsidRPr="00B9629C" w:rsidRDefault="00E5138C" w:rsidP="00E5138C">
      <w:pPr>
        <w:pStyle w:val="NoSpacing"/>
        <w:rPr>
          <w:highlight w:val="darkGray"/>
        </w:rPr>
      </w:pPr>
    </w:p>
    <w:p w14:paraId="2B346DF0" w14:textId="77777777" w:rsidR="00E5138C" w:rsidRPr="00B9629C" w:rsidRDefault="00E5138C" w:rsidP="00E5138C">
      <w:pPr>
        <w:pStyle w:val="NoSpacing"/>
        <w:rPr>
          <w:highlight w:val="darkGray"/>
        </w:rPr>
      </w:pPr>
    </w:p>
    <w:tbl>
      <w:tblPr>
        <w:tblStyle w:val="TableGrid"/>
        <w:tblW w:w="0" w:type="auto"/>
        <w:tblLook w:val="04A0" w:firstRow="1" w:lastRow="0" w:firstColumn="1" w:lastColumn="0" w:noHBand="0" w:noVBand="1"/>
      </w:tblPr>
      <w:tblGrid>
        <w:gridCol w:w="6681"/>
      </w:tblGrid>
      <w:tr w:rsidR="007A5BFC" w:rsidRPr="00B9629C" w14:paraId="35169C46" w14:textId="77777777" w:rsidTr="005D71A2">
        <w:tc>
          <w:tcPr>
            <w:tcW w:w="6681" w:type="dxa"/>
          </w:tcPr>
          <w:p w14:paraId="1299E5EE" w14:textId="19FAD4C5" w:rsidR="007A5BFC" w:rsidRPr="00B9629C" w:rsidRDefault="00561695" w:rsidP="00E5138C">
            <w:pPr>
              <w:pStyle w:val="NoSpacing"/>
              <w:rPr>
                <w:highlight w:val="darkGray"/>
              </w:rPr>
            </w:pPr>
            <w:r w:rsidRPr="00B9629C">
              <w:rPr>
                <w:noProof/>
                <w:highlight w:val="darkGray"/>
                <w:lang w:eastAsia="en-ZA"/>
              </w:rPr>
              <w:lastRenderedPageBreak/>
              <w:drawing>
                <wp:inline distT="0" distB="0" distL="0" distR="0" wp14:anchorId="46C13D57" wp14:editId="36FAFF30">
                  <wp:extent cx="4175760" cy="386549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80973" cy="3870321"/>
                          </a:xfrm>
                          <a:prstGeom prst="rect">
                            <a:avLst/>
                          </a:prstGeom>
                        </pic:spPr>
                      </pic:pic>
                    </a:graphicData>
                  </a:graphic>
                </wp:inline>
              </w:drawing>
            </w:r>
          </w:p>
        </w:tc>
      </w:tr>
    </w:tbl>
    <w:tbl>
      <w:tblPr>
        <w:tblpPr w:leftFromText="180" w:rightFromText="180" w:vertAnchor="text" w:horzAnchor="margin" w:tblpXSpec="right" w:tblpY="120"/>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5D71A2" w:rsidRPr="00B9629C" w14:paraId="624A72D3" w14:textId="77777777" w:rsidTr="005D71A2">
        <w:tc>
          <w:tcPr>
            <w:tcW w:w="907" w:type="dxa"/>
            <w:shd w:val="clear" w:color="auto" w:fill="auto"/>
          </w:tcPr>
          <w:p w14:paraId="5CFFF442" w14:textId="77777777" w:rsidR="005D71A2" w:rsidRPr="00B9629C" w:rsidRDefault="005D71A2" w:rsidP="005D71A2">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LoE:IIIb</w:t>
            </w:r>
            <w:r w:rsidRPr="00B9629C">
              <w:rPr>
                <w:rStyle w:val="EndnoteReference"/>
                <w:sz w:val="14"/>
                <w:szCs w:val="14"/>
                <w:highlight w:val="darkGray"/>
              </w:rPr>
              <w:endnoteReference w:id="48"/>
            </w:r>
          </w:p>
        </w:tc>
      </w:tr>
    </w:tbl>
    <w:p w14:paraId="44877EF8" w14:textId="464C920D" w:rsidR="005D71A2" w:rsidRPr="00B9629C" w:rsidRDefault="005D71A2" w:rsidP="005D71A2">
      <w:pPr>
        <w:pStyle w:val="NoSpacing"/>
        <w:rPr>
          <w:sz w:val="16"/>
          <w:highlight w:val="darkGray"/>
        </w:rPr>
      </w:pPr>
      <w:r w:rsidRPr="00B9629C">
        <w:rPr>
          <w:b/>
          <w:sz w:val="16"/>
          <w:highlight w:val="darkGray"/>
        </w:rPr>
        <w:t>Figure 11.</w:t>
      </w:r>
      <w:r w:rsidR="004A6630" w:rsidRPr="00B9629C">
        <w:rPr>
          <w:b/>
          <w:sz w:val="16"/>
          <w:highlight w:val="darkGray"/>
        </w:rPr>
        <w:t>5</w:t>
      </w:r>
      <w:r w:rsidRPr="00B9629C">
        <w:rPr>
          <w:sz w:val="16"/>
          <w:highlight w:val="darkGray"/>
        </w:rPr>
        <w:t>: Management of HIV-exposed infant of unknown risk</w:t>
      </w:r>
    </w:p>
    <w:p w14:paraId="156A5E0A" w14:textId="21ADF54E" w:rsidR="00E5138C" w:rsidRPr="00B9629C" w:rsidRDefault="00E5138C" w:rsidP="00561695">
      <w:pPr>
        <w:pStyle w:val="NoSpacing"/>
        <w:rPr>
          <w:highlight w:val="darkGray"/>
        </w:rPr>
      </w:pPr>
    </w:p>
    <w:p w14:paraId="22E70DDA" w14:textId="7C7494BF" w:rsidR="005E0099" w:rsidRPr="00B9629C" w:rsidRDefault="00E5138C" w:rsidP="005E0099">
      <w:pPr>
        <w:pStyle w:val="Heading6"/>
        <w:rPr>
          <w:highlight w:val="darkGray"/>
        </w:rPr>
      </w:pPr>
      <w:r w:rsidRPr="00B9629C">
        <w:rPr>
          <w:highlight w:val="darkGray"/>
        </w:rPr>
        <w:t xml:space="preserve">Non-breastfeeding mother diagnosed HIV positive </w:t>
      </w:r>
      <w:r w:rsidR="00724290" w:rsidRPr="00B9629C">
        <w:rPr>
          <w:highlight w:val="darkGray"/>
        </w:rPr>
        <w:t>&gt;</w:t>
      </w:r>
      <w:r w:rsidRPr="00B9629C">
        <w:rPr>
          <w:highlight w:val="darkGray"/>
        </w:rPr>
        <w:t xml:space="preserve">72 hours after delivery: </w:t>
      </w:r>
    </w:p>
    <w:p w14:paraId="6E957074" w14:textId="41301EE2" w:rsidR="00E5138C" w:rsidRPr="00B9629C" w:rsidRDefault="00E5138C" w:rsidP="00AE3D1F">
      <w:pPr>
        <w:pStyle w:val="NoSpacing"/>
        <w:rPr>
          <w:highlight w:val="darkGray"/>
        </w:rPr>
      </w:pPr>
      <w:r w:rsidRPr="00B9629C">
        <w:rPr>
          <w:highlight w:val="darkGray"/>
        </w:rPr>
        <w:t xml:space="preserve">Do not start NVP. Perform an HIV </w:t>
      </w:r>
      <w:r w:rsidR="000B13F3" w:rsidRPr="00B9629C">
        <w:rPr>
          <w:highlight w:val="darkGray"/>
        </w:rPr>
        <w:t>PCR o</w:t>
      </w:r>
      <w:r w:rsidRPr="00B9629C">
        <w:rPr>
          <w:highlight w:val="darkGray"/>
        </w:rPr>
        <w:t xml:space="preserve">n infant and if positive initiate ART. </w:t>
      </w:r>
    </w:p>
    <w:p w14:paraId="2B16F55C" w14:textId="23B6A80C" w:rsidR="00E5138C" w:rsidRPr="00B9629C" w:rsidRDefault="00E5138C" w:rsidP="00AE3D1F">
      <w:pPr>
        <w:pStyle w:val="Heading6"/>
        <w:rPr>
          <w:highlight w:val="darkGray"/>
        </w:rPr>
      </w:pPr>
      <w:r w:rsidRPr="00B9629C">
        <w:rPr>
          <w:highlight w:val="darkGray"/>
        </w:rPr>
        <w:t>Infant</w:t>
      </w:r>
      <w:r w:rsidR="001609C6" w:rsidRPr="00B9629C">
        <w:rPr>
          <w:highlight w:val="darkGray"/>
        </w:rPr>
        <w:t xml:space="preserve"> VTP </w:t>
      </w:r>
      <w:r w:rsidRPr="00B9629C">
        <w:rPr>
          <w:highlight w:val="darkGray"/>
        </w:rPr>
        <w:t>dosages:</w:t>
      </w:r>
    </w:p>
    <w:p w14:paraId="2ACF9B1F" w14:textId="77777777" w:rsidR="00E5138C" w:rsidRPr="00B9629C" w:rsidRDefault="00E5138C" w:rsidP="00AE3D1F">
      <w:pPr>
        <w:pStyle w:val="NoSpacing"/>
        <w:rPr>
          <w:highlight w:val="darkGray"/>
        </w:rPr>
      </w:pPr>
      <w:r w:rsidRPr="00B9629C">
        <w:rPr>
          <w:highlight w:val="darkGray"/>
        </w:rPr>
        <w:t>Daily prophylaxis for 6 or 12 weeks administered to infants, as indicated above:</w:t>
      </w:r>
    </w:p>
    <w:p w14:paraId="797EBFC9" w14:textId="77777777" w:rsidR="00E5138C" w:rsidRPr="00B9629C" w:rsidRDefault="00E5138C" w:rsidP="00AE3D1F">
      <w:pPr>
        <w:pStyle w:val="ListParagraph"/>
        <w:rPr>
          <w:highlight w:val="darkGray"/>
        </w:rPr>
      </w:pPr>
      <w:r w:rsidRPr="00B9629C">
        <w:rPr>
          <w:highlight w:val="darkGray"/>
        </w:rPr>
        <w:t>Give 1st dose as soon as possible after birth.</w:t>
      </w:r>
    </w:p>
    <w:p w14:paraId="0E9085D2" w14:textId="77777777" w:rsidR="00E5138C" w:rsidRPr="00B9629C" w:rsidRDefault="00E5138C" w:rsidP="00AE3D1F">
      <w:pPr>
        <w:pStyle w:val="ListParagraph"/>
        <w:rPr>
          <w:highlight w:val="darkGray"/>
        </w:rPr>
      </w:pPr>
      <w:r w:rsidRPr="00B9629C">
        <w:rPr>
          <w:highlight w:val="darkGray"/>
        </w:rPr>
        <w:t>If baby vomits: Repeat dose once only.</w:t>
      </w:r>
    </w:p>
    <w:p w14:paraId="596A903F" w14:textId="77777777" w:rsidR="00E5138C" w:rsidRPr="00B9629C" w:rsidRDefault="00E5138C" w:rsidP="00AE3D1F">
      <w:pPr>
        <w:pStyle w:val="ListParagraph"/>
        <w:rPr>
          <w:highlight w:val="darkGray"/>
        </w:rPr>
      </w:pPr>
      <w:r w:rsidRPr="00B9629C">
        <w:rPr>
          <w:highlight w:val="darkGray"/>
        </w:rPr>
        <w:t xml:space="preserve">If infant HIV PCR is positive at any time, stop prophylactic ARV, confirm with 2nd PCR and initiate/refer for ART, while awaiting 2nd PCR result. </w:t>
      </w:r>
    </w:p>
    <w:p w14:paraId="682C9B40" w14:textId="39A21DD8" w:rsidR="00E5138C" w:rsidRPr="00B9629C" w:rsidRDefault="00E5138C" w:rsidP="00AE3D1F">
      <w:pPr>
        <w:pStyle w:val="ListParagraph"/>
        <w:rPr>
          <w:highlight w:val="darkGray"/>
        </w:rPr>
      </w:pPr>
      <w:r w:rsidRPr="00B9629C">
        <w:rPr>
          <w:highlight w:val="darkGray"/>
        </w:rPr>
        <w:t>Continue normal breastfeeding .</w:t>
      </w:r>
    </w:p>
    <w:p w14:paraId="53E5446B" w14:textId="247C40E6" w:rsidR="00624D97" w:rsidRPr="00B9629C" w:rsidRDefault="00657A2A" w:rsidP="00657A2A">
      <w:pPr>
        <w:pStyle w:val="Heading6"/>
        <w:rPr>
          <w:highlight w:val="darkGray"/>
        </w:rPr>
      </w:pPr>
      <w:r w:rsidRPr="00B9629C">
        <w:rPr>
          <w:highlight w:val="darkGray"/>
        </w:rPr>
        <w:t xml:space="preserve">Nevirapine (NVP) </w:t>
      </w:r>
      <w:r w:rsidR="00624D97" w:rsidRPr="00B9629C">
        <w:rPr>
          <w:highlight w:val="darkGray"/>
        </w:rPr>
        <w:t>and Zidovudine (AZT) doses</w:t>
      </w:r>
      <w:r w:rsidRPr="00B9629C">
        <w:rPr>
          <w:highlight w:val="darkGray"/>
        </w:rPr>
        <w:t xml:space="preserve"> for infant on </w:t>
      </w:r>
      <w:r w:rsidR="001609C6" w:rsidRPr="00B9629C">
        <w:rPr>
          <w:highlight w:val="darkGray"/>
        </w:rPr>
        <w:t>VTP</w:t>
      </w:r>
      <w:r w:rsidRPr="00B9629C">
        <w:rPr>
          <w:highlight w:val="darkGray"/>
        </w:rPr>
        <w:t>:</w:t>
      </w:r>
      <w:r w:rsidR="00624D97" w:rsidRPr="00B9629C">
        <w:rPr>
          <w:highlight w:val="darkGray"/>
        </w:rPr>
        <w:t xml:space="preserve">  </w:t>
      </w:r>
    </w:p>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624D97" w:rsidRPr="00B9629C" w14:paraId="1E29019E" w14:textId="77777777" w:rsidTr="00383C11">
        <w:tc>
          <w:tcPr>
            <w:tcW w:w="907" w:type="dxa"/>
            <w:shd w:val="clear" w:color="auto" w:fill="auto"/>
          </w:tcPr>
          <w:p w14:paraId="1D7EA267" w14:textId="7EFD8E1C" w:rsidR="00624D97" w:rsidRPr="00B9629C" w:rsidRDefault="00624D97" w:rsidP="008B7C3D">
            <w:pPr>
              <w:pStyle w:val="LoEText"/>
              <w:framePr w:hSpace="0" w:wrap="auto" w:vAnchor="margin" w:hAnchor="text" w:xAlign="left" w:yAlign="inline"/>
              <w:suppressOverlap w:val="0"/>
              <w:rPr>
                <w:sz w:val="14"/>
                <w:szCs w:val="14"/>
                <w:highlight w:val="darkGray"/>
              </w:rPr>
            </w:pPr>
            <w:r w:rsidRPr="00B9629C">
              <w:rPr>
                <w:sz w:val="14"/>
                <w:szCs w:val="14"/>
                <w:highlight w:val="darkGray"/>
              </w:rPr>
              <w:t>LoE:IIb</w:t>
            </w:r>
            <w:r w:rsidRPr="00B9629C">
              <w:rPr>
                <w:rStyle w:val="EndnoteReference"/>
                <w:sz w:val="14"/>
                <w:szCs w:val="14"/>
                <w:highlight w:val="darkGray"/>
              </w:rPr>
              <w:endnoteReference w:id="49"/>
            </w:r>
          </w:p>
        </w:tc>
      </w:tr>
    </w:tbl>
    <w:p w14:paraId="25968927" w14:textId="05BEED32" w:rsidR="00657A2A" w:rsidRPr="00B9629C" w:rsidRDefault="00657A2A" w:rsidP="00657A2A">
      <w:pPr>
        <w:pStyle w:val="Heading7"/>
        <w:rPr>
          <w:highlight w:val="darkGray"/>
        </w:rPr>
      </w:pPr>
      <w:r w:rsidRPr="00B9629C">
        <w:rPr>
          <w:highlight w:val="darkGray"/>
        </w:rPr>
        <w:t>Newborns and infants:</w:t>
      </w:r>
    </w:p>
    <w:p w14:paraId="6948A8CA" w14:textId="77777777" w:rsidR="00624D97" w:rsidRPr="00B9629C" w:rsidRDefault="00624D97" w:rsidP="00624D97">
      <w:pPr>
        <w:pStyle w:val="BulletMedicine"/>
        <w:rPr>
          <w:highlight w:val="darkGray"/>
        </w:rPr>
      </w:pPr>
      <w:r w:rsidRPr="00B9629C">
        <w:rPr>
          <w:highlight w:val="darkGray"/>
        </w:rPr>
        <w:t>Nevirapine, oral</w:t>
      </w:r>
      <w:r w:rsidRPr="00B9629C">
        <w:rPr>
          <w:highlight w:val="darkGray"/>
        </w:rPr>
        <w:fldChar w:fldCharType="begin"/>
      </w:r>
      <w:r w:rsidRPr="00B9629C">
        <w:rPr>
          <w:highlight w:val="darkGray"/>
        </w:rPr>
        <w:instrText xml:space="preserve"> XE "Nevirapine (NVP)" \f "m"</w:instrText>
      </w:r>
      <w:r w:rsidRPr="00B9629C">
        <w:rPr>
          <w:highlight w:val="darkGray"/>
        </w:rPr>
        <w:fldChar w:fldCharType="end"/>
      </w:r>
      <w:r w:rsidRPr="00B9629C">
        <w:rPr>
          <w:highlight w:val="darkGray"/>
        </w:rPr>
        <w:t>, 4 mg/kg daily.</w:t>
      </w:r>
    </w:p>
    <w:p w14:paraId="3253DC18" w14:textId="77777777" w:rsidR="00624D97" w:rsidRPr="00B9629C" w:rsidRDefault="00624D97" w:rsidP="00624D97">
      <w:pPr>
        <w:pStyle w:val="BulletMedicine"/>
        <w:rPr>
          <w:highlight w:val="darkGray"/>
        </w:rPr>
      </w:pPr>
      <w:r w:rsidRPr="00B9629C">
        <w:rPr>
          <w:highlight w:val="darkGray"/>
        </w:rPr>
        <w:t>Zidovudine</w:t>
      </w:r>
      <w:r w:rsidRPr="00B9629C">
        <w:rPr>
          <w:highlight w:val="darkGray"/>
        </w:rPr>
        <w:fldChar w:fldCharType="begin"/>
      </w:r>
      <w:r w:rsidRPr="00B9629C">
        <w:rPr>
          <w:highlight w:val="darkGray"/>
        </w:rPr>
        <w:instrText xml:space="preserve"> XE "Zidovudine (AZT)" \f "m"</w:instrText>
      </w:r>
      <w:r w:rsidRPr="00B9629C">
        <w:rPr>
          <w:highlight w:val="darkGray"/>
        </w:rPr>
        <w:fldChar w:fldCharType="end"/>
      </w:r>
      <w:r w:rsidRPr="00B9629C">
        <w:rPr>
          <w:highlight w:val="darkGray"/>
        </w:rPr>
        <w:t>, oral, 4mg/kg/dose 12 hourly.</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625"/>
        <w:gridCol w:w="990"/>
        <w:gridCol w:w="1080"/>
        <w:gridCol w:w="1097"/>
        <w:gridCol w:w="811"/>
        <w:gridCol w:w="1039"/>
        <w:gridCol w:w="1039"/>
      </w:tblGrid>
      <w:tr w:rsidR="009D5AE7" w:rsidRPr="00B9629C" w14:paraId="7008396A" w14:textId="77777777" w:rsidTr="00615086">
        <w:tc>
          <w:tcPr>
            <w:tcW w:w="625" w:type="dxa"/>
            <w:vMerge w:val="restart"/>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1B3CFF2" w14:textId="77777777" w:rsidR="009D5AE7" w:rsidRPr="00B9629C" w:rsidRDefault="009D5AE7" w:rsidP="009D5AE7">
            <w:pPr>
              <w:pStyle w:val="BulletMedicine"/>
              <w:numPr>
                <w:ilvl w:val="0"/>
                <w:numId w:val="0"/>
              </w:numPr>
              <w:rPr>
                <w:b/>
                <w:sz w:val="16"/>
                <w:szCs w:val="16"/>
                <w:highlight w:val="darkGray"/>
              </w:rPr>
            </w:pPr>
          </w:p>
        </w:tc>
        <w:tc>
          <w:tcPr>
            <w:tcW w:w="3167" w:type="dxa"/>
            <w:gridSpan w:val="3"/>
            <w:tcBorders>
              <w:top w:val="single" w:sz="4" w:space="0" w:color="000000"/>
              <w:left w:val="single" w:sz="4" w:space="0" w:color="000000"/>
              <w:bottom w:val="single" w:sz="4" w:space="0" w:color="000000"/>
              <w:right w:val="single" w:sz="4" w:space="0" w:color="000000"/>
            </w:tcBorders>
            <w:shd w:val="clear" w:color="auto" w:fill="D8D8D8"/>
          </w:tcPr>
          <w:p w14:paraId="3A3D2AEA" w14:textId="3379483E" w:rsidR="009D5AE7" w:rsidRPr="00B9629C" w:rsidRDefault="009D5AE7" w:rsidP="00615086">
            <w:pPr>
              <w:pStyle w:val="BulletMedicine"/>
              <w:numPr>
                <w:ilvl w:val="0"/>
                <w:numId w:val="0"/>
              </w:numPr>
              <w:jc w:val="center"/>
              <w:rPr>
                <w:b/>
                <w:sz w:val="16"/>
                <w:szCs w:val="16"/>
                <w:highlight w:val="darkGray"/>
              </w:rPr>
            </w:pPr>
            <w:r w:rsidRPr="00B9629C">
              <w:rPr>
                <w:b/>
                <w:sz w:val="16"/>
                <w:szCs w:val="16"/>
                <w:highlight w:val="darkGray"/>
              </w:rPr>
              <w:t>Birth–6 weeks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7A42F18" w14:textId="297C6CA4" w:rsidR="009D5AE7" w:rsidRPr="00B9629C" w:rsidRDefault="009D5AE7" w:rsidP="00615086">
            <w:pPr>
              <w:pStyle w:val="BulletMedicine"/>
              <w:numPr>
                <w:ilvl w:val="0"/>
                <w:numId w:val="0"/>
              </w:numPr>
              <w:jc w:val="center"/>
              <w:rPr>
                <w:b/>
                <w:sz w:val="16"/>
                <w:szCs w:val="16"/>
                <w:highlight w:val="darkGray"/>
              </w:rPr>
            </w:pPr>
            <w:r w:rsidRPr="00B9629C">
              <w:rPr>
                <w:b/>
                <w:sz w:val="16"/>
                <w:szCs w:val="16"/>
                <w:highlight w:val="darkGray"/>
              </w:rPr>
              <w:t>6 weeks – 6 months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0AF8EA0" w14:textId="25608FDE" w:rsidR="009D5AE7" w:rsidRPr="00B9629C" w:rsidRDefault="009D5AE7" w:rsidP="00615086">
            <w:pPr>
              <w:pStyle w:val="BulletMedicine"/>
              <w:numPr>
                <w:ilvl w:val="0"/>
                <w:numId w:val="0"/>
              </w:numPr>
              <w:jc w:val="center"/>
              <w:rPr>
                <w:b/>
                <w:sz w:val="16"/>
                <w:szCs w:val="16"/>
                <w:highlight w:val="darkGray"/>
              </w:rPr>
            </w:pPr>
            <w:r w:rsidRPr="00B9629C">
              <w:rPr>
                <w:b/>
                <w:sz w:val="16"/>
                <w:szCs w:val="16"/>
                <w:highlight w:val="darkGray"/>
              </w:rPr>
              <w:t>6 – 9 months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9FF60F8" w14:textId="047C0BA6" w:rsidR="009D5AE7" w:rsidRPr="00B9629C" w:rsidRDefault="009D5AE7" w:rsidP="00615086">
            <w:pPr>
              <w:pStyle w:val="BulletMedicine"/>
              <w:numPr>
                <w:ilvl w:val="0"/>
                <w:numId w:val="0"/>
              </w:numPr>
              <w:jc w:val="center"/>
              <w:rPr>
                <w:b/>
                <w:sz w:val="16"/>
                <w:szCs w:val="16"/>
                <w:highlight w:val="darkGray"/>
              </w:rPr>
            </w:pPr>
            <w:r w:rsidRPr="00B9629C">
              <w:rPr>
                <w:b/>
                <w:sz w:val="16"/>
                <w:szCs w:val="16"/>
                <w:highlight w:val="darkGray"/>
              </w:rPr>
              <w:t>9 – 24 months</w:t>
            </w:r>
          </w:p>
        </w:tc>
      </w:tr>
      <w:tr w:rsidR="009D5AE7" w:rsidRPr="00B9629C" w14:paraId="6705BAA3" w14:textId="77777777" w:rsidTr="00615086">
        <w:tc>
          <w:tcPr>
            <w:tcW w:w="62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E177ED" w14:textId="77777777" w:rsidR="009D5AE7" w:rsidRPr="00B9629C" w:rsidRDefault="009D5AE7" w:rsidP="009D5AE7">
            <w:pPr>
              <w:pStyle w:val="BulletMedicine"/>
              <w:numPr>
                <w:ilvl w:val="0"/>
                <w:numId w:val="0"/>
              </w:numPr>
              <w:rPr>
                <w:b/>
                <w:sz w:val="16"/>
                <w:szCs w:val="16"/>
                <w:highlight w:val="darkGray"/>
              </w:rPr>
            </w:pPr>
          </w:p>
        </w:tc>
        <w:tc>
          <w:tcPr>
            <w:tcW w:w="990" w:type="dxa"/>
            <w:tcBorders>
              <w:top w:val="single" w:sz="4" w:space="0" w:color="000000"/>
              <w:left w:val="single" w:sz="4" w:space="0" w:color="000000"/>
              <w:bottom w:val="single" w:sz="4" w:space="0" w:color="000000"/>
              <w:right w:val="single" w:sz="4" w:space="0" w:color="000000"/>
            </w:tcBorders>
            <w:shd w:val="clear" w:color="auto" w:fill="D8D8D8"/>
          </w:tcPr>
          <w:p w14:paraId="3E9DEB8C" w14:textId="4ED53BA7" w:rsidR="009D5AE7" w:rsidRPr="00B9629C" w:rsidRDefault="009D5AE7" w:rsidP="00615086">
            <w:pPr>
              <w:pStyle w:val="BulletMedicine"/>
              <w:numPr>
                <w:ilvl w:val="0"/>
                <w:numId w:val="0"/>
              </w:numPr>
              <w:jc w:val="center"/>
              <w:rPr>
                <w:b/>
                <w:sz w:val="16"/>
                <w:szCs w:val="16"/>
                <w:highlight w:val="darkGray"/>
              </w:rPr>
            </w:pPr>
            <w:r w:rsidRPr="00B9629C">
              <w:rPr>
                <w:b/>
                <w:sz w:val="16"/>
                <w:szCs w:val="16"/>
                <w:highlight w:val="darkGray"/>
              </w:rPr>
              <w:t>1.5-1.9 kg</w:t>
            </w:r>
          </w:p>
        </w:tc>
        <w:tc>
          <w:tcPr>
            <w:tcW w:w="1080"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21C2AD18" w14:textId="25D7842C" w:rsidR="009D5AE7" w:rsidRPr="00B9629C" w:rsidRDefault="009D5AE7" w:rsidP="00615086">
            <w:pPr>
              <w:pStyle w:val="BulletMedicine"/>
              <w:numPr>
                <w:ilvl w:val="0"/>
                <w:numId w:val="0"/>
              </w:numPr>
              <w:jc w:val="center"/>
              <w:rPr>
                <w:b/>
                <w:sz w:val="16"/>
                <w:szCs w:val="16"/>
                <w:highlight w:val="darkGray"/>
              </w:rPr>
            </w:pPr>
            <w:r w:rsidRPr="00B9629C">
              <w:rPr>
                <w:b/>
                <w:sz w:val="16"/>
                <w:szCs w:val="16"/>
                <w:highlight w:val="darkGray"/>
              </w:rPr>
              <w:t>2.0– 2.49 kg</w:t>
            </w:r>
          </w:p>
        </w:tc>
        <w:tc>
          <w:tcPr>
            <w:tcW w:w="1097"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44773E12" w14:textId="57F64D8C" w:rsidR="009D5AE7" w:rsidRPr="00B9629C" w:rsidRDefault="009D5AE7" w:rsidP="00615086">
            <w:pPr>
              <w:pStyle w:val="BulletMedicine"/>
              <w:numPr>
                <w:ilvl w:val="0"/>
                <w:numId w:val="0"/>
              </w:numPr>
              <w:jc w:val="center"/>
              <w:rPr>
                <w:b/>
                <w:sz w:val="16"/>
                <w:szCs w:val="16"/>
                <w:highlight w:val="darkGray"/>
              </w:rPr>
            </w:pPr>
            <w:r w:rsidRPr="00B9629C">
              <w:rPr>
                <w:b/>
                <w:sz w:val="16"/>
                <w:szCs w:val="16"/>
                <w:highlight w:val="darkGray"/>
              </w:rPr>
              <w:t>≥ 2.5 kg</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9515E7" w14:textId="77777777" w:rsidR="009D5AE7" w:rsidRPr="00B9629C" w:rsidRDefault="009D5AE7" w:rsidP="009D5AE7">
            <w:pPr>
              <w:pStyle w:val="BulletMedicine"/>
              <w:numPr>
                <w:ilvl w:val="0"/>
                <w:numId w:val="0"/>
              </w:numPr>
              <w:rPr>
                <w:sz w:val="16"/>
                <w:szCs w:val="16"/>
                <w:highlight w:val="darkGray"/>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5FED5" w14:textId="77777777" w:rsidR="009D5AE7" w:rsidRPr="00B9629C" w:rsidRDefault="009D5AE7" w:rsidP="009D5AE7">
            <w:pPr>
              <w:pStyle w:val="BulletMedicine"/>
              <w:numPr>
                <w:ilvl w:val="0"/>
                <w:numId w:val="0"/>
              </w:numPr>
              <w:rPr>
                <w:sz w:val="16"/>
                <w:szCs w:val="16"/>
                <w:highlight w:val="darkGray"/>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BE08E6" w14:textId="77777777" w:rsidR="009D5AE7" w:rsidRPr="00B9629C" w:rsidRDefault="009D5AE7" w:rsidP="009D5AE7">
            <w:pPr>
              <w:pStyle w:val="BulletMedicine"/>
              <w:numPr>
                <w:ilvl w:val="0"/>
                <w:numId w:val="0"/>
              </w:numPr>
              <w:rPr>
                <w:sz w:val="16"/>
                <w:szCs w:val="16"/>
                <w:highlight w:val="darkGray"/>
              </w:rPr>
            </w:pPr>
          </w:p>
        </w:tc>
      </w:tr>
      <w:tr w:rsidR="009D5AE7" w:rsidRPr="00B9629C" w14:paraId="53A41F3E" w14:textId="77777777" w:rsidTr="00615086">
        <w:tc>
          <w:tcPr>
            <w:tcW w:w="6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94E13C" w14:textId="77777777"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NVP (Daily)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7D8C71" w14:textId="77777777"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0.35 mL (0.35 mg) for 2 weeks</w:t>
            </w:r>
          </w:p>
          <w:p w14:paraId="38F82A9C" w14:textId="77777777" w:rsidR="009D5AE7" w:rsidRPr="00B9629C" w:rsidRDefault="009D5AE7" w:rsidP="009D5AE7">
            <w:pPr>
              <w:rPr>
                <w:sz w:val="16"/>
                <w:szCs w:val="16"/>
                <w:highlight w:val="darkGray"/>
              </w:rPr>
            </w:pPr>
            <w:r w:rsidRPr="00B9629C">
              <w:rPr>
                <w:sz w:val="16"/>
                <w:szCs w:val="16"/>
                <w:highlight w:val="darkGray"/>
              </w:rPr>
              <w:t>THEN</w:t>
            </w:r>
          </w:p>
          <w:p w14:paraId="0F6682B9" w14:textId="61A1418A" w:rsidR="009D5AE7" w:rsidRPr="00B9629C" w:rsidRDefault="009D5AE7" w:rsidP="009D5AE7">
            <w:pPr>
              <w:rPr>
                <w:sz w:val="16"/>
                <w:szCs w:val="16"/>
                <w:highlight w:val="darkGray"/>
              </w:rPr>
            </w:pPr>
            <w:r w:rsidRPr="00B9629C">
              <w:rPr>
                <w:sz w:val="16"/>
                <w:szCs w:val="16"/>
                <w:highlight w:val="darkGray"/>
              </w:rPr>
              <w:t>0.6 mL (0.6 mg)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917D68" w14:textId="4B62265C"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1 mL (10 mg) daily </w:t>
            </w:r>
          </w:p>
        </w:tc>
        <w:tc>
          <w:tcPr>
            <w:tcW w:w="10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84EAFB" w14:textId="77777777"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1.5 mL (15 mg) daily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375DC0" w14:textId="77777777"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2 mL (20 mg) daily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145BEC" w14:textId="77777777"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3 mL (30 mg) daily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177062" w14:textId="77777777"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4 mL (40 mg) daily </w:t>
            </w:r>
          </w:p>
        </w:tc>
      </w:tr>
      <w:tr w:rsidR="009D5AE7" w:rsidRPr="00B9629C" w14:paraId="5071F167" w14:textId="77777777" w:rsidTr="00615086">
        <w:tc>
          <w:tcPr>
            <w:tcW w:w="6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602C27" w14:textId="2381863F"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AZT (Twice daily)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5C244D" w14:textId="77777777"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2mg/kg for 2 weeks</w:t>
            </w:r>
          </w:p>
          <w:p w14:paraId="6668C1A4" w14:textId="77777777" w:rsidR="009D5AE7" w:rsidRPr="00B9629C" w:rsidRDefault="009D5AE7" w:rsidP="009D5AE7">
            <w:pPr>
              <w:rPr>
                <w:sz w:val="16"/>
                <w:szCs w:val="16"/>
                <w:highlight w:val="darkGray"/>
              </w:rPr>
            </w:pPr>
            <w:r w:rsidRPr="00B9629C">
              <w:rPr>
                <w:sz w:val="16"/>
                <w:szCs w:val="16"/>
                <w:highlight w:val="darkGray"/>
              </w:rPr>
              <w:t>THEN</w:t>
            </w:r>
          </w:p>
          <w:p w14:paraId="5BD992F5" w14:textId="77777777" w:rsidR="009D5AE7" w:rsidRPr="00B9629C" w:rsidRDefault="009D5AE7" w:rsidP="009D5AE7">
            <w:pPr>
              <w:rPr>
                <w:sz w:val="16"/>
                <w:szCs w:val="16"/>
                <w:highlight w:val="darkGray"/>
              </w:rPr>
            </w:pPr>
            <w:r w:rsidRPr="00B9629C">
              <w:rPr>
                <w:sz w:val="16"/>
                <w:szCs w:val="16"/>
                <w:highlight w:val="darkGray"/>
              </w:rPr>
              <w:t xml:space="preserve">3mg/kg for 2 weeks </w:t>
            </w:r>
          </w:p>
          <w:p w14:paraId="27BD3ECF" w14:textId="77777777" w:rsidR="009D5AE7" w:rsidRPr="00B9629C" w:rsidRDefault="009D5AE7" w:rsidP="009D5AE7">
            <w:pPr>
              <w:rPr>
                <w:sz w:val="16"/>
                <w:szCs w:val="16"/>
                <w:highlight w:val="darkGray"/>
              </w:rPr>
            </w:pPr>
            <w:r w:rsidRPr="00B9629C">
              <w:rPr>
                <w:sz w:val="16"/>
                <w:szCs w:val="16"/>
                <w:highlight w:val="darkGray"/>
              </w:rPr>
              <w:t>THEN</w:t>
            </w:r>
          </w:p>
          <w:p w14:paraId="3CF55201" w14:textId="221F451F" w:rsidR="009D5AE7" w:rsidRPr="00B9629C" w:rsidRDefault="009D5AE7" w:rsidP="009D5AE7">
            <w:pPr>
              <w:rPr>
                <w:sz w:val="16"/>
                <w:szCs w:val="16"/>
                <w:highlight w:val="darkGray"/>
              </w:rPr>
            </w:pPr>
            <w:r w:rsidRPr="00B9629C">
              <w:rPr>
                <w:sz w:val="16"/>
                <w:szCs w:val="16"/>
                <w:highlight w:val="darkGray"/>
              </w:rPr>
              <w:t>4mg/kg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8AAF82" w14:textId="6AB1AAE0"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1 mL (10 mg) twice daily </w:t>
            </w:r>
          </w:p>
        </w:tc>
        <w:tc>
          <w:tcPr>
            <w:tcW w:w="10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7BE8D0" w14:textId="77777777"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1.5 mL (15 mg) twice daily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9F648E" w14:textId="77777777"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6 mL (60 mg) twice daily </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E17221" w14:textId="1F7B69BC" w:rsidR="009D5AE7" w:rsidRPr="00B9629C" w:rsidRDefault="009D5AE7" w:rsidP="009D5AE7">
            <w:pPr>
              <w:pStyle w:val="BulletMedicine"/>
              <w:numPr>
                <w:ilvl w:val="0"/>
                <w:numId w:val="0"/>
              </w:numPr>
              <w:rPr>
                <w:sz w:val="16"/>
                <w:szCs w:val="16"/>
                <w:highlight w:val="darkGray"/>
              </w:rPr>
            </w:pPr>
            <w:r w:rsidRPr="00B9629C">
              <w:rPr>
                <w:sz w:val="16"/>
                <w:szCs w:val="16"/>
                <w:highlight w:val="darkGray"/>
              </w:rPr>
              <w:t xml:space="preserve">Children </w:t>
            </w:r>
            <w:r w:rsidR="00724290" w:rsidRPr="00B9629C">
              <w:rPr>
                <w:sz w:val="16"/>
                <w:szCs w:val="16"/>
                <w:highlight w:val="darkGray"/>
              </w:rPr>
              <w:t>&gt;</w:t>
            </w:r>
            <w:r w:rsidRPr="00B9629C">
              <w:rPr>
                <w:sz w:val="16"/>
                <w:szCs w:val="16"/>
                <w:highlight w:val="darkGray"/>
              </w:rPr>
              <w:t xml:space="preserve">6 months of age requiring AZT prophylaxis should use treatment doses. </w:t>
            </w:r>
          </w:p>
        </w:tc>
      </w:tr>
    </w:tbl>
    <w:p w14:paraId="7282FEF9" w14:textId="44E7ADCD" w:rsidR="000B13F3" w:rsidRPr="00B9629C" w:rsidRDefault="00837150" w:rsidP="000B13F3">
      <w:pPr>
        <w:rPr>
          <w:sz w:val="16"/>
          <w:szCs w:val="16"/>
          <w:highlight w:val="darkGray"/>
        </w:rPr>
      </w:pPr>
      <w:r w:rsidRPr="00B9629C">
        <w:rPr>
          <w:b/>
          <w:sz w:val="16"/>
          <w:szCs w:val="16"/>
          <w:highlight w:val="darkGray"/>
        </w:rPr>
        <w:t>Table 11.10:</w:t>
      </w:r>
      <w:r w:rsidRPr="00B9629C">
        <w:rPr>
          <w:sz w:val="16"/>
          <w:szCs w:val="16"/>
          <w:highlight w:val="darkGray"/>
        </w:rPr>
        <w:t xml:space="preserve"> Dose bands for NVP and AZT</w:t>
      </w:r>
      <w:r w:rsidR="00AA6E08" w:rsidRPr="00B9629C">
        <w:rPr>
          <w:sz w:val="16"/>
          <w:szCs w:val="16"/>
          <w:highlight w:val="darkGray"/>
        </w:rPr>
        <w:t xml:space="preserve"> in VTP.</w:t>
      </w:r>
    </w:p>
    <w:p w14:paraId="1CE2CF67" w14:textId="77777777" w:rsidR="00AA6E08" w:rsidRPr="00B9629C" w:rsidRDefault="00AA6E08" w:rsidP="000B13F3">
      <w:pPr>
        <w:rPr>
          <w:sz w:val="16"/>
          <w:szCs w:val="16"/>
          <w:highlight w:val="darkGray"/>
        </w:rPr>
      </w:pPr>
    </w:p>
    <w:p w14:paraId="38A634A6" w14:textId="77777777" w:rsidR="00E5138C" w:rsidRPr="00B9629C" w:rsidRDefault="00E5138C" w:rsidP="0013656D">
      <w:pPr>
        <w:pStyle w:val="Heading5"/>
        <w:rPr>
          <w:highlight w:val="darkGray"/>
        </w:rPr>
      </w:pPr>
      <w:r w:rsidRPr="00B9629C">
        <w:rPr>
          <w:highlight w:val="darkGray"/>
        </w:rPr>
        <w:t>REFERRAL</w:t>
      </w:r>
    </w:p>
    <w:p w14:paraId="5B3E8484" w14:textId="77777777" w:rsidR="00E5138C" w:rsidRPr="00B9629C" w:rsidRDefault="00E5138C" w:rsidP="00E55F86">
      <w:pPr>
        <w:pStyle w:val="NoSpacing"/>
        <w:rPr>
          <w:highlight w:val="darkGray"/>
        </w:rPr>
      </w:pPr>
      <w:r w:rsidRPr="00B9629C">
        <w:rPr>
          <w:highlight w:val="darkGray"/>
        </w:rPr>
        <w:t>Mother declines infant ARV prophylaxis.</w:t>
      </w:r>
    </w:p>
    <w:p w14:paraId="19499252" w14:textId="03F5E860" w:rsidR="00E5138C" w:rsidRPr="00B9629C" w:rsidRDefault="00E5138C" w:rsidP="00E55F86">
      <w:pPr>
        <w:pStyle w:val="NoSpacing"/>
        <w:rPr>
          <w:highlight w:val="darkGray"/>
        </w:rPr>
      </w:pPr>
    </w:p>
    <w:p w14:paraId="367F14FA" w14:textId="087A78D1" w:rsidR="00E5138C" w:rsidRPr="00B9629C" w:rsidRDefault="00712563" w:rsidP="00FE74E1">
      <w:pPr>
        <w:pStyle w:val="Heading2"/>
        <w:rPr>
          <w:highlight w:val="darkGray"/>
        </w:rPr>
      </w:pPr>
      <w:bookmarkStart w:id="58" w:name="_Toc57132063"/>
      <w:bookmarkStart w:id="59" w:name="_Toc177151112"/>
      <w:r w:rsidRPr="00B9629C">
        <w:rPr>
          <w:highlight w:val="darkGray"/>
        </w:rPr>
        <w:t>Management of HIV-infected children (&lt;10 years)</w:t>
      </w:r>
      <w:bookmarkEnd w:id="58"/>
      <w:bookmarkEnd w:id="59"/>
      <w:r w:rsidR="006D4857" w:rsidRPr="00B9629C">
        <w:rPr>
          <w:highlight w:val="darkGray"/>
        </w:rPr>
        <w:fldChar w:fldCharType="begin"/>
      </w:r>
      <w:r w:rsidR="006D4857" w:rsidRPr="00B9629C">
        <w:rPr>
          <w:highlight w:val="darkGray"/>
        </w:rPr>
        <w:instrText xml:space="preserve"> XE "Management of HIV-infected children (&lt;10 years)" \f “c”</w:instrText>
      </w:r>
      <w:r w:rsidR="006D4857" w:rsidRPr="00B9629C">
        <w:rPr>
          <w:highlight w:val="darkGray"/>
        </w:rPr>
        <w:fldChar w:fldCharType="end"/>
      </w:r>
    </w:p>
    <w:p w14:paraId="445495B5"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B24</w:t>
      </w:r>
    </w:p>
    <w:p w14:paraId="2CEED509" w14:textId="77777777" w:rsidR="00E5138C" w:rsidRPr="00B9629C" w:rsidRDefault="00E5138C" w:rsidP="00E55F86">
      <w:pPr>
        <w:pStyle w:val="Heading5"/>
        <w:rPr>
          <w:highlight w:val="darkGray"/>
        </w:rPr>
      </w:pPr>
      <w:r w:rsidRPr="00B9629C">
        <w:rPr>
          <w:highlight w:val="darkGray"/>
        </w:rPr>
        <w:t>DESCRIPTION</w:t>
      </w:r>
    </w:p>
    <w:p w14:paraId="616F8DD0" w14:textId="26BEB0E0" w:rsidR="00E5138C" w:rsidRPr="00B9629C" w:rsidRDefault="00E5138C" w:rsidP="00E55F86">
      <w:pPr>
        <w:pStyle w:val="NoSpacing"/>
        <w:rPr>
          <w:highlight w:val="darkGray"/>
        </w:rPr>
      </w:pPr>
      <w:r w:rsidRPr="00B9629C">
        <w:rPr>
          <w:highlight w:val="darkGray"/>
        </w:rPr>
        <w:t>HIV-infected child: An infant/child in whom HIV infection has been confirmed with two age-appropriate tests. See Section 11.5</w:t>
      </w:r>
      <w:r w:rsidR="00FE7EF5" w:rsidRPr="00B9629C">
        <w:rPr>
          <w:highlight w:val="darkGray"/>
        </w:rPr>
        <w:t>:</w:t>
      </w:r>
      <w:r w:rsidRPr="00B9629C">
        <w:rPr>
          <w:highlight w:val="darkGray"/>
        </w:rPr>
        <w:t xml:space="preserve"> The HIV-exposed infant.</w:t>
      </w:r>
    </w:p>
    <w:p w14:paraId="1491C40C" w14:textId="77777777" w:rsidR="00E5138C" w:rsidRPr="00B9629C" w:rsidRDefault="00E5138C" w:rsidP="00E55F86">
      <w:pPr>
        <w:pStyle w:val="Heading5"/>
        <w:rPr>
          <w:highlight w:val="darkGray"/>
        </w:rPr>
      </w:pPr>
      <w:r w:rsidRPr="00B9629C">
        <w:rPr>
          <w:highlight w:val="darkGray"/>
        </w:rPr>
        <w:t>GENERAL AND SUPPORTIVE MEASURES</w:t>
      </w:r>
    </w:p>
    <w:p w14:paraId="371AAF1E" w14:textId="77777777" w:rsidR="00E5138C" w:rsidRPr="00B9629C" w:rsidRDefault="00E5138C" w:rsidP="00864B52">
      <w:pPr>
        <w:pStyle w:val="ListParagraph"/>
        <w:jc w:val="both"/>
        <w:rPr>
          <w:highlight w:val="darkGray"/>
        </w:rPr>
      </w:pPr>
      <w:r w:rsidRPr="00B9629C">
        <w:rPr>
          <w:highlight w:val="darkGray"/>
        </w:rPr>
        <w:t>Identify a caregiver who can supervise the child’s treatment.</w:t>
      </w:r>
    </w:p>
    <w:p w14:paraId="15BCD291" w14:textId="44C4ECB2" w:rsidR="00E5138C" w:rsidRPr="00B9629C" w:rsidRDefault="00E5138C" w:rsidP="00864B52">
      <w:pPr>
        <w:pStyle w:val="ListParagraph"/>
        <w:jc w:val="both"/>
        <w:rPr>
          <w:highlight w:val="darkGray"/>
        </w:rPr>
      </w:pPr>
      <w:r w:rsidRPr="00B9629C">
        <w:rPr>
          <w:highlight w:val="darkGray"/>
        </w:rPr>
        <w:t>Link the HIV interventions to the regular well infant visits/nutritional care. Ensure the road to health booklet is correctly completed and used to reflect and guide care.</w:t>
      </w:r>
    </w:p>
    <w:p w14:paraId="37CC3202" w14:textId="77777777" w:rsidR="00E5138C" w:rsidRPr="00B9629C" w:rsidRDefault="00E5138C" w:rsidP="00864B52">
      <w:pPr>
        <w:pStyle w:val="ListParagraph"/>
        <w:jc w:val="both"/>
        <w:rPr>
          <w:highlight w:val="darkGray"/>
        </w:rPr>
      </w:pPr>
      <w:r w:rsidRPr="00B9629C">
        <w:rPr>
          <w:highlight w:val="darkGray"/>
        </w:rPr>
        <w:t>Counselling is a vital part of the successful care of children with HIV infection and their families. Specific matters requiring attention are:</w:t>
      </w:r>
    </w:p>
    <w:p w14:paraId="2FA73A2A" w14:textId="77777777" w:rsidR="00E5138C" w:rsidRPr="00B9629C" w:rsidRDefault="00E5138C" w:rsidP="009750A0">
      <w:pPr>
        <w:pStyle w:val="ListParagraph"/>
        <w:numPr>
          <w:ilvl w:val="1"/>
          <w:numId w:val="5"/>
        </w:numPr>
        <w:jc w:val="both"/>
        <w:rPr>
          <w:highlight w:val="darkGray"/>
        </w:rPr>
      </w:pPr>
      <w:r w:rsidRPr="00B9629C">
        <w:rPr>
          <w:highlight w:val="darkGray"/>
        </w:rPr>
        <w:t>The implications of the disease to the family.</w:t>
      </w:r>
    </w:p>
    <w:p w14:paraId="3D6F2304" w14:textId="77777777" w:rsidR="00E5138C" w:rsidRPr="00B9629C" w:rsidRDefault="00E5138C" w:rsidP="009750A0">
      <w:pPr>
        <w:pStyle w:val="ListParagraph"/>
        <w:numPr>
          <w:ilvl w:val="1"/>
          <w:numId w:val="5"/>
        </w:numPr>
        <w:jc w:val="both"/>
        <w:rPr>
          <w:highlight w:val="darkGray"/>
        </w:rPr>
      </w:pPr>
      <w:r w:rsidRPr="00B9629C">
        <w:rPr>
          <w:highlight w:val="darkGray"/>
        </w:rPr>
        <w:t>Implications of treatment and understanding of the condition and its care.</w:t>
      </w:r>
    </w:p>
    <w:p w14:paraId="6B9F2E69" w14:textId="77777777" w:rsidR="00E5138C" w:rsidRPr="00B9629C" w:rsidRDefault="00E5138C" w:rsidP="009750A0">
      <w:pPr>
        <w:pStyle w:val="ListParagraph"/>
        <w:numPr>
          <w:ilvl w:val="1"/>
          <w:numId w:val="5"/>
        </w:numPr>
        <w:jc w:val="both"/>
        <w:rPr>
          <w:highlight w:val="darkGray"/>
        </w:rPr>
      </w:pPr>
      <w:r w:rsidRPr="00B9629C">
        <w:rPr>
          <w:highlight w:val="darkGray"/>
        </w:rPr>
        <w:t>The disclosure process within the family and extended family should be encouraged. Besides the caregiver, help from the family is often useful.</w:t>
      </w:r>
    </w:p>
    <w:p w14:paraId="54C469CE" w14:textId="4A25C570" w:rsidR="00E5138C" w:rsidRPr="00B9629C" w:rsidRDefault="00E5138C" w:rsidP="00864B52">
      <w:pPr>
        <w:pStyle w:val="ListParagraph"/>
        <w:jc w:val="both"/>
        <w:rPr>
          <w:highlight w:val="darkGray"/>
        </w:rPr>
      </w:pPr>
      <w:r w:rsidRPr="00B9629C">
        <w:rPr>
          <w:highlight w:val="darkGray"/>
        </w:rPr>
        <w:t>Disclosure to the child</w:t>
      </w:r>
      <w:r w:rsidR="00230E7C" w:rsidRPr="00B9629C">
        <w:rPr>
          <w:highlight w:val="darkGray"/>
        </w:rPr>
        <w:t xml:space="preserve"> as</w:t>
      </w:r>
      <w:r w:rsidRPr="00B9629C">
        <w:rPr>
          <w:highlight w:val="darkGray"/>
        </w:rPr>
        <w:t xml:space="preserve"> appropriate to age and maturity</w:t>
      </w:r>
      <w:r w:rsidR="00230E7C" w:rsidRPr="00B9629C">
        <w:rPr>
          <w:highlight w:val="darkGray"/>
        </w:rPr>
        <w:t>,</w:t>
      </w:r>
      <w:r w:rsidRPr="00B9629C">
        <w:rPr>
          <w:highlight w:val="darkGray"/>
        </w:rPr>
        <w:t xml:space="preserve"> with the parents’ support.</w:t>
      </w:r>
    </w:p>
    <w:p w14:paraId="0E1BE0D3" w14:textId="77777777" w:rsidR="00E5138C" w:rsidRPr="00B9629C" w:rsidRDefault="00E5138C" w:rsidP="009750A0">
      <w:pPr>
        <w:pStyle w:val="ListParagraph"/>
        <w:numPr>
          <w:ilvl w:val="1"/>
          <w:numId w:val="5"/>
        </w:numPr>
        <w:jc w:val="both"/>
        <w:rPr>
          <w:highlight w:val="darkGray"/>
        </w:rPr>
      </w:pPr>
      <w:r w:rsidRPr="00B9629C">
        <w:rPr>
          <w:highlight w:val="darkGray"/>
        </w:rPr>
        <w:t>Find out what the child understands of their illness and what they would like to know.</w:t>
      </w:r>
    </w:p>
    <w:p w14:paraId="5E8CC216" w14:textId="72B33FEA" w:rsidR="00E5138C" w:rsidRPr="00B9629C" w:rsidRDefault="00E5138C" w:rsidP="009750A0">
      <w:pPr>
        <w:pStyle w:val="ListParagraph"/>
        <w:numPr>
          <w:ilvl w:val="1"/>
          <w:numId w:val="5"/>
        </w:numPr>
        <w:jc w:val="both"/>
        <w:rPr>
          <w:highlight w:val="darkGray"/>
        </w:rPr>
      </w:pPr>
      <w:r w:rsidRPr="00B9629C">
        <w:rPr>
          <w:highlight w:val="darkGray"/>
        </w:rPr>
        <w:t>Disclosure should be child</w:t>
      </w:r>
      <w:r w:rsidR="00230E7C" w:rsidRPr="00B9629C">
        <w:rPr>
          <w:highlight w:val="darkGray"/>
        </w:rPr>
        <w:t>-</w:t>
      </w:r>
      <w:r w:rsidRPr="00B9629C">
        <w:rPr>
          <w:highlight w:val="darkGray"/>
        </w:rPr>
        <w:t>led in terms of information required, language used and educational/emotional readiness.</w:t>
      </w:r>
    </w:p>
    <w:p w14:paraId="58FEB21D" w14:textId="77777777" w:rsidR="00E5138C" w:rsidRPr="00B9629C" w:rsidRDefault="00E5138C" w:rsidP="009750A0">
      <w:pPr>
        <w:pStyle w:val="ListParagraph"/>
        <w:numPr>
          <w:ilvl w:val="1"/>
          <w:numId w:val="5"/>
        </w:numPr>
        <w:jc w:val="both"/>
        <w:rPr>
          <w:highlight w:val="darkGray"/>
        </w:rPr>
      </w:pPr>
      <w:r w:rsidRPr="00B9629C">
        <w:rPr>
          <w:highlight w:val="darkGray"/>
        </w:rPr>
        <w:t>Anticipate the effects of disclosure on the child, family and other contacts such as friends and school colleagues.</w:t>
      </w:r>
    </w:p>
    <w:p w14:paraId="3E03E07F" w14:textId="1D146F55" w:rsidR="00E5138C" w:rsidRPr="00B9629C" w:rsidRDefault="00E5138C" w:rsidP="009750A0">
      <w:pPr>
        <w:pStyle w:val="ListParagraph"/>
        <w:numPr>
          <w:ilvl w:val="1"/>
          <w:numId w:val="5"/>
        </w:numPr>
        <w:jc w:val="both"/>
        <w:rPr>
          <w:highlight w:val="darkGray"/>
        </w:rPr>
      </w:pPr>
      <w:r w:rsidRPr="00B9629C">
        <w:rPr>
          <w:highlight w:val="darkGray"/>
        </w:rPr>
        <w:lastRenderedPageBreak/>
        <w:t>Ensure that in disclosure</w:t>
      </w:r>
      <w:r w:rsidR="008768AE" w:rsidRPr="00B9629C">
        <w:rPr>
          <w:highlight w:val="darkGray"/>
        </w:rPr>
        <w:t>,</w:t>
      </w:r>
      <w:r w:rsidRPr="00B9629C">
        <w:rPr>
          <w:highlight w:val="darkGray"/>
        </w:rPr>
        <w:t xml:space="preserve"> the child is constantly reassured of the parents’/caregivers’ love.</w:t>
      </w:r>
    </w:p>
    <w:p w14:paraId="5D50343C" w14:textId="77777777" w:rsidR="00E5138C" w:rsidRPr="00B9629C" w:rsidRDefault="00E5138C" w:rsidP="00E55F86">
      <w:pPr>
        <w:pStyle w:val="Heading7"/>
        <w:rPr>
          <w:highlight w:val="darkGray"/>
        </w:rPr>
      </w:pPr>
      <w:r w:rsidRPr="00B9629C">
        <w:rPr>
          <w:highlight w:val="darkGray"/>
        </w:rPr>
        <w:t>Treatment of mothers, caregivers and other family members:</w:t>
      </w:r>
    </w:p>
    <w:p w14:paraId="68F0C4A0" w14:textId="77777777" w:rsidR="00E5138C" w:rsidRPr="00B9629C" w:rsidRDefault="00E5138C" w:rsidP="00E55F86">
      <w:pPr>
        <w:pStyle w:val="ListParagraph"/>
        <w:rPr>
          <w:highlight w:val="darkGray"/>
        </w:rPr>
      </w:pPr>
      <w:bookmarkStart w:id="60" w:name="_Toc351058364"/>
      <w:r w:rsidRPr="00B9629C">
        <w:rPr>
          <w:highlight w:val="darkGray"/>
        </w:rPr>
        <w:t>Always ask about the caregiver’s health, and the health of other family members.</w:t>
      </w:r>
    </w:p>
    <w:p w14:paraId="77B41E5D" w14:textId="77777777" w:rsidR="00E5138C" w:rsidRPr="00B9629C" w:rsidRDefault="00E5138C" w:rsidP="00E55F86">
      <w:pPr>
        <w:pStyle w:val="ListParagraph"/>
        <w:rPr>
          <w:highlight w:val="darkGray"/>
        </w:rPr>
      </w:pPr>
      <w:r w:rsidRPr="00B9629C">
        <w:rPr>
          <w:highlight w:val="darkGray"/>
        </w:rPr>
        <w:t xml:space="preserve">Ensure that mothers and other family members have timeous access to medical care including ART. </w:t>
      </w:r>
    </w:p>
    <w:p w14:paraId="53FDD9BC" w14:textId="77777777" w:rsidR="00E5138C" w:rsidRPr="00B9629C" w:rsidRDefault="00E5138C" w:rsidP="00E55F86">
      <w:pPr>
        <w:pStyle w:val="ListParagraph"/>
        <w:rPr>
          <w:highlight w:val="darkGray"/>
        </w:rPr>
      </w:pPr>
      <w:r w:rsidRPr="00B9629C">
        <w:rPr>
          <w:highlight w:val="darkGray"/>
        </w:rPr>
        <w:t>Encourage breastfeeding in all mothers with HIV-infected children, with introduction of complementary foods from 6 months of age.</w:t>
      </w:r>
    </w:p>
    <w:p w14:paraId="4C96D631" w14:textId="77777777" w:rsidR="00E5138C" w:rsidRPr="00B9629C" w:rsidRDefault="00E5138C" w:rsidP="00E55F86">
      <w:pPr>
        <w:pStyle w:val="ListParagraph"/>
        <w:rPr>
          <w:highlight w:val="darkGray"/>
        </w:rPr>
      </w:pPr>
      <w:r w:rsidRPr="00B9629C">
        <w:rPr>
          <w:highlight w:val="darkGray"/>
        </w:rPr>
        <w:t>At every visit ask about TB contacts and symptoms in children and their caregivers.</w:t>
      </w:r>
    </w:p>
    <w:p w14:paraId="5B8FAA33" w14:textId="77777777" w:rsidR="0051692B" w:rsidRPr="00B9629C" w:rsidRDefault="0051692B" w:rsidP="00424607">
      <w:pPr>
        <w:rPr>
          <w:highlight w:val="darkGray"/>
        </w:rPr>
      </w:pPr>
    </w:p>
    <w:p w14:paraId="18052593" w14:textId="1FCEF721" w:rsidR="00E5138C" w:rsidRPr="00B9629C" w:rsidRDefault="00E5138C" w:rsidP="00E55F86">
      <w:pPr>
        <w:pStyle w:val="Heading5"/>
        <w:rPr>
          <w:highlight w:val="darkGray"/>
        </w:rPr>
      </w:pPr>
      <w:r w:rsidRPr="00B9629C">
        <w:rPr>
          <w:highlight w:val="darkGray"/>
        </w:rPr>
        <w:t>STANDARDISED NATIONAL MONITORING FOR INFANTS &amp; CHILDREN WITH HIV</w:t>
      </w:r>
      <w:bookmarkEnd w:id="60"/>
    </w:p>
    <w:tbl>
      <w:tblPr>
        <w:tblStyle w:val="SamplePHCTable"/>
        <w:tblW w:w="5000" w:type="pct"/>
        <w:tblLook w:val="01A0" w:firstRow="1" w:lastRow="0" w:firstColumn="1" w:lastColumn="1" w:noHBand="0" w:noVBand="0"/>
      </w:tblPr>
      <w:tblGrid>
        <w:gridCol w:w="3415"/>
        <w:gridCol w:w="3266"/>
      </w:tblGrid>
      <w:tr w:rsidR="00E5138C" w:rsidRPr="00B9629C" w14:paraId="385F4895" w14:textId="77777777" w:rsidTr="003B2355">
        <w:trPr>
          <w:cnfStyle w:val="100000000000" w:firstRow="1" w:lastRow="0" w:firstColumn="0" w:lastColumn="0" w:oddVBand="0" w:evenVBand="0" w:oddHBand="0" w:evenHBand="0" w:firstRowFirstColumn="0" w:firstRowLastColumn="0" w:lastRowFirstColumn="0" w:lastRowLastColumn="0"/>
        </w:trPr>
        <w:tc>
          <w:tcPr>
            <w:tcW w:w="2556" w:type="pct"/>
          </w:tcPr>
          <w:p w14:paraId="187F2DE7" w14:textId="77777777" w:rsidR="00E5138C" w:rsidRPr="00B9629C" w:rsidRDefault="00E5138C" w:rsidP="003B2355">
            <w:pPr>
              <w:pStyle w:val="NoSpacing"/>
              <w:jc w:val="center"/>
              <w:rPr>
                <w:highlight w:val="darkGray"/>
              </w:rPr>
            </w:pPr>
            <w:r w:rsidRPr="00B9629C">
              <w:rPr>
                <w:highlight w:val="darkGray"/>
              </w:rPr>
              <w:t>AT INITIAL DIAGNOSIS OF HIV</w:t>
            </w:r>
          </w:p>
        </w:tc>
        <w:tc>
          <w:tcPr>
            <w:tcW w:w="2444" w:type="pct"/>
          </w:tcPr>
          <w:p w14:paraId="6210C4EB" w14:textId="77777777" w:rsidR="00E5138C" w:rsidRPr="00B9629C" w:rsidRDefault="00E5138C" w:rsidP="003B2355">
            <w:pPr>
              <w:pStyle w:val="NoSpacing"/>
              <w:jc w:val="center"/>
              <w:rPr>
                <w:highlight w:val="darkGray"/>
              </w:rPr>
            </w:pPr>
            <w:r w:rsidRPr="00B9629C">
              <w:rPr>
                <w:highlight w:val="darkGray"/>
              </w:rPr>
              <w:t>PURPOSE</w:t>
            </w:r>
          </w:p>
        </w:tc>
      </w:tr>
      <w:tr w:rsidR="00E5138C" w:rsidRPr="00B9629C" w14:paraId="0607DEC8" w14:textId="77777777" w:rsidTr="003B2355">
        <w:tc>
          <w:tcPr>
            <w:tcW w:w="2556" w:type="pct"/>
          </w:tcPr>
          <w:p w14:paraId="3A705478" w14:textId="77777777" w:rsidR="00E5138C" w:rsidRPr="00B9629C" w:rsidRDefault="00E5138C" w:rsidP="00A8440A">
            <w:pPr>
              <w:pStyle w:val="NoSpacing"/>
              <w:jc w:val="left"/>
              <w:rPr>
                <w:highlight w:val="darkGray"/>
              </w:rPr>
            </w:pPr>
            <w:r w:rsidRPr="00B9629C">
              <w:rPr>
                <w:highlight w:val="darkGray"/>
              </w:rPr>
              <w:t>Verify HIV status.</w:t>
            </w:r>
          </w:p>
        </w:tc>
        <w:tc>
          <w:tcPr>
            <w:tcW w:w="2444" w:type="pct"/>
          </w:tcPr>
          <w:p w14:paraId="02655F5B" w14:textId="77777777" w:rsidR="00E5138C" w:rsidRPr="00B9629C" w:rsidRDefault="00E5138C" w:rsidP="00A8440A">
            <w:pPr>
              <w:pStyle w:val="NoSpacing"/>
              <w:jc w:val="left"/>
              <w:rPr>
                <w:highlight w:val="darkGray"/>
              </w:rPr>
            </w:pPr>
            <w:r w:rsidRPr="00B9629C">
              <w:rPr>
                <w:highlight w:val="darkGray"/>
              </w:rPr>
              <w:t>To ensure that national testing algorithm has been followed.</w:t>
            </w:r>
          </w:p>
        </w:tc>
      </w:tr>
      <w:tr w:rsidR="00E5138C" w:rsidRPr="00B9629C" w14:paraId="38828DE8" w14:textId="77777777" w:rsidTr="003B2355">
        <w:tc>
          <w:tcPr>
            <w:tcW w:w="2556" w:type="pct"/>
          </w:tcPr>
          <w:p w14:paraId="76FA6563" w14:textId="5C941EFF" w:rsidR="00E5138C" w:rsidRPr="00B9629C" w:rsidRDefault="00E5138C" w:rsidP="00A8440A">
            <w:pPr>
              <w:pStyle w:val="NoSpacing"/>
              <w:jc w:val="left"/>
              <w:rPr>
                <w:highlight w:val="darkGray"/>
              </w:rPr>
            </w:pPr>
            <w:r w:rsidRPr="00B9629C">
              <w:rPr>
                <w:highlight w:val="darkGray"/>
              </w:rPr>
              <w:t>Document weight, height, head circumference (</w:t>
            </w:r>
            <w:r w:rsidR="00724290" w:rsidRPr="00B9629C">
              <w:rPr>
                <w:highlight w:val="darkGray"/>
              </w:rPr>
              <w:t>&lt;</w:t>
            </w:r>
            <w:r w:rsidRPr="00B9629C">
              <w:rPr>
                <w:highlight w:val="darkGray"/>
              </w:rPr>
              <w:t>2 years of age) and development.</w:t>
            </w:r>
          </w:p>
        </w:tc>
        <w:tc>
          <w:tcPr>
            <w:tcW w:w="2444" w:type="pct"/>
          </w:tcPr>
          <w:p w14:paraId="7F1089C7" w14:textId="77777777" w:rsidR="00E5138C" w:rsidRPr="00B9629C" w:rsidRDefault="00E5138C" w:rsidP="00A8440A">
            <w:pPr>
              <w:pStyle w:val="NoSpacing"/>
              <w:jc w:val="left"/>
              <w:rPr>
                <w:highlight w:val="darkGray"/>
              </w:rPr>
            </w:pPr>
            <w:r w:rsidRPr="00B9629C">
              <w:rPr>
                <w:highlight w:val="darkGray"/>
              </w:rPr>
              <w:t xml:space="preserve">To monitor growth and development. </w:t>
            </w:r>
          </w:p>
        </w:tc>
      </w:tr>
      <w:tr w:rsidR="00E5138C" w:rsidRPr="00B9629C" w14:paraId="10E0B905" w14:textId="77777777" w:rsidTr="003B2355">
        <w:tc>
          <w:tcPr>
            <w:tcW w:w="2556" w:type="pct"/>
          </w:tcPr>
          <w:p w14:paraId="038AC571" w14:textId="77777777" w:rsidR="00E5138C" w:rsidRPr="00B9629C" w:rsidRDefault="00E5138C" w:rsidP="00A8440A">
            <w:pPr>
              <w:pStyle w:val="NoSpacing"/>
              <w:jc w:val="left"/>
              <w:rPr>
                <w:highlight w:val="darkGray"/>
              </w:rPr>
            </w:pPr>
            <w:r w:rsidRPr="00B9629C">
              <w:rPr>
                <w:highlight w:val="darkGray"/>
              </w:rPr>
              <w:t>Screen for TB symptoms.</w:t>
            </w:r>
          </w:p>
        </w:tc>
        <w:tc>
          <w:tcPr>
            <w:tcW w:w="2444" w:type="pct"/>
          </w:tcPr>
          <w:p w14:paraId="7DC53073" w14:textId="77777777" w:rsidR="00E5138C" w:rsidRPr="00B9629C" w:rsidRDefault="00E5138C" w:rsidP="00A8440A">
            <w:pPr>
              <w:pStyle w:val="NoSpacing"/>
              <w:jc w:val="left"/>
              <w:rPr>
                <w:highlight w:val="darkGray"/>
              </w:rPr>
            </w:pPr>
            <w:r w:rsidRPr="00B9629C">
              <w:rPr>
                <w:highlight w:val="darkGray"/>
              </w:rPr>
              <w:t>To identify TB and HIV co-infection</w:t>
            </w:r>
          </w:p>
        </w:tc>
      </w:tr>
      <w:tr w:rsidR="00665EA0" w:rsidRPr="00B9629C" w14:paraId="60F29CAC" w14:textId="77777777" w:rsidTr="004B018F">
        <w:trPr>
          <w:trHeight w:val="306"/>
        </w:trPr>
        <w:tc>
          <w:tcPr>
            <w:tcW w:w="2556" w:type="pct"/>
          </w:tcPr>
          <w:p w14:paraId="1826B76E" w14:textId="77777777" w:rsidR="00665EA0" w:rsidRPr="00B9629C" w:rsidRDefault="00665EA0" w:rsidP="00A8440A">
            <w:pPr>
              <w:pStyle w:val="NoSpacing"/>
              <w:jc w:val="left"/>
              <w:rPr>
                <w:highlight w:val="darkGray"/>
              </w:rPr>
            </w:pPr>
            <w:r w:rsidRPr="00B9629C">
              <w:rPr>
                <w:highlight w:val="darkGray"/>
              </w:rPr>
              <w:t>Do CD4 count.</w:t>
            </w:r>
          </w:p>
        </w:tc>
        <w:tc>
          <w:tcPr>
            <w:tcW w:w="2444" w:type="pct"/>
          </w:tcPr>
          <w:p w14:paraId="5DCB4E79" w14:textId="77777777" w:rsidR="00DF3383" w:rsidRPr="00B9629C" w:rsidRDefault="00864B52" w:rsidP="00864B52">
            <w:pPr>
              <w:pStyle w:val="NoSpacing"/>
              <w:jc w:val="left"/>
              <w:rPr>
                <w:highlight w:val="darkGray"/>
                <w:u w:val="single"/>
              </w:rPr>
            </w:pPr>
            <w:r w:rsidRPr="00B9629C">
              <w:rPr>
                <w:highlight w:val="darkGray"/>
              </w:rPr>
              <w:t>D</w:t>
            </w:r>
            <w:r w:rsidR="00F06674" w:rsidRPr="00B9629C">
              <w:rPr>
                <w:highlight w:val="darkGray"/>
              </w:rPr>
              <w:t>etermine eligibility for cotrimoxazole prophylaxis (CPT):</w:t>
            </w:r>
            <w:r w:rsidR="00F06674" w:rsidRPr="00B9629C">
              <w:rPr>
                <w:highlight w:val="darkGray"/>
              </w:rPr>
              <w:br/>
            </w:r>
          </w:p>
          <w:p w14:paraId="38E27000" w14:textId="39760457" w:rsidR="00F06674" w:rsidRPr="00B9629C" w:rsidRDefault="00724290" w:rsidP="000D7AEA">
            <w:pPr>
              <w:pStyle w:val="NoSpacing"/>
              <w:jc w:val="left"/>
              <w:rPr>
                <w:highlight w:val="darkGray"/>
              </w:rPr>
            </w:pPr>
            <w:r w:rsidRPr="00B9629C">
              <w:rPr>
                <w:highlight w:val="darkGray"/>
                <w:u w:val="single"/>
              </w:rPr>
              <w:t>&lt;</w:t>
            </w:r>
            <w:r w:rsidR="00F06674" w:rsidRPr="00B9629C">
              <w:rPr>
                <w:highlight w:val="darkGray"/>
                <w:u w:val="single"/>
              </w:rPr>
              <w:t>1 year:</w:t>
            </w:r>
            <w:r w:rsidR="00F06674" w:rsidRPr="00B9629C">
              <w:rPr>
                <w:highlight w:val="darkGray"/>
              </w:rPr>
              <w:t xml:space="preserve"> CPT irrespective of CD4 count. </w:t>
            </w:r>
          </w:p>
          <w:p w14:paraId="7B90BE27" w14:textId="0253AA71" w:rsidR="000D7AEA" w:rsidRPr="00B9629C" w:rsidRDefault="00F06674" w:rsidP="000D7AEA">
            <w:pPr>
              <w:pStyle w:val="NoSpacing"/>
              <w:jc w:val="left"/>
              <w:rPr>
                <w:highlight w:val="darkGray"/>
              </w:rPr>
            </w:pPr>
            <w:r w:rsidRPr="00B9629C">
              <w:rPr>
                <w:highlight w:val="darkGray"/>
                <w:u w:val="single"/>
              </w:rPr>
              <w:t>1</w:t>
            </w:r>
            <w:r w:rsidR="00985A1C" w:rsidRPr="00B9629C">
              <w:rPr>
                <w:highlight w:val="darkGray"/>
                <w:u w:val="single"/>
              </w:rPr>
              <w:t xml:space="preserve"> to </w:t>
            </w:r>
            <w:r w:rsidRPr="00B9629C">
              <w:rPr>
                <w:highlight w:val="darkGray"/>
                <w:u w:val="single"/>
              </w:rPr>
              <w:t>5 years:</w:t>
            </w:r>
            <w:r w:rsidRPr="00B9629C">
              <w:rPr>
                <w:highlight w:val="darkGray"/>
              </w:rPr>
              <w:t xml:space="preserve"> CPT if CD4 count</w:t>
            </w:r>
            <w:r w:rsidR="00DF3383" w:rsidRPr="00B9629C">
              <w:rPr>
                <w:highlight w:val="darkGray"/>
              </w:rPr>
              <w:t xml:space="preserve"> </w:t>
            </w:r>
            <w:r w:rsidR="00724290" w:rsidRPr="00B9629C">
              <w:rPr>
                <w:highlight w:val="darkGray"/>
              </w:rPr>
              <w:t>&lt;</w:t>
            </w:r>
            <w:r w:rsidRPr="00B9629C">
              <w:rPr>
                <w:highlight w:val="darkGray"/>
              </w:rPr>
              <w:t xml:space="preserve">25% or WHO Stage </w:t>
            </w:r>
            <w:r w:rsidR="00141A1A" w:rsidRPr="00B9629C">
              <w:rPr>
                <w:highlight w:val="darkGray"/>
              </w:rPr>
              <w:t>3 and 4</w:t>
            </w:r>
            <w:r w:rsidR="000D7AEA" w:rsidRPr="00B9629C">
              <w:rPr>
                <w:highlight w:val="darkGray"/>
              </w:rPr>
              <w:t>.</w:t>
            </w:r>
          </w:p>
          <w:p w14:paraId="2057BCCC" w14:textId="464F014F" w:rsidR="00665EA0" w:rsidRPr="00B9629C" w:rsidRDefault="00724290" w:rsidP="000D7AEA">
            <w:pPr>
              <w:pStyle w:val="NoSpacing"/>
              <w:jc w:val="left"/>
              <w:rPr>
                <w:highlight w:val="darkGray"/>
              </w:rPr>
            </w:pPr>
            <w:r w:rsidRPr="00B9629C">
              <w:rPr>
                <w:highlight w:val="darkGray"/>
                <w:u w:val="single"/>
              </w:rPr>
              <w:t>&gt;</w:t>
            </w:r>
            <w:r w:rsidR="00F06674" w:rsidRPr="00B9629C">
              <w:rPr>
                <w:highlight w:val="darkGray"/>
                <w:u w:val="single"/>
              </w:rPr>
              <w:t xml:space="preserve">5 Years: </w:t>
            </w:r>
            <w:r w:rsidR="00F06674" w:rsidRPr="00B9629C">
              <w:rPr>
                <w:highlight w:val="darkGray"/>
              </w:rPr>
              <w:t>CPT if CD4 count</w:t>
            </w:r>
            <w:r w:rsidR="00DF3383" w:rsidRPr="00B9629C">
              <w:rPr>
                <w:highlight w:val="darkGray"/>
              </w:rPr>
              <w:t xml:space="preserve"> </w:t>
            </w:r>
            <w:r w:rsidRPr="00B9629C">
              <w:rPr>
                <w:highlight w:val="darkGray"/>
              </w:rPr>
              <w:t>&lt;</w:t>
            </w:r>
            <w:r w:rsidR="00F06674" w:rsidRPr="00B9629C">
              <w:rPr>
                <w:highlight w:val="darkGray"/>
              </w:rPr>
              <w:t xml:space="preserve">200 cells/mm3 or WHO Stage </w:t>
            </w:r>
            <w:r w:rsidR="00141A1A" w:rsidRPr="00B9629C">
              <w:rPr>
                <w:highlight w:val="darkGray"/>
              </w:rPr>
              <w:t xml:space="preserve">3 and </w:t>
            </w:r>
            <w:r w:rsidR="00F06674" w:rsidRPr="00B9629C">
              <w:rPr>
                <w:highlight w:val="darkGray"/>
              </w:rPr>
              <w:t>4.</w:t>
            </w:r>
            <w:r w:rsidR="00F06674" w:rsidRPr="00B9629C">
              <w:rPr>
                <w:rFonts w:ascii="ArialMT" w:eastAsia="ArialMT" w:hAnsi="ArialMT" w:cs="ArialMT"/>
                <w:sz w:val="18"/>
                <w:highlight w:val="darkGray"/>
              </w:rPr>
              <w:t xml:space="preserve"> </w:t>
            </w:r>
          </w:p>
        </w:tc>
      </w:tr>
      <w:tr w:rsidR="00E5138C" w:rsidRPr="00B9629C" w14:paraId="0CBA36C2" w14:textId="77777777" w:rsidTr="003B2355">
        <w:tc>
          <w:tcPr>
            <w:tcW w:w="2556" w:type="pct"/>
          </w:tcPr>
          <w:p w14:paraId="41AD06C5" w14:textId="7ADBD9CC" w:rsidR="00E5138C" w:rsidRPr="00B9629C" w:rsidRDefault="00E5138C" w:rsidP="00A8440A">
            <w:pPr>
              <w:pStyle w:val="NoSpacing"/>
              <w:jc w:val="left"/>
              <w:rPr>
                <w:highlight w:val="darkGray"/>
              </w:rPr>
            </w:pPr>
            <w:r w:rsidRPr="00B9629C">
              <w:rPr>
                <w:highlight w:val="darkGray"/>
              </w:rPr>
              <w:t>Hb or FBC if available.</w:t>
            </w:r>
          </w:p>
        </w:tc>
        <w:tc>
          <w:tcPr>
            <w:tcW w:w="2444" w:type="pct"/>
          </w:tcPr>
          <w:p w14:paraId="25E99307" w14:textId="77777777" w:rsidR="00E5138C" w:rsidRPr="00B9629C" w:rsidRDefault="00E5138C" w:rsidP="00A8440A">
            <w:pPr>
              <w:pStyle w:val="NoSpacing"/>
              <w:jc w:val="left"/>
              <w:rPr>
                <w:highlight w:val="darkGray"/>
              </w:rPr>
            </w:pPr>
            <w:r w:rsidRPr="00B9629C">
              <w:rPr>
                <w:highlight w:val="darkGray"/>
              </w:rPr>
              <w:t>To detect anaemia or neutropaenia.</w:t>
            </w:r>
          </w:p>
        </w:tc>
      </w:tr>
      <w:tr w:rsidR="0010366D" w:rsidRPr="00B9629C" w14:paraId="3511D86B" w14:textId="77777777" w:rsidTr="00A8440A">
        <w:tc>
          <w:tcPr>
            <w:tcW w:w="2556" w:type="pct"/>
            <w:shd w:val="clear" w:color="auto" w:fill="D9D9D9" w:themeFill="background1" w:themeFillShade="D9"/>
          </w:tcPr>
          <w:p w14:paraId="5ED36154" w14:textId="126501FB" w:rsidR="0010366D" w:rsidRPr="00B9629C" w:rsidRDefault="0010366D" w:rsidP="0010366D">
            <w:pPr>
              <w:pStyle w:val="NoSpacing"/>
              <w:rPr>
                <w:rStyle w:val="Strong"/>
                <w:highlight w:val="darkGray"/>
              </w:rPr>
            </w:pPr>
            <w:r w:rsidRPr="00B9629C">
              <w:rPr>
                <w:rStyle w:val="Strong"/>
                <w:highlight w:val="darkGray"/>
              </w:rPr>
              <w:t>AT INITIATION OF ART (BASELINE)</w:t>
            </w:r>
          </w:p>
        </w:tc>
        <w:tc>
          <w:tcPr>
            <w:tcW w:w="2444" w:type="pct"/>
            <w:shd w:val="clear" w:color="auto" w:fill="D9D9D9" w:themeFill="background1" w:themeFillShade="D9"/>
          </w:tcPr>
          <w:p w14:paraId="1E04B148" w14:textId="4809AFFB" w:rsidR="0010366D" w:rsidRPr="00B9629C" w:rsidRDefault="0010366D" w:rsidP="0010366D">
            <w:pPr>
              <w:pStyle w:val="NoSpacing"/>
              <w:rPr>
                <w:rStyle w:val="Strong"/>
                <w:highlight w:val="darkGray"/>
              </w:rPr>
            </w:pPr>
            <w:r w:rsidRPr="00B9629C">
              <w:rPr>
                <w:rStyle w:val="Strong"/>
                <w:highlight w:val="darkGray"/>
              </w:rPr>
              <w:t>PURPOSE</w:t>
            </w:r>
          </w:p>
        </w:tc>
      </w:tr>
      <w:tr w:rsidR="00E5138C" w:rsidRPr="00B9629C" w14:paraId="0B2EFBD5" w14:textId="77777777" w:rsidTr="003B2355">
        <w:tc>
          <w:tcPr>
            <w:tcW w:w="2556" w:type="pct"/>
          </w:tcPr>
          <w:p w14:paraId="0F5CAE82" w14:textId="77777777" w:rsidR="00E5138C" w:rsidRPr="00B9629C" w:rsidRDefault="00E5138C" w:rsidP="002D03B2">
            <w:pPr>
              <w:pStyle w:val="NoSpacing"/>
              <w:jc w:val="left"/>
              <w:rPr>
                <w:highlight w:val="darkGray"/>
              </w:rPr>
            </w:pPr>
            <w:r w:rsidRPr="00B9629C">
              <w:rPr>
                <w:highlight w:val="darkGray"/>
              </w:rPr>
              <w:t>Hb or FBC.</w:t>
            </w:r>
          </w:p>
        </w:tc>
        <w:tc>
          <w:tcPr>
            <w:tcW w:w="2444" w:type="pct"/>
          </w:tcPr>
          <w:p w14:paraId="719F6693" w14:textId="5FF2006D" w:rsidR="00E5138C" w:rsidRPr="00B9629C" w:rsidRDefault="00E5138C" w:rsidP="002D03B2">
            <w:pPr>
              <w:pStyle w:val="NoSpacing"/>
              <w:jc w:val="left"/>
              <w:rPr>
                <w:highlight w:val="darkGray"/>
              </w:rPr>
            </w:pPr>
            <w:r w:rsidRPr="00B9629C">
              <w:rPr>
                <w:highlight w:val="darkGray"/>
              </w:rPr>
              <w:t xml:space="preserve">If </w:t>
            </w:r>
            <w:r w:rsidR="00724290" w:rsidRPr="00B9629C">
              <w:rPr>
                <w:highlight w:val="darkGray"/>
              </w:rPr>
              <w:t>&lt;</w:t>
            </w:r>
            <w:r w:rsidRPr="00B9629C">
              <w:rPr>
                <w:highlight w:val="darkGray"/>
              </w:rPr>
              <w:t>8 g/dL: Manage appropriately.</w:t>
            </w:r>
          </w:p>
        </w:tc>
      </w:tr>
      <w:tr w:rsidR="00E5138C" w:rsidRPr="00B9629C" w14:paraId="697563C4" w14:textId="77777777" w:rsidTr="003B2355">
        <w:tc>
          <w:tcPr>
            <w:tcW w:w="2556" w:type="pct"/>
          </w:tcPr>
          <w:p w14:paraId="247FD98C" w14:textId="77777777" w:rsidR="00E5138C" w:rsidRPr="00B9629C" w:rsidRDefault="00E5138C" w:rsidP="002D03B2">
            <w:pPr>
              <w:pStyle w:val="NoSpacing"/>
              <w:jc w:val="left"/>
              <w:rPr>
                <w:highlight w:val="darkGray"/>
              </w:rPr>
            </w:pPr>
            <w:r w:rsidRPr="00B9629C">
              <w:rPr>
                <w:highlight w:val="darkGray"/>
              </w:rPr>
              <w:t>CD4 count (if not performed in last 6 months).</w:t>
            </w:r>
          </w:p>
        </w:tc>
        <w:tc>
          <w:tcPr>
            <w:tcW w:w="2444" w:type="pct"/>
          </w:tcPr>
          <w:p w14:paraId="57C9880E" w14:textId="77777777" w:rsidR="00E5138C" w:rsidRPr="00B9629C" w:rsidRDefault="00E5138C" w:rsidP="002D03B2">
            <w:pPr>
              <w:pStyle w:val="NoSpacing"/>
              <w:jc w:val="left"/>
              <w:rPr>
                <w:highlight w:val="darkGray"/>
              </w:rPr>
            </w:pPr>
            <w:r w:rsidRPr="00B9629C">
              <w:rPr>
                <w:highlight w:val="darkGray"/>
              </w:rPr>
              <w:t>Baseline assessment.</w:t>
            </w:r>
          </w:p>
        </w:tc>
      </w:tr>
      <w:tr w:rsidR="00E5138C" w:rsidRPr="00B9629C" w14:paraId="27052228" w14:textId="77777777" w:rsidTr="003B2355">
        <w:tc>
          <w:tcPr>
            <w:tcW w:w="2556" w:type="pct"/>
          </w:tcPr>
          <w:p w14:paraId="57813882" w14:textId="77777777" w:rsidR="00E5138C" w:rsidRPr="00B9629C" w:rsidRDefault="00E5138C" w:rsidP="002D03B2">
            <w:pPr>
              <w:pStyle w:val="NoSpacing"/>
              <w:jc w:val="left"/>
              <w:rPr>
                <w:highlight w:val="darkGray"/>
              </w:rPr>
            </w:pPr>
            <w:r w:rsidRPr="00B9629C">
              <w:rPr>
                <w:highlight w:val="darkGray"/>
              </w:rPr>
              <w:t>ALT (If jaundiced or on TB treatment).</w:t>
            </w:r>
          </w:p>
        </w:tc>
        <w:tc>
          <w:tcPr>
            <w:tcW w:w="2444" w:type="pct"/>
          </w:tcPr>
          <w:p w14:paraId="1361B90F" w14:textId="77777777" w:rsidR="00E5138C" w:rsidRPr="00B9629C" w:rsidRDefault="00E5138C" w:rsidP="002D03B2">
            <w:pPr>
              <w:pStyle w:val="NoSpacing"/>
              <w:jc w:val="left"/>
              <w:rPr>
                <w:highlight w:val="darkGray"/>
              </w:rPr>
            </w:pPr>
            <w:r w:rsidRPr="00B9629C">
              <w:rPr>
                <w:highlight w:val="darkGray"/>
              </w:rPr>
              <w:t>To detect liver dysfunction.</w:t>
            </w:r>
          </w:p>
        </w:tc>
      </w:tr>
      <w:tr w:rsidR="00E5138C" w:rsidRPr="00B9629C" w14:paraId="26DB0B9E" w14:textId="77777777" w:rsidTr="004B018F">
        <w:tc>
          <w:tcPr>
            <w:tcW w:w="0" w:type="pct"/>
            <w:shd w:val="clear" w:color="auto" w:fill="D9D9D9" w:themeFill="background1" w:themeFillShade="D9"/>
          </w:tcPr>
          <w:p w14:paraId="0AFC2ABB" w14:textId="77777777" w:rsidR="00E5138C" w:rsidRPr="00B9629C" w:rsidRDefault="00E5138C" w:rsidP="0083793A">
            <w:pPr>
              <w:pStyle w:val="NoSpacing"/>
              <w:rPr>
                <w:rStyle w:val="Strong"/>
                <w:highlight w:val="darkGray"/>
              </w:rPr>
            </w:pPr>
            <w:r w:rsidRPr="00B9629C">
              <w:rPr>
                <w:rStyle w:val="Strong"/>
                <w:highlight w:val="darkGray"/>
              </w:rPr>
              <w:t>ON ART</w:t>
            </w:r>
          </w:p>
        </w:tc>
        <w:tc>
          <w:tcPr>
            <w:tcW w:w="0" w:type="pct"/>
            <w:shd w:val="clear" w:color="auto" w:fill="D9D9D9" w:themeFill="background1" w:themeFillShade="D9"/>
          </w:tcPr>
          <w:p w14:paraId="07000561" w14:textId="77777777" w:rsidR="00E5138C" w:rsidRPr="00B9629C" w:rsidRDefault="00E5138C" w:rsidP="0083793A">
            <w:pPr>
              <w:pStyle w:val="NoSpacing"/>
              <w:rPr>
                <w:rStyle w:val="Strong"/>
                <w:highlight w:val="darkGray"/>
              </w:rPr>
            </w:pPr>
            <w:r w:rsidRPr="00B9629C">
              <w:rPr>
                <w:rStyle w:val="Strong"/>
                <w:highlight w:val="darkGray"/>
              </w:rPr>
              <w:t>PURPOSE</w:t>
            </w:r>
          </w:p>
        </w:tc>
      </w:tr>
      <w:tr w:rsidR="00E5138C" w:rsidRPr="00B9629C" w14:paraId="126CBA0C" w14:textId="77777777" w:rsidTr="003B2355">
        <w:trPr>
          <w:trHeight w:val="280"/>
        </w:trPr>
        <w:tc>
          <w:tcPr>
            <w:tcW w:w="2556" w:type="pct"/>
          </w:tcPr>
          <w:p w14:paraId="4FC7D79E" w14:textId="62072F6F" w:rsidR="00E5138C" w:rsidRPr="00B9629C" w:rsidRDefault="00E5138C" w:rsidP="002D03B2">
            <w:pPr>
              <w:pStyle w:val="NoSpacing"/>
              <w:jc w:val="left"/>
              <w:rPr>
                <w:highlight w:val="darkGray"/>
              </w:rPr>
            </w:pPr>
            <w:r w:rsidRPr="00B9629C">
              <w:rPr>
                <w:highlight w:val="darkGray"/>
              </w:rPr>
              <w:t xml:space="preserve">Height, weight, head circumference (if child </w:t>
            </w:r>
            <w:r w:rsidR="00724290" w:rsidRPr="00B9629C">
              <w:rPr>
                <w:highlight w:val="darkGray"/>
              </w:rPr>
              <w:t>&lt;</w:t>
            </w:r>
            <w:r w:rsidRPr="00B9629C">
              <w:rPr>
                <w:highlight w:val="darkGray"/>
              </w:rPr>
              <w:t>2 years) and development.</w:t>
            </w:r>
          </w:p>
        </w:tc>
        <w:tc>
          <w:tcPr>
            <w:tcW w:w="2444" w:type="pct"/>
          </w:tcPr>
          <w:p w14:paraId="40A7B27F" w14:textId="77777777" w:rsidR="00E5138C" w:rsidRPr="00B9629C" w:rsidRDefault="00E5138C" w:rsidP="002D03B2">
            <w:pPr>
              <w:pStyle w:val="NoSpacing"/>
              <w:jc w:val="left"/>
              <w:rPr>
                <w:highlight w:val="darkGray"/>
              </w:rPr>
            </w:pPr>
            <w:r w:rsidRPr="00B9629C">
              <w:rPr>
                <w:highlight w:val="darkGray"/>
              </w:rPr>
              <w:t>To monitor growth and development.</w:t>
            </w:r>
          </w:p>
          <w:p w14:paraId="7C7793C4" w14:textId="77777777" w:rsidR="00E5138C" w:rsidRPr="00B9629C" w:rsidRDefault="00E5138C" w:rsidP="002D03B2">
            <w:pPr>
              <w:pStyle w:val="NoSpacing"/>
              <w:jc w:val="left"/>
              <w:rPr>
                <w:highlight w:val="darkGray"/>
              </w:rPr>
            </w:pPr>
            <w:r w:rsidRPr="00B9629C">
              <w:rPr>
                <w:highlight w:val="darkGray"/>
              </w:rPr>
              <w:t>Adjust dosing at each visit according to weight gain.</w:t>
            </w:r>
          </w:p>
        </w:tc>
      </w:tr>
      <w:tr w:rsidR="00E5138C" w:rsidRPr="00B9629C" w14:paraId="51637E1B" w14:textId="77777777" w:rsidTr="003B2355">
        <w:trPr>
          <w:trHeight w:val="457"/>
        </w:trPr>
        <w:tc>
          <w:tcPr>
            <w:tcW w:w="2556" w:type="pct"/>
          </w:tcPr>
          <w:p w14:paraId="702A0AF0" w14:textId="77777777" w:rsidR="00E5138C" w:rsidRPr="00B9629C" w:rsidRDefault="00E5138C" w:rsidP="002D03B2">
            <w:pPr>
              <w:pStyle w:val="NoSpacing"/>
              <w:jc w:val="left"/>
              <w:rPr>
                <w:highlight w:val="darkGray"/>
              </w:rPr>
            </w:pPr>
            <w:r w:rsidRPr="00B9629C">
              <w:rPr>
                <w:highlight w:val="darkGray"/>
              </w:rPr>
              <w:t>Clinical assessment including medicine-related adverse events.</w:t>
            </w:r>
          </w:p>
        </w:tc>
        <w:tc>
          <w:tcPr>
            <w:tcW w:w="2444" w:type="pct"/>
          </w:tcPr>
          <w:p w14:paraId="17F29C51" w14:textId="77777777" w:rsidR="00E5138C" w:rsidRPr="00B9629C" w:rsidRDefault="00E5138C" w:rsidP="002D03B2">
            <w:pPr>
              <w:pStyle w:val="NoSpacing"/>
              <w:jc w:val="left"/>
              <w:rPr>
                <w:highlight w:val="darkGray"/>
              </w:rPr>
            </w:pPr>
            <w:r w:rsidRPr="00B9629C">
              <w:rPr>
                <w:highlight w:val="darkGray"/>
              </w:rPr>
              <w:t>To monitor response to ART and detect adverse effects.</w:t>
            </w:r>
          </w:p>
        </w:tc>
      </w:tr>
      <w:tr w:rsidR="00E5138C" w:rsidRPr="00B9629C" w14:paraId="3F5578BD" w14:textId="77777777" w:rsidTr="003B2355">
        <w:trPr>
          <w:trHeight w:val="280"/>
        </w:trPr>
        <w:tc>
          <w:tcPr>
            <w:tcW w:w="2556" w:type="pct"/>
          </w:tcPr>
          <w:p w14:paraId="70E9B1DD" w14:textId="77777777" w:rsidR="00E5138C" w:rsidRPr="00B9629C" w:rsidRDefault="00E5138C" w:rsidP="002D03B2">
            <w:pPr>
              <w:pStyle w:val="NoSpacing"/>
              <w:jc w:val="left"/>
              <w:rPr>
                <w:highlight w:val="darkGray"/>
              </w:rPr>
            </w:pPr>
            <w:r w:rsidRPr="00B9629C">
              <w:rPr>
                <w:highlight w:val="darkGray"/>
              </w:rPr>
              <w:t>CD4: At 1 year on ART, and then every 6 months until meets criteria to stop cotrimoxazole. Thereafter stop CD4 count monitoring if patient remains virologically supressed.</w:t>
            </w:r>
          </w:p>
          <w:p w14:paraId="5059663E" w14:textId="77777777" w:rsidR="00E5138C" w:rsidRPr="00B9629C" w:rsidRDefault="00E5138C" w:rsidP="002D03B2">
            <w:pPr>
              <w:pStyle w:val="NoSpacing"/>
              <w:jc w:val="left"/>
              <w:rPr>
                <w:highlight w:val="darkGray"/>
              </w:rPr>
            </w:pPr>
            <w:r w:rsidRPr="00B9629C">
              <w:rPr>
                <w:highlight w:val="darkGray"/>
              </w:rPr>
              <w:t>If not virologically supressed monitor CD4 count every 6 months.</w:t>
            </w:r>
          </w:p>
        </w:tc>
        <w:tc>
          <w:tcPr>
            <w:tcW w:w="2444" w:type="pct"/>
          </w:tcPr>
          <w:p w14:paraId="10B43537" w14:textId="77777777" w:rsidR="00E5138C" w:rsidRPr="00B9629C" w:rsidRDefault="00E5138C" w:rsidP="002D03B2">
            <w:pPr>
              <w:pStyle w:val="NoSpacing"/>
              <w:jc w:val="left"/>
              <w:rPr>
                <w:highlight w:val="darkGray"/>
              </w:rPr>
            </w:pPr>
            <w:r w:rsidRPr="00B9629C">
              <w:rPr>
                <w:highlight w:val="darkGray"/>
              </w:rPr>
              <w:t>To monitor response to ART.</w:t>
            </w:r>
          </w:p>
          <w:p w14:paraId="6C6A268A" w14:textId="77777777" w:rsidR="00E5138C" w:rsidRPr="00B9629C" w:rsidRDefault="00E5138C" w:rsidP="002D03B2">
            <w:pPr>
              <w:pStyle w:val="NoSpacing"/>
              <w:jc w:val="left"/>
              <w:rPr>
                <w:highlight w:val="darkGray"/>
              </w:rPr>
            </w:pPr>
            <w:r w:rsidRPr="00B9629C">
              <w:rPr>
                <w:highlight w:val="darkGray"/>
              </w:rPr>
              <w:t>Stop cotrimoxazole prophylaxis if indicated.</w:t>
            </w:r>
          </w:p>
        </w:tc>
      </w:tr>
      <w:tr w:rsidR="00E5138C" w:rsidRPr="00B9629C" w14:paraId="13A8B208" w14:textId="77777777" w:rsidTr="003B2355">
        <w:trPr>
          <w:trHeight w:val="620"/>
        </w:trPr>
        <w:tc>
          <w:tcPr>
            <w:tcW w:w="2556" w:type="pct"/>
          </w:tcPr>
          <w:p w14:paraId="219CDD54" w14:textId="5438CA07" w:rsidR="00AA6C2E" w:rsidRPr="00B9629C" w:rsidRDefault="00E5138C" w:rsidP="002D03B2">
            <w:pPr>
              <w:pStyle w:val="NoSpacing"/>
              <w:jc w:val="left"/>
              <w:rPr>
                <w:highlight w:val="darkGray"/>
              </w:rPr>
            </w:pPr>
            <w:r w:rsidRPr="00B9629C">
              <w:rPr>
                <w:highlight w:val="darkGray"/>
              </w:rPr>
              <w:t>Viral load:</w:t>
            </w:r>
          </w:p>
          <w:p w14:paraId="71B7AF83" w14:textId="48B3AD5C" w:rsidR="00E5138C" w:rsidRPr="00B9629C" w:rsidRDefault="00AA6C2E" w:rsidP="002D03B2">
            <w:pPr>
              <w:pStyle w:val="NoSpacing"/>
              <w:jc w:val="left"/>
              <w:rPr>
                <w:highlight w:val="darkGray"/>
              </w:rPr>
            </w:pPr>
            <w:r w:rsidRPr="00B9629C">
              <w:rPr>
                <w:highlight w:val="darkGray"/>
              </w:rPr>
              <w:t>At</w:t>
            </w:r>
            <w:r w:rsidRPr="00B9629C">
              <w:rPr>
                <w:rFonts w:ascii="ArialMT" w:eastAsia="ArialMT" w:hAnsi="ArialMT" w:cs="ArialMT"/>
                <w:sz w:val="18"/>
                <w:highlight w:val="darkGray"/>
              </w:rPr>
              <w:t xml:space="preserve"> </w:t>
            </w:r>
            <w:r w:rsidRPr="00B9629C">
              <w:rPr>
                <w:highlight w:val="darkGray"/>
              </w:rPr>
              <w:t>month 3 on ART, after 12 months on ART, then every 12 months if virologically suppressed.</w:t>
            </w:r>
            <w:r w:rsidRPr="00B9629C">
              <w:rPr>
                <w:highlight w:val="darkGray"/>
              </w:rPr>
              <w:br/>
            </w:r>
            <w:r w:rsidRPr="00B9629C">
              <w:rPr>
                <w:highlight w:val="darkGray"/>
              </w:rPr>
              <w:lastRenderedPageBreak/>
              <w:t>More frequent monitoring (3</w:t>
            </w:r>
            <w:r w:rsidR="00985A1C" w:rsidRPr="00B9629C">
              <w:rPr>
                <w:highlight w:val="darkGray"/>
              </w:rPr>
              <w:t xml:space="preserve"> to </w:t>
            </w:r>
            <w:r w:rsidRPr="00B9629C">
              <w:rPr>
                <w:highlight w:val="darkGray"/>
              </w:rPr>
              <w:t>6 monthly) recommended in patients with treatment failure.</w:t>
            </w:r>
            <w:r w:rsidRPr="00B9629C">
              <w:rPr>
                <w:rFonts w:ascii="ArialMT" w:eastAsia="ArialMT" w:hAnsi="ArialMT" w:cs="ArialMT"/>
                <w:sz w:val="18"/>
                <w:highlight w:val="darkGray"/>
              </w:rPr>
              <w:t xml:space="preserve"> </w:t>
            </w:r>
          </w:p>
        </w:tc>
        <w:tc>
          <w:tcPr>
            <w:tcW w:w="2444" w:type="pct"/>
          </w:tcPr>
          <w:p w14:paraId="2ED53970" w14:textId="77777777" w:rsidR="00E5138C" w:rsidRPr="00B9629C" w:rsidRDefault="00E5138C" w:rsidP="002D03B2">
            <w:pPr>
              <w:pStyle w:val="NoSpacing"/>
              <w:jc w:val="left"/>
              <w:rPr>
                <w:highlight w:val="darkGray"/>
              </w:rPr>
            </w:pPr>
            <w:r w:rsidRPr="00B9629C">
              <w:rPr>
                <w:highlight w:val="darkGray"/>
              </w:rPr>
              <w:lastRenderedPageBreak/>
              <w:t>To monitor viral response to ART.</w:t>
            </w:r>
          </w:p>
          <w:p w14:paraId="4509597A" w14:textId="77777777" w:rsidR="00E5138C" w:rsidRPr="00B9629C" w:rsidRDefault="00E5138C" w:rsidP="002D03B2">
            <w:pPr>
              <w:pStyle w:val="NoSpacing"/>
              <w:jc w:val="left"/>
              <w:rPr>
                <w:highlight w:val="darkGray"/>
              </w:rPr>
            </w:pPr>
            <w:r w:rsidRPr="00B9629C">
              <w:rPr>
                <w:highlight w:val="darkGray"/>
              </w:rPr>
              <w:t>To identify treatment failure and adherence problems.</w:t>
            </w:r>
          </w:p>
          <w:p w14:paraId="12BA645B" w14:textId="77777777" w:rsidR="00E5138C" w:rsidRPr="00B9629C" w:rsidRDefault="00E5138C" w:rsidP="002D03B2">
            <w:pPr>
              <w:pStyle w:val="NoSpacing"/>
              <w:jc w:val="left"/>
              <w:rPr>
                <w:highlight w:val="darkGray"/>
              </w:rPr>
            </w:pPr>
            <w:r w:rsidRPr="00B9629C">
              <w:rPr>
                <w:highlight w:val="darkGray"/>
              </w:rPr>
              <w:lastRenderedPageBreak/>
              <w:t>For management of an elevated VL, see algorithm, below: Monitoring and management of viral loads.</w:t>
            </w:r>
          </w:p>
        </w:tc>
      </w:tr>
      <w:tr w:rsidR="00E5138C" w:rsidRPr="00B9629C" w14:paraId="0E18C873" w14:textId="77777777" w:rsidTr="003B2355">
        <w:trPr>
          <w:trHeight w:val="280"/>
        </w:trPr>
        <w:tc>
          <w:tcPr>
            <w:tcW w:w="2556" w:type="pct"/>
          </w:tcPr>
          <w:p w14:paraId="49C28E82" w14:textId="36A421D9" w:rsidR="00E5138C" w:rsidRPr="00B9629C" w:rsidRDefault="00E5138C" w:rsidP="002D03B2">
            <w:pPr>
              <w:pStyle w:val="NoSpacing"/>
              <w:jc w:val="left"/>
              <w:rPr>
                <w:highlight w:val="darkGray"/>
              </w:rPr>
            </w:pPr>
            <w:r w:rsidRPr="00B9629C">
              <w:rPr>
                <w:highlight w:val="darkGray"/>
              </w:rPr>
              <w:lastRenderedPageBreak/>
              <w:t>Hb or FBC at months 3 and 6 if on AZT. Thereafter, repeat if clinically indicated</w:t>
            </w:r>
            <w:r w:rsidRPr="00B9629C" w:rsidDel="00234AB9">
              <w:rPr>
                <w:highlight w:val="darkGray"/>
              </w:rPr>
              <w:t xml:space="preserve"> </w:t>
            </w:r>
          </w:p>
        </w:tc>
        <w:tc>
          <w:tcPr>
            <w:tcW w:w="2444" w:type="pct"/>
          </w:tcPr>
          <w:p w14:paraId="426DEC8E" w14:textId="51B34172" w:rsidR="00E5138C" w:rsidRPr="00B9629C" w:rsidRDefault="00E5138C" w:rsidP="002D03B2">
            <w:pPr>
              <w:pStyle w:val="NoSpacing"/>
              <w:jc w:val="left"/>
              <w:rPr>
                <w:highlight w:val="darkGray"/>
              </w:rPr>
            </w:pPr>
            <w:r w:rsidRPr="00B9629C">
              <w:rPr>
                <w:highlight w:val="darkGray"/>
              </w:rPr>
              <w:t>To identify AZT-related anaemia.</w:t>
            </w:r>
          </w:p>
        </w:tc>
      </w:tr>
      <w:tr w:rsidR="00E5138C" w:rsidRPr="00B9629C" w14:paraId="2A39D11D" w14:textId="77777777" w:rsidTr="003B2355">
        <w:trPr>
          <w:trHeight w:val="280"/>
        </w:trPr>
        <w:tc>
          <w:tcPr>
            <w:tcW w:w="2556" w:type="pct"/>
          </w:tcPr>
          <w:p w14:paraId="67CE947B" w14:textId="77777777" w:rsidR="00E5138C" w:rsidRPr="00B9629C" w:rsidRDefault="00E5138C" w:rsidP="002D03B2">
            <w:pPr>
              <w:pStyle w:val="NoSpacing"/>
              <w:jc w:val="left"/>
              <w:rPr>
                <w:highlight w:val="darkGray"/>
              </w:rPr>
            </w:pPr>
            <w:r w:rsidRPr="00B9629C">
              <w:rPr>
                <w:highlight w:val="darkGray"/>
              </w:rPr>
              <w:t xml:space="preserve">If on PI-based regimen: </w:t>
            </w:r>
          </w:p>
          <w:p w14:paraId="7B230F11" w14:textId="694EF37A" w:rsidR="00E5138C" w:rsidRPr="00B9629C" w:rsidRDefault="00E5138C" w:rsidP="002D03B2">
            <w:pPr>
              <w:pStyle w:val="NoSpacing"/>
              <w:jc w:val="left"/>
              <w:rPr>
                <w:highlight w:val="darkGray"/>
              </w:rPr>
            </w:pPr>
            <w:r w:rsidRPr="00B9629C">
              <w:rPr>
                <w:highlight w:val="darkGray"/>
              </w:rPr>
              <w:t>Cholesterol + triglyceride at month 3. If above acceptable range, do fasting cholesterol and TGs; and if still above acceptable range consult with doctor/specialist.</w:t>
            </w:r>
          </w:p>
        </w:tc>
        <w:tc>
          <w:tcPr>
            <w:tcW w:w="2444" w:type="pct"/>
          </w:tcPr>
          <w:p w14:paraId="7FEC605D" w14:textId="77777777" w:rsidR="00E5138C" w:rsidRPr="00B9629C" w:rsidRDefault="00E5138C" w:rsidP="002D03B2">
            <w:pPr>
              <w:pStyle w:val="NoSpacing"/>
              <w:jc w:val="left"/>
              <w:rPr>
                <w:highlight w:val="darkGray"/>
              </w:rPr>
            </w:pPr>
            <w:r w:rsidRPr="00B9629C">
              <w:rPr>
                <w:highlight w:val="darkGray"/>
              </w:rPr>
              <w:t>To monitor for PI-related metabolic side effects.</w:t>
            </w:r>
          </w:p>
        </w:tc>
      </w:tr>
    </w:tbl>
    <w:tbl>
      <w:tblPr>
        <w:tblpPr w:leftFromText="180" w:rightFromText="180" w:vertAnchor="text" w:tblpXSpec="righ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E5138C" w:rsidRPr="00B9629C" w14:paraId="40AF979F" w14:textId="77777777" w:rsidTr="002D03B2">
        <w:tc>
          <w:tcPr>
            <w:tcW w:w="907" w:type="dxa"/>
            <w:shd w:val="clear" w:color="auto" w:fill="auto"/>
          </w:tcPr>
          <w:p w14:paraId="07180CCC" w14:textId="7D435947" w:rsidR="00E5138C" w:rsidRPr="00B9629C" w:rsidRDefault="00E5138C" w:rsidP="002D03B2">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052FB2" w:rsidRPr="00B9629C">
              <w:rPr>
                <w:sz w:val="14"/>
                <w:szCs w:val="14"/>
                <w:highlight w:val="darkGray"/>
              </w:rPr>
              <w:t>b</w:t>
            </w:r>
            <w:r w:rsidRPr="00B9629C">
              <w:rPr>
                <w:rStyle w:val="EndnoteReference"/>
                <w:sz w:val="14"/>
                <w:szCs w:val="14"/>
                <w:highlight w:val="darkGray"/>
              </w:rPr>
              <w:endnoteReference w:id="50"/>
            </w:r>
          </w:p>
        </w:tc>
      </w:tr>
    </w:tbl>
    <w:p w14:paraId="2B587A5E" w14:textId="260E94D9" w:rsidR="00E5138C" w:rsidRPr="00B9629C" w:rsidRDefault="003F5BA0" w:rsidP="00EB2049">
      <w:pPr>
        <w:pStyle w:val="NoSpacing"/>
        <w:rPr>
          <w:sz w:val="16"/>
          <w:highlight w:val="darkGray"/>
        </w:rPr>
      </w:pPr>
      <w:r w:rsidRPr="00B9629C">
        <w:rPr>
          <w:b/>
          <w:sz w:val="16"/>
          <w:highlight w:val="darkGray"/>
        </w:rPr>
        <w:t>Table 11.</w:t>
      </w:r>
      <w:r w:rsidR="00837150" w:rsidRPr="00B9629C">
        <w:rPr>
          <w:b/>
          <w:sz w:val="16"/>
          <w:highlight w:val="darkGray"/>
        </w:rPr>
        <w:t>11</w:t>
      </w:r>
      <w:r w:rsidRPr="00B9629C">
        <w:rPr>
          <w:b/>
          <w:sz w:val="16"/>
          <w:highlight w:val="darkGray"/>
        </w:rPr>
        <w:t>:</w:t>
      </w:r>
      <w:r w:rsidRPr="00B9629C">
        <w:rPr>
          <w:sz w:val="16"/>
          <w:highlight w:val="darkGray"/>
        </w:rPr>
        <w:t xml:space="preserve"> </w:t>
      </w:r>
      <w:r w:rsidR="00E32922" w:rsidRPr="00B9629C">
        <w:rPr>
          <w:sz w:val="16"/>
          <w:highlight w:val="darkGray"/>
        </w:rPr>
        <w:t>Monitoring for infants and children with HIV on ART</w:t>
      </w:r>
    </w:p>
    <w:p w14:paraId="7C5B2630" w14:textId="77777777" w:rsidR="00E5138C" w:rsidRPr="00B9629C" w:rsidRDefault="00E5138C" w:rsidP="00EB2049">
      <w:pPr>
        <w:pStyle w:val="Heading5"/>
        <w:rPr>
          <w:highlight w:val="darkGray"/>
        </w:rPr>
      </w:pPr>
      <w:r w:rsidRPr="00B9629C">
        <w:rPr>
          <w:highlight w:val="darkGray"/>
        </w:rPr>
        <w:t>MEDICINE TREATMENT</w:t>
      </w:r>
    </w:p>
    <w:p w14:paraId="4FD4E890" w14:textId="23445CC2" w:rsidR="00E5138C" w:rsidRPr="00B9629C" w:rsidRDefault="002D451C" w:rsidP="004B018F">
      <w:pPr>
        <w:pStyle w:val="Heading6"/>
        <w:jc w:val="both"/>
        <w:rPr>
          <w:highlight w:val="darkGray"/>
        </w:rPr>
      </w:pPr>
      <w:r w:rsidRPr="00B9629C">
        <w:rPr>
          <w:highlight w:val="darkGray"/>
        </w:rPr>
        <w:t>P</w:t>
      </w:r>
      <w:r w:rsidR="00E5138C" w:rsidRPr="00B9629C">
        <w:rPr>
          <w:highlight w:val="darkGray"/>
        </w:rPr>
        <w:t>rophylaxis</w:t>
      </w:r>
      <w:r w:rsidRPr="00B9629C">
        <w:rPr>
          <w:highlight w:val="darkGray"/>
        </w:rPr>
        <w:t xml:space="preserve"> for opportunistic infections</w:t>
      </w:r>
    </w:p>
    <w:p w14:paraId="660AD586" w14:textId="260E0E2A" w:rsidR="005E7FBE" w:rsidRPr="00B9629C" w:rsidRDefault="005E7FBE" w:rsidP="004B018F">
      <w:pPr>
        <w:jc w:val="both"/>
        <w:rPr>
          <w:highlight w:val="darkGray"/>
        </w:rPr>
      </w:pPr>
      <w:r w:rsidRPr="00B9629C">
        <w:rPr>
          <w:highlight w:val="darkGray"/>
        </w:rPr>
        <w:t>See Section 11.7</w:t>
      </w:r>
      <w:r w:rsidR="004E24C1" w:rsidRPr="00B9629C">
        <w:rPr>
          <w:highlight w:val="darkGray"/>
        </w:rPr>
        <w:t xml:space="preserve">: </w:t>
      </w:r>
      <w:r w:rsidR="002D451C" w:rsidRPr="00B9629C">
        <w:rPr>
          <w:highlight w:val="darkGray"/>
        </w:rPr>
        <w:t>Opportunistic infections, prophylaxis in children</w:t>
      </w:r>
      <w:r w:rsidR="00985A1C" w:rsidRPr="00B9629C">
        <w:rPr>
          <w:highlight w:val="darkGray"/>
        </w:rPr>
        <w:t>.</w:t>
      </w:r>
      <w:r w:rsidR="002D451C" w:rsidRPr="00B9629C">
        <w:rPr>
          <w:highlight w:val="darkGray"/>
        </w:rPr>
        <w:fldChar w:fldCharType="begin"/>
      </w:r>
      <w:r w:rsidR="002D451C" w:rsidRPr="00B9629C">
        <w:rPr>
          <w:highlight w:val="darkGray"/>
        </w:rPr>
        <w:instrText xml:space="preserve"> XE "Opportunistic infections, prophylaxis in children" \f “c”</w:instrText>
      </w:r>
      <w:r w:rsidR="002D451C" w:rsidRPr="00B9629C">
        <w:rPr>
          <w:highlight w:val="darkGray"/>
        </w:rPr>
        <w:fldChar w:fldCharType="end"/>
      </w:r>
    </w:p>
    <w:p w14:paraId="75C67EEB" w14:textId="77777777" w:rsidR="00E5138C" w:rsidRPr="00B9629C" w:rsidRDefault="00E5138C" w:rsidP="004B018F">
      <w:pPr>
        <w:pStyle w:val="Heading6"/>
        <w:jc w:val="both"/>
        <w:rPr>
          <w:highlight w:val="darkGray"/>
        </w:rPr>
      </w:pPr>
      <w:r w:rsidRPr="00B9629C">
        <w:rPr>
          <w:highlight w:val="darkGray"/>
        </w:rPr>
        <w:t>Immunisation, deworming and vitamin A programme</w:t>
      </w:r>
    </w:p>
    <w:p w14:paraId="5AFFFCA3" w14:textId="77777777" w:rsidR="00E5138C" w:rsidRPr="00B9629C" w:rsidRDefault="00E5138C" w:rsidP="004B018F">
      <w:pPr>
        <w:pStyle w:val="ListParagraph"/>
        <w:jc w:val="both"/>
        <w:rPr>
          <w:highlight w:val="darkGray"/>
        </w:rPr>
      </w:pPr>
      <w:r w:rsidRPr="00B9629C">
        <w:rPr>
          <w:highlight w:val="darkGray"/>
        </w:rPr>
        <w:t>Continue deworming and vitamin A programme as in the HIV-uninfected child.</w:t>
      </w:r>
    </w:p>
    <w:p w14:paraId="298BD3CE" w14:textId="34033551" w:rsidR="00E5138C" w:rsidRPr="00B9629C" w:rsidRDefault="0029257A" w:rsidP="004B018F">
      <w:pPr>
        <w:pStyle w:val="ListParagraph"/>
        <w:jc w:val="both"/>
        <w:rPr>
          <w:highlight w:val="darkGray"/>
        </w:rPr>
      </w:pPr>
      <w:r w:rsidRPr="00B9629C">
        <w:rPr>
          <w:color w:val="000000"/>
          <w:highlight w:val="darkGray"/>
        </w:rPr>
        <w:t xml:space="preserve">Continue immunisation as per the SA-EPI (See </w:t>
      </w:r>
      <w:r w:rsidR="00E819E6" w:rsidRPr="00B9629C">
        <w:rPr>
          <w:color w:val="000000"/>
          <w:highlight w:val="darkGray"/>
        </w:rPr>
        <w:t>Section</w:t>
      </w:r>
      <w:r w:rsidRPr="00B9629C">
        <w:rPr>
          <w:color w:val="000000"/>
          <w:highlight w:val="darkGray"/>
        </w:rPr>
        <w:t xml:space="preserve"> 13.3</w:t>
      </w:r>
      <w:r w:rsidR="004E24C1" w:rsidRPr="00B9629C">
        <w:rPr>
          <w:color w:val="000000"/>
          <w:highlight w:val="darkGray"/>
        </w:rPr>
        <w:t xml:space="preserve">: </w:t>
      </w:r>
      <w:r w:rsidR="001B12C3" w:rsidRPr="00B9629C">
        <w:rPr>
          <w:color w:val="000000"/>
          <w:highlight w:val="darkGray"/>
        </w:rPr>
        <w:t>Vaccines for routine administration</w:t>
      </w:r>
      <w:r w:rsidRPr="00B9629C">
        <w:rPr>
          <w:color w:val="000000"/>
          <w:highlight w:val="darkGray"/>
        </w:rPr>
        <w:t xml:space="preserve">). </w:t>
      </w:r>
    </w:p>
    <w:p w14:paraId="3BA0BBC6" w14:textId="77777777" w:rsidR="00E5138C" w:rsidRPr="00B9629C" w:rsidRDefault="00E5138C" w:rsidP="004B018F">
      <w:pPr>
        <w:pStyle w:val="Heading6"/>
        <w:jc w:val="both"/>
        <w:rPr>
          <w:highlight w:val="darkGray"/>
        </w:rPr>
      </w:pPr>
      <w:r w:rsidRPr="00B9629C">
        <w:rPr>
          <w:highlight w:val="darkGray"/>
        </w:rPr>
        <w:t>Nutritional support</w:t>
      </w:r>
    </w:p>
    <w:p w14:paraId="20506CFA" w14:textId="2014CD45" w:rsidR="00E5138C" w:rsidRPr="00B9629C" w:rsidRDefault="00F1055A" w:rsidP="004B018F">
      <w:pPr>
        <w:jc w:val="both"/>
        <w:rPr>
          <w:highlight w:val="darkGray"/>
        </w:rPr>
      </w:pPr>
      <w:r w:rsidRPr="00B9629C">
        <w:rPr>
          <w:highlight w:val="darkGray"/>
        </w:rPr>
        <w:t>Treat s</w:t>
      </w:r>
      <w:r w:rsidR="00E5138C" w:rsidRPr="00B9629C">
        <w:rPr>
          <w:highlight w:val="darkGray"/>
        </w:rPr>
        <w:t xml:space="preserve">pecific nutritional </w:t>
      </w:r>
      <w:r w:rsidR="00420432" w:rsidRPr="00B9629C">
        <w:rPr>
          <w:highlight w:val="darkGray"/>
        </w:rPr>
        <w:t xml:space="preserve">deficiencies </w:t>
      </w:r>
      <w:r w:rsidR="00E5138C" w:rsidRPr="00B9629C">
        <w:rPr>
          <w:highlight w:val="darkGray"/>
        </w:rPr>
        <w:t>appropriately.</w:t>
      </w:r>
    </w:p>
    <w:p w14:paraId="4695A7EC" w14:textId="77777777" w:rsidR="00E5138C" w:rsidRPr="00B9629C" w:rsidRDefault="00E5138C" w:rsidP="004B018F">
      <w:pPr>
        <w:pStyle w:val="Heading6"/>
        <w:jc w:val="both"/>
        <w:rPr>
          <w:highlight w:val="darkGray"/>
        </w:rPr>
      </w:pPr>
      <w:r w:rsidRPr="00B9629C">
        <w:rPr>
          <w:highlight w:val="darkGray"/>
        </w:rPr>
        <w:t xml:space="preserve">Antiretroviral therapy </w:t>
      </w:r>
    </w:p>
    <w:p w14:paraId="7657D65B" w14:textId="1863FD44" w:rsidR="00E5138C" w:rsidRPr="00B9629C" w:rsidRDefault="00E5138C" w:rsidP="004B018F">
      <w:pPr>
        <w:pStyle w:val="NoSpacing"/>
        <w:jc w:val="both"/>
        <w:rPr>
          <w:highlight w:val="darkGray"/>
        </w:rPr>
      </w:pPr>
      <w:r w:rsidRPr="00B9629C">
        <w:rPr>
          <w:highlight w:val="darkGray"/>
        </w:rPr>
        <w:t>Initiation of ART in well infants shown to be PCR-positive should be carried out at PHC level.</w:t>
      </w:r>
    </w:p>
    <w:p w14:paraId="22C76828" w14:textId="77777777" w:rsidR="00E5138C" w:rsidRPr="00B9629C" w:rsidRDefault="00E5138C" w:rsidP="004B018F">
      <w:pPr>
        <w:pStyle w:val="NoSpacing"/>
        <w:jc w:val="both"/>
        <w:rPr>
          <w:highlight w:val="darkGray"/>
        </w:rPr>
      </w:pPr>
      <w:r w:rsidRPr="00B9629C">
        <w:rPr>
          <w:highlight w:val="darkGray"/>
        </w:rPr>
        <w:t xml:space="preserve">The preparation of the child and family to start ART is critical to the success of the treatment. Failure to achieve adherence and understanding may lead to resistance and adversely affect the prognosis of the child. </w:t>
      </w:r>
    </w:p>
    <w:p w14:paraId="358BC8B8" w14:textId="77777777" w:rsidR="005D71A2" w:rsidRPr="00B9629C" w:rsidRDefault="005D71A2" w:rsidP="00A97C27">
      <w:pPr>
        <w:pStyle w:val="Heading7"/>
        <w:rPr>
          <w:rStyle w:val="Strong"/>
          <w:highlight w:val="darkGray"/>
        </w:rPr>
      </w:pPr>
    </w:p>
    <w:p w14:paraId="587C4F4A" w14:textId="77777777" w:rsidR="00E5138C" w:rsidRPr="00B9629C" w:rsidRDefault="00E5138C" w:rsidP="00A97C27">
      <w:pPr>
        <w:pStyle w:val="Heading7"/>
        <w:rPr>
          <w:rStyle w:val="Strong"/>
          <w:highlight w:val="darkGray"/>
        </w:rPr>
      </w:pPr>
      <w:r w:rsidRPr="00B9629C">
        <w:rPr>
          <w:rStyle w:val="Strong"/>
          <w:highlight w:val="darkGray"/>
        </w:rPr>
        <w:t>Eligibility for ART</w:t>
      </w:r>
    </w:p>
    <w:p w14:paraId="33FAB674" w14:textId="77777777" w:rsidR="00E5138C" w:rsidRPr="00B9629C" w:rsidRDefault="00E5138C" w:rsidP="00A97C27">
      <w:pPr>
        <w:pStyle w:val="NoSpacing"/>
        <w:rPr>
          <w:rStyle w:val="Strong"/>
          <w:highlight w:val="darkGray"/>
        </w:rPr>
      </w:pPr>
      <w:r w:rsidRPr="00B9629C">
        <w:rPr>
          <w:rStyle w:val="Strong"/>
          <w:highlight w:val="darkGray"/>
        </w:rPr>
        <w:t>Clinical criteria</w:t>
      </w:r>
    </w:p>
    <w:tbl>
      <w:tblPr>
        <w:tblpPr w:leftFromText="180" w:rightFromText="180" w:vertAnchor="text" w:horzAnchor="margin" w:tblpXSpec="right" w:tblpY="236"/>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A413FE" w:rsidRPr="00B9629C" w14:paraId="1AA59DD0" w14:textId="77777777" w:rsidTr="00A413FE">
        <w:tc>
          <w:tcPr>
            <w:tcW w:w="907" w:type="dxa"/>
            <w:shd w:val="clear" w:color="auto" w:fill="auto"/>
          </w:tcPr>
          <w:p w14:paraId="762593D7" w14:textId="41E8D200" w:rsidR="00A413FE" w:rsidRPr="00B9629C" w:rsidRDefault="00A413FE" w:rsidP="00A413FE">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052FB2" w:rsidRPr="00B9629C">
              <w:rPr>
                <w:sz w:val="14"/>
                <w:szCs w:val="14"/>
                <w:highlight w:val="darkGray"/>
              </w:rPr>
              <w:t>b</w:t>
            </w:r>
            <w:r w:rsidRPr="00B9629C">
              <w:rPr>
                <w:rStyle w:val="EndnoteReference"/>
                <w:sz w:val="14"/>
                <w:szCs w:val="14"/>
                <w:highlight w:val="darkGray"/>
              </w:rPr>
              <w:endnoteReference w:id="51"/>
            </w:r>
          </w:p>
        </w:tc>
      </w:tr>
    </w:tbl>
    <w:p w14:paraId="3436618C" w14:textId="6E4C35FA" w:rsidR="00E5138C" w:rsidRPr="00B9629C" w:rsidRDefault="00E5138C" w:rsidP="00A413FE">
      <w:pPr>
        <w:pStyle w:val="ListParagraph"/>
        <w:rPr>
          <w:highlight w:val="darkGray"/>
        </w:rPr>
      </w:pPr>
      <w:r w:rsidRPr="00B9629C">
        <w:rPr>
          <w:highlight w:val="darkGray"/>
        </w:rPr>
        <w:t>Confirmation of diagnosis of HIV infection, irrespective of CD4 count/percentage or WHO clinical stage.</w:t>
      </w:r>
    </w:p>
    <w:p w14:paraId="013CB9F7" w14:textId="77777777" w:rsidR="00E5138C" w:rsidRPr="00B9629C" w:rsidRDefault="00E5138C" w:rsidP="00A413FE">
      <w:pPr>
        <w:rPr>
          <w:rStyle w:val="Strong"/>
          <w:highlight w:val="darkGray"/>
        </w:rPr>
      </w:pPr>
      <w:r w:rsidRPr="00B9629C">
        <w:rPr>
          <w:rStyle w:val="Strong"/>
          <w:highlight w:val="darkGray"/>
        </w:rPr>
        <w:t>AND</w:t>
      </w:r>
    </w:p>
    <w:p w14:paraId="11B6DBCD" w14:textId="4B0313B2" w:rsidR="00E5138C" w:rsidRPr="00B9629C" w:rsidRDefault="003F3291" w:rsidP="004B018F">
      <w:pPr>
        <w:pStyle w:val="ListParagraph"/>
        <w:jc w:val="both"/>
        <w:rPr>
          <w:highlight w:val="darkGray"/>
        </w:rPr>
      </w:pPr>
      <w:r w:rsidRPr="00B9629C">
        <w:rPr>
          <w:highlight w:val="darkGray"/>
        </w:rPr>
        <w:t xml:space="preserve">No indications for deferral </w:t>
      </w:r>
      <w:r w:rsidR="00E5138C" w:rsidRPr="00B9629C">
        <w:rPr>
          <w:highlight w:val="darkGray"/>
        </w:rPr>
        <w:t>(e.g. major organ dysfunction). If medical contraindications are present</w:t>
      </w:r>
      <w:r w:rsidR="00701D18" w:rsidRPr="00B9629C">
        <w:rPr>
          <w:highlight w:val="darkGray"/>
        </w:rPr>
        <w:t>,</w:t>
      </w:r>
      <w:r w:rsidR="00E5138C" w:rsidRPr="00B9629C">
        <w:rPr>
          <w:highlight w:val="darkGray"/>
        </w:rPr>
        <w:t xml:space="preserve"> refer to hospital for rapid review and planning.</w:t>
      </w:r>
    </w:p>
    <w:p w14:paraId="392598EF" w14:textId="77777777" w:rsidR="00E5138C" w:rsidRPr="00B9629C" w:rsidRDefault="00E5138C" w:rsidP="008A28B2">
      <w:pPr>
        <w:pStyle w:val="Heading6"/>
        <w:rPr>
          <w:highlight w:val="darkGray"/>
        </w:rPr>
      </w:pPr>
      <w:r w:rsidRPr="00B9629C">
        <w:rPr>
          <w:highlight w:val="darkGray"/>
        </w:rPr>
        <w:t>Social issues that must be addressed to ensure successful treatment</w:t>
      </w:r>
    </w:p>
    <w:p w14:paraId="7268E060" w14:textId="5042BD95" w:rsidR="00E5138C" w:rsidRPr="00B9629C" w:rsidRDefault="00E5138C" w:rsidP="00DF3383">
      <w:pPr>
        <w:pStyle w:val="NoSpacing"/>
        <w:jc w:val="both"/>
        <w:rPr>
          <w:highlight w:val="darkGray"/>
        </w:rPr>
      </w:pPr>
      <w:r w:rsidRPr="00B9629C">
        <w:rPr>
          <w:highlight w:val="darkGray"/>
        </w:rPr>
        <w:t>These are extremely important for success and impact on adherence. Social challenges should be overcome and not be barriers to care. Disclosure to another adult living in the same house is encouraged so that there is someone else who can assist with the child’s treatment. However, absence of disclosure should not preclude ART initiation.</w:t>
      </w:r>
    </w:p>
    <w:p w14:paraId="3C74B96A" w14:textId="77777777" w:rsidR="00E5138C" w:rsidRPr="00B9629C" w:rsidRDefault="00E5138C" w:rsidP="006A1DB4">
      <w:pPr>
        <w:pStyle w:val="ListParagraph"/>
        <w:jc w:val="both"/>
        <w:rPr>
          <w:highlight w:val="darkGray"/>
        </w:rPr>
      </w:pPr>
      <w:r w:rsidRPr="00B9629C">
        <w:rPr>
          <w:highlight w:val="darkGray"/>
        </w:rPr>
        <w:t xml:space="preserve">Mandatory component: At least one identifiable caregiver able to supervise the child and/or administer medication. All efforts should be made to ensure that the social </w:t>
      </w:r>
      <w:r w:rsidRPr="00B9629C">
        <w:rPr>
          <w:highlight w:val="darkGray"/>
        </w:rPr>
        <w:lastRenderedPageBreak/>
        <w:t>circumstances of vulnerable children (e.g. orphans) be addressed to facilitate treatment.</w:t>
      </w:r>
    </w:p>
    <w:p w14:paraId="5FFDDF6C" w14:textId="77777777" w:rsidR="00E5138C" w:rsidRPr="00B9629C" w:rsidRDefault="00E5138C" w:rsidP="006A1DB4">
      <w:pPr>
        <w:pStyle w:val="ListParagraph"/>
        <w:jc w:val="both"/>
        <w:rPr>
          <w:highlight w:val="darkGray"/>
        </w:rPr>
      </w:pPr>
      <w:r w:rsidRPr="00B9629C">
        <w:rPr>
          <w:highlight w:val="darkGray"/>
        </w:rPr>
        <w:t>Adherence:</w:t>
      </w:r>
    </w:p>
    <w:p w14:paraId="2971149E" w14:textId="77777777" w:rsidR="00E5138C" w:rsidRPr="00B9629C" w:rsidRDefault="00E5138C" w:rsidP="009750A0">
      <w:pPr>
        <w:pStyle w:val="ListParagraph"/>
        <w:numPr>
          <w:ilvl w:val="1"/>
          <w:numId w:val="5"/>
        </w:numPr>
        <w:jc w:val="both"/>
        <w:rPr>
          <w:highlight w:val="darkGray"/>
        </w:rPr>
      </w:pPr>
      <w:r w:rsidRPr="00B9629C">
        <w:rPr>
          <w:highlight w:val="darkGray"/>
        </w:rPr>
        <w:t>High levels of adherence are required for adequate virological response and prevention of viral resistance. This can be achieved with regular education and support.</w:t>
      </w:r>
    </w:p>
    <w:p w14:paraId="7230B7D4" w14:textId="77777777" w:rsidR="00E5138C" w:rsidRPr="00B9629C" w:rsidRDefault="00E5138C" w:rsidP="009750A0">
      <w:pPr>
        <w:pStyle w:val="ListParagraph"/>
        <w:numPr>
          <w:ilvl w:val="1"/>
          <w:numId w:val="5"/>
        </w:numPr>
        <w:jc w:val="both"/>
        <w:rPr>
          <w:highlight w:val="darkGray"/>
        </w:rPr>
      </w:pPr>
      <w:r w:rsidRPr="00B9629C">
        <w:rPr>
          <w:highlight w:val="darkGray"/>
        </w:rPr>
        <w:t>All efforts to encourage this level of adherence should be made.</w:t>
      </w:r>
    </w:p>
    <w:p w14:paraId="52093654" w14:textId="77777777" w:rsidR="00E5138C" w:rsidRPr="00B9629C" w:rsidRDefault="00E5138C" w:rsidP="009750A0">
      <w:pPr>
        <w:pStyle w:val="ListParagraph"/>
        <w:numPr>
          <w:ilvl w:val="1"/>
          <w:numId w:val="5"/>
        </w:numPr>
        <w:jc w:val="both"/>
        <w:rPr>
          <w:highlight w:val="darkGray"/>
        </w:rPr>
      </w:pPr>
      <w:r w:rsidRPr="00B9629C">
        <w:rPr>
          <w:highlight w:val="darkGray"/>
        </w:rPr>
        <w:t>Viral load measurements are useful for monitoring adherence.</w:t>
      </w:r>
    </w:p>
    <w:p w14:paraId="46760729" w14:textId="77777777" w:rsidR="00E5138C" w:rsidRPr="00B9629C" w:rsidRDefault="00E5138C" w:rsidP="009750A0">
      <w:pPr>
        <w:pStyle w:val="ListParagraph"/>
        <w:numPr>
          <w:ilvl w:val="1"/>
          <w:numId w:val="5"/>
        </w:numPr>
        <w:jc w:val="both"/>
        <w:rPr>
          <w:highlight w:val="darkGray"/>
        </w:rPr>
      </w:pPr>
      <w:r w:rsidRPr="00B9629C">
        <w:rPr>
          <w:highlight w:val="darkGray"/>
        </w:rPr>
        <w:t>Sensitive, age-appropriate disclosure facilitates adherence.</w:t>
      </w:r>
    </w:p>
    <w:p w14:paraId="38FD9725" w14:textId="77777777" w:rsidR="00E5138C" w:rsidRPr="00B9629C" w:rsidRDefault="00E5138C" w:rsidP="006A1DB4">
      <w:pPr>
        <w:pStyle w:val="ListParagraph"/>
        <w:jc w:val="both"/>
        <w:rPr>
          <w:highlight w:val="darkGray"/>
        </w:rPr>
      </w:pPr>
      <w:r w:rsidRPr="00B9629C">
        <w:rPr>
          <w:highlight w:val="darkGray"/>
        </w:rPr>
        <w:t>Mother and other family members should be assessed and treated.</w:t>
      </w:r>
    </w:p>
    <w:p w14:paraId="4EA00818" w14:textId="77777777" w:rsidR="005D71A2" w:rsidRPr="00B9629C" w:rsidRDefault="005D71A2" w:rsidP="00DF3383">
      <w:pPr>
        <w:pStyle w:val="Heading7"/>
        <w:jc w:val="both"/>
        <w:rPr>
          <w:highlight w:val="darkGray"/>
        </w:rPr>
      </w:pPr>
    </w:p>
    <w:p w14:paraId="4E1587E9" w14:textId="44839E94" w:rsidR="00E5138C" w:rsidRPr="00B9629C" w:rsidRDefault="0012334A" w:rsidP="00DF3383">
      <w:pPr>
        <w:pStyle w:val="Heading7"/>
        <w:jc w:val="both"/>
        <w:rPr>
          <w:b/>
          <w:bCs/>
          <w:highlight w:val="darkGray"/>
          <w:u w:val="none"/>
        </w:rPr>
      </w:pPr>
      <w:r w:rsidRPr="00B9629C">
        <w:rPr>
          <w:b/>
          <w:bCs/>
          <w:highlight w:val="darkGray"/>
          <w:u w:val="none"/>
        </w:rPr>
        <w:t xml:space="preserve">Counselling </w:t>
      </w:r>
      <w:r w:rsidR="00AE0B75" w:rsidRPr="00B9629C">
        <w:rPr>
          <w:b/>
          <w:bCs/>
          <w:highlight w:val="darkGray"/>
          <w:u w:val="none"/>
        </w:rPr>
        <w:t>before ART is initiated</w:t>
      </w:r>
    </w:p>
    <w:p w14:paraId="1F6958A3" w14:textId="26356909" w:rsidR="0012334A" w:rsidRPr="00B9629C" w:rsidRDefault="0012334A" w:rsidP="0012334A">
      <w:pPr>
        <w:pStyle w:val="NoSpacing"/>
        <w:jc w:val="both"/>
        <w:rPr>
          <w:highlight w:val="darkGray"/>
        </w:rPr>
      </w:pPr>
      <w:r w:rsidRPr="00B9629C">
        <w:rPr>
          <w:highlight w:val="darkGray"/>
        </w:rPr>
        <w:t xml:space="preserve">The health care worker should ensure the caregiver/s understanding of HIV, ART and the importance of virological suppression and train </w:t>
      </w:r>
      <w:r w:rsidR="00AE0B75" w:rsidRPr="00B9629C">
        <w:rPr>
          <w:highlight w:val="darkGray"/>
        </w:rPr>
        <w:t xml:space="preserve">caregivers </w:t>
      </w:r>
      <w:r w:rsidRPr="00B9629C">
        <w:rPr>
          <w:highlight w:val="darkGray"/>
        </w:rPr>
        <w:t>on practical skill</w:t>
      </w:r>
      <w:r w:rsidR="00AE0B75" w:rsidRPr="00B9629C">
        <w:rPr>
          <w:highlight w:val="darkGray"/>
        </w:rPr>
        <w:t>s</w:t>
      </w:r>
      <w:r w:rsidRPr="00B9629C">
        <w:rPr>
          <w:highlight w:val="darkGray"/>
        </w:rPr>
        <w:t xml:space="preserve"> to adhere to ART.</w:t>
      </w:r>
    </w:p>
    <w:p w14:paraId="3E17B94C" w14:textId="77777777" w:rsidR="005D71A2" w:rsidRPr="00B9629C" w:rsidRDefault="005D71A2" w:rsidP="005D71A2">
      <w:pPr>
        <w:pStyle w:val="Heading7"/>
        <w:rPr>
          <w:rStyle w:val="Strong"/>
          <w:highlight w:val="darkGray"/>
        </w:rPr>
      </w:pPr>
    </w:p>
    <w:p w14:paraId="70E72B01" w14:textId="77777777" w:rsidR="00E5138C" w:rsidRPr="00B9629C" w:rsidRDefault="00E5138C" w:rsidP="005D71A2">
      <w:pPr>
        <w:pStyle w:val="Heading7"/>
        <w:rPr>
          <w:rStyle w:val="Strong"/>
          <w:highlight w:val="darkGray"/>
        </w:rPr>
      </w:pPr>
      <w:r w:rsidRPr="00B9629C">
        <w:rPr>
          <w:rStyle w:val="Strong"/>
          <w:highlight w:val="darkGray"/>
        </w:rPr>
        <w:t>ART regimens</w:t>
      </w:r>
    </w:p>
    <w:p w14:paraId="6F69A74B" w14:textId="28A66DDD" w:rsidR="00E5138C" w:rsidRPr="00B9629C" w:rsidRDefault="0039039C" w:rsidP="00677F14">
      <w:pPr>
        <w:pStyle w:val="ListParagraph"/>
        <w:rPr>
          <w:highlight w:val="darkGray"/>
        </w:rPr>
      </w:pPr>
      <w:r w:rsidRPr="00B9629C">
        <w:rPr>
          <w:highlight w:val="darkGray"/>
        </w:rPr>
        <w:t>Treatment regimens a</w:t>
      </w:r>
      <w:r w:rsidR="00E5138C" w:rsidRPr="00B9629C">
        <w:rPr>
          <w:highlight w:val="darkGray"/>
        </w:rPr>
        <w:t>re chosen according to age, weight, expected adverse effects, efficacy and prior antiretroviral exposure.</w:t>
      </w:r>
    </w:p>
    <w:p w14:paraId="4343D1AC" w14:textId="0059EE89" w:rsidR="00E5138C" w:rsidRPr="00B9629C" w:rsidRDefault="00E5138C" w:rsidP="00677F14">
      <w:pPr>
        <w:pStyle w:val="ListParagraph"/>
        <w:rPr>
          <w:highlight w:val="darkGray"/>
        </w:rPr>
      </w:pPr>
      <w:r w:rsidRPr="00B9629C">
        <w:rPr>
          <w:highlight w:val="darkGray"/>
        </w:rPr>
        <w:t>Adjust the dosage of ART according to weight during follow up visits.</w:t>
      </w:r>
      <w:r w:rsidR="006A1DB4" w:rsidRPr="00B9629C">
        <w:rPr>
          <w:highlight w:val="darkGray"/>
        </w:rPr>
        <w:t xml:space="preserve"> Assess weight gain and need for adjustment at each visit.</w:t>
      </w:r>
    </w:p>
    <w:p w14:paraId="1BCF7CD7" w14:textId="31CCA3D3" w:rsidR="00E5138C" w:rsidRPr="00B9629C" w:rsidRDefault="00E5138C" w:rsidP="004B018F">
      <w:pPr>
        <w:pStyle w:val="ListParagraph"/>
        <w:jc w:val="both"/>
        <w:rPr>
          <w:highlight w:val="darkGray"/>
        </w:rPr>
      </w:pPr>
      <w:r w:rsidRPr="00B9629C">
        <w:rPr>
          <w:highlight w:val="darkGray"/>
        </w:rPr>
        <w:t>Do not change regimens or move to</w:t>
      </w:r>
      <w:r w:rsidR="00FC7144" w:rsidRPr="00B9629C">
        <w:rPr>
          <w:highlight w:val="darkGray"/>
        </w:rPr>
        <w:t xml:space="preserve"> an alternative regimen,</w:t>
      </w:r>
      <w:r w:rsidRPr="00B9629C">
        <w:rPr>
          <w:highlight w:val="darkGray"/>
        </w:rPr>
        <w:t xml:space="preserve"> without clear guidance from a paediatric expert, as unnecessary loss of effective regimens can shorten life expectancy. </w:t>
      </w:r>
      <w:r w:rsidR="0039039C" w:rsidRPr="00B9629C">
        <w:rPr>
          <w:highlight w:val="darkGray"/>
        </w:rPr>
        <w:t>Address a</w:t>
      </w:r>
      <w:r w:rsidRPr="00B9629C">
        <w:rPr>
          <w:highlight w:val="darkGray"/>
        </w:rPr>
        <w:t>dherence problems thoroughly before switching to a</w:t>
      </w:r>
      <w:r w:rsidR="00FC7144" w:rsidRPr="00B9629C">
        <w:rPr>
          <w:highlight w:val="darkGray"/>
        </w:rPr>
        <w:t xml:space="preserve">n alternative </w:t>
      </w:r>
      <w:r w:rsidRPr="00B9629C">
        <w:rPr>
          <w:highlight w:val="darkGray"/>
        </w:rPr>
        <w:t xml:space="preserve"> regimen.</w:t>
      </w:r>
    </w:p>
    <w:p w14:paraId="01F51748" w14:textId="59F9EDC2" w:rsidR="00E5138C" w:rsidRPr="00B9629C" w:rsidRDefault="00E5138C" w:rsidP="004B018F">
      <w:pPr>
        <w:pStyle w:val="ListParagraph"/>
        <w:jc w:val="both"/>
        <w:rPr>
          <w:highlight w:val="darkGray"/>
        </w:rPr>
      </w:pPr>
      <w:r w:rsidRPr="00B9629C">
        <w:rPr>
          <w:highlight w:val="darkGray"/>
        </w:rPr>
        <w:t xml:space="preserve">Single medicine substitutions may only be made when medicine-specific adverse effects are encountered, on condition that virological suppression is documented and the matter is discussed with a practitioner experienced in child </w:t>
      </w:r>
      <w:r w:rsidR="00BF3D52" w:rsidRPr="00B9629C">
        <w:rPr>
          <w:highlight w:val="darkGray"/>
        </w:rPr>
        <w:t>ART</w:t>
      </w:r>
      <w:r w:rsidRPr="00B9629C">
        <w:rPr>
          <w:highlight w:val="darkGray"/>
        </w:rPr>
        <w:t>.</w:t>
      </w:r>
    </w:p>
    <w:p w14:paraId="6CE4FF78" w14:textId="77777777" w:rsidR="00574717" w:rsidRPr="00B9629C" w:rsidRDefault="00574717" w:rsidP="00574717">
      <w:pPr>
        <w:pStyle w:val="ListParagraph"/>
        <w:numPr>
          <w:ilvl w:val="0"/>
          <w:numId w:val="0"/>
        </w:numPr>
        <w:ind w:left="284"/>
        <w:jc w:val="both"/>
        <w:rPr>
          <w:highlight w:val="darkGray"/>
        </w:rPr>
      </w:pPr>
    </w:p>
    <w:p w14:paraId="625D513D" w14:textId="169113C8" w:rsidR="0060297E" w:rsidRPr="00B9629C" w:rsidRDefault="0060297E" w:rsidP="0060297E">
      <w:pPr>
        <w:pStyle w:val="ListParagraph"/>
        <w:numPr>
          <w:ilvl w:val="0"/>
          <w:numId w:val="0"/>
        </w:numPr>
        <w:pBdr>
          <w:top w:val="single" w:sz="4" w:space="1" w:color="auto"/>
          <w:left w:val="single" w:sz="4" w:space="0" w:color="auto"/>
          <w:bottom w:val="single" w:sz="4" w:space="1" w:color="auto"/>
          <w:right w:val="single" w:sz="4" w:space="4" w:color="auto"/>
        </w:pBdr>
        <w:ind w:left="284"/>
        <w:jc w:val="both"/>
        <w:rPr>
          <w:highlight w:val="darkGray"/>
        </w:rPr>
      </w:pPr>
      <w:r w:rsidRPr="00B9629C">
        <w:rPr>
          <w:b/>
          <w:highlight w:val="darkGray"/>
          <w:u w:val="single"/>
        </w:rPr>
        <w:t>First-line ART regimens for infants and children:</w:t>
      </w:r>
    </w:p>
    <w:p w14:paraId="73EA7266" w14:textId="55E88CA7" w:rsidR="00574717" w:rsidRPr="00B9629C" w:rsidRDefault="00895C10" w:rsidP="0060297E">
      <w:pPr>
        <w:pStyle w:val="ListParagraph"/>
        <w:numPr>
          <w:ilvl w:val="0"/>
          <w:numId w:val="0"/>
        </w:numPr>
        <w:pBdr>
          <w:top w:val="single" w:sz="4" w:space="1" w:color="auto"/>
          <w:left w:val="single" w:sz="4" w:space="0" w:color="auto"/>
          <w:bottom w:val="single" w:sz="4" w:space="1" w:color="auto"/>
          <w:right w:val="single" w:sz="4" w:space="4" w:color="auto"/>
        </w:pBdr>
        <w:ind w:left="284"/>
        <w:jc w:val="both"/>
        <w:rPr>
          <w:highlight w:val="darkGray"/>
        </w:rPr>
      </w:pPr>
      <w:r w:rsidRPr="00B9629C">
        <w:rPr>
          <w:b/>
          <w:highlight w:val="darkGray"/>
        </w:rPr>
        <w:t>A</w:t>
      </w:r>
      <w:r w:rsidR="00574717" w:rsidRPr="00B9629C">
        <w:rPr>
          <w:b/>
          <w:highlight w:val="darkGray"/>
        </w:rPr>
        <w:t>LD1</w:t>
      </w:r>
      <w:r w:rsidR="00574717" w:rsidRPr="00B9629C">
        <w:rPr>
          <w:highlight w:val="darkGray"/>
        </w:rPr>
        <w:t xml:space="preserve">: Clients on a DTG-containing regimen, having never failed a previous regimen (old ‘first-line’ terminology). </w:t>
      </w:r>
    </w:p>
    <w:p w14:paraId="04339CA2" w14:textId="5568CCC4" w:rsidR="00574717" w:rsidRPr="00B9629C" w:rsidRDefault="00895C10" w:rsidP="0060297E">
      <w:pPr>
        <w:pStyle w:val="ListParagraph"/>
        <w:numPr>
          <w:ilvl w:val="0"/>
          <w:numId w:val="0"/>
        </w:numPr>
        <w:pBdr>
          <w:top w:val="single" w:sz="4" w:space="1" w:color="auto"/>
          <w:left w:val="single" w:sz="4" w:space="0" w:color="auto"/>
          <w:bottom w:val="single" w:sz="4" w:space="1" w:color="auto"/>
          <w:right w:val="single" w:sz="4" w:space="4" w:color="auto"/>
        </w:pBdr>
        <w:ind w:left="284"/>
        <w:jc w:val="both"/>
        <w:rPr>
          <w:highlight w:val="darkGray"/>
        </w:rPr>
      </w:pPr>
      <w:r w:rsidRPr="00B9629C">
        <w:rPr>
          <w:b/>
          <w:highlight w:val="darkGray"/>
        </w:rPr>
        <w:t>A</w:t>
      </w:r>
      <w:r w:rsidR="00574717" w:rsidRPr="00B9629C">
        <w:rPr>
          <w:b/>
          <w:highlight w:val="darkGray"/>
        </w:rPr>
        <w:t>LD2:</w:t>
      </w:r>
      <w:r w:rsidR="00574717" w:rsidRPr="00B9629C">
        <w:rPr>
          <w:highlight w:val="darkGray"/>
        </w:rPr>
        <w:t xml:space="preserve"> Clients on a DTG-containing regimen, who have failed a previous regimen (old ‘second- line’ terminology). </w:t>
      </w:r>
    </w:p>
    <w:p w14:paraId="2F84CE56" w14:textId="79060B16" w:rsidR="00574717" w:rsidRPr="00B9629C" w:rsidRDefault="00895C10" w:rsidP="00574717">
      <w:pPr>
        <w:pStyle w:val="ListParagraph"/>
        <w:numPr>
          <w:ilvl w:val="0"/>
          <w:numId w:val="0"/>
        </w:numPr>
        <w:ind w:left="284"/>
        <w:jc w:val="both"/>
        <w:rPr>
          <w:highlight w:val="darkGray"/>
        </w:rPr>
      </w:pPr>
      <w:r w:rsidRPr="00B9629C">
        <w:rPr>
          <w:highlight w:val="darkGray"/>
        </w:rPr>
        <w:t>A</w:t>
      </w:r>
      <w:r w:rsidR="00574717" w:rsidRPr="00B9629C">
        <w:rPr>
          <w:highlight w:val="darkGray"/>
        </w:rPr>
        <w:t xml:space="preserve">LD: </w:t>
      </w:r>
      <w:r w:rsidRPr="00B9629C">
        <w:rPr>
          <w:highlight w:val="darkGray"/>
        </w:rPr>
        <w:t>abacavir</w:t>
      </w:r>
      <w:r w:rsidR="00574717" w:rsidRPr="00B9629C">
        <w:rPr>
          <w:highlight w:val="darkGray"/>
        </w:rPr>
        <w:t xml:space="preserve">, lamivudine, dolutegravir. </w:t>
      </w:r>
    </w:p>
    <w:p w14:paraId="086A3068" w14:textId="77777777" w:rsidR="00CF392C" w:rsidRPr="00B9629C" w:rsidRDefault="00CF392C" w:rsidP="00677F14">
      <w:pPr>
        <w:pStyle w:val="NoSpacing"/>
        <w:rPr>
          <w:sz w:val="16"/>
          <w:highlight w:val="darkGray"/>
        </w:rPr>
      </w:pPr>
    </w:p>
    <w:p w14:paraId="5D9EF64E" w14:textId="77777777" w:rsidR="00E5138C" w:rsidRPr="00B9629C" w:rsidRDefault="00E5138C" w:rsidP="00677F14">
      <w:pPr>
        <w:pStyle w:val="Heading6"/>
        <w:rPr>
          <w:highlight w:val="darkGray"/>
        </w:rPr>
      </w:pPr>
      <w:r w:rsidRPr="00B9629C">
        <w:rPr>
          <w:highlight w:val="darkGray"/>
        </w:rPr>
        <w:t>General ART comments</w:t>
      </w:r>
    </w:p>
    <w:p w14:paraId="365C015A" w14:textId="77777777" w:rsidR="00E5138C" w:rsidRPr="00B9629C" w:rsidRDefault="00E5138C" w:rsidP="00677F14">
      <w:pPr>
        <w:pStyle w:val="ListParagraph"/>
        <w:rPr>
          <w:highlight w:val="darkGray"/>
        </w:rPr>
      </w:pPr>
      <w:r w:rsidRPr="00B9629C">
        <w:rPr>
          <w:highlight w:val="darkGray"/>
        </w:rPr>
        <w:t>Switch to tablets or capsules from pellets, syrups or solutions as soon as possible.</w:t>
      </w:r>
    </w:p>
    <w:p w14:paraId="02ACAC92" w14:textId="77777777" w:rsidR="00E5138C" w:rsidRPr="00B9629C" w:rsidRDefault="00E5138C" w:rsidP="00677F14">
      <w:pPr>
        <w:pStyle w:val="ListParagraph"/>
        <w:rPr>
          <w:highlight w:val="darkGray"/>
        </w:rPr>
      </w:pPr>
      <w:r w:rsidRPr="00B9629C">
        <w:rPr>
          <w:highlight w:val="darkGray"/>
        </w:rPr>
        <w:t>Fixed-dose combinations are preferred to single agents.</w:t>
      </w:r>
    </w:p>
    <w:p w14:paraId="35650C78" w14:textId="560B6FD8" w:rsidR="00E5138C" w:rsidRPr="00B9629C" w:rsidRDefault="00E5138C" w:rsidP="00677F14">
      <w:pPr>
        <w:pStyle w:val="ListParagraph"/>
        <w:rPr>
          <w:highlight w:val="darkGray"/>
        </w:rPr>
      </w:pPr>
      <w:r w:rsidRPr="00B9629C">
        <w:rPr>
          <w:highlight w:val="darkGray"/>
        </w:rPr>
        <w:t xml:space="preserve">If available, use </w:t>
      </w:r>
      <w:r w:rsidR="001C3F9F" w:rsidRPr="00B9629C">
        <w:rPr>
          <w:highlight w:val="darkGray"/>
        </w:rPr>
        <w:t xml:space="preserve">once </w:t>
      </w:r>
      <w:r w:rsidRPr="00B9629C">
        <w:rPr>
          <w:highlight w:val="darkGray"/>
        </w:rPr>
        <w:t>daily dose regimens.</w:t>
      </w:r>
    </w:p>
    <w:p w14:paraId="589D443C" w14:textId="77777777" w:rsidR="00E5138C" w:rsidRPr="00B9629C" w:rsidRDefault="00E5138C" w:rsidP="00E5138C">
      <w:pPr>
        <w:pStyle w:val="NoSpacing"/>
        <w:rPr>
          <w:highlight w:val="darkGray"/>
        </w:rPr>
      </w:pPr>
    </w:p>
    <w:p w14:paraId="5C06E5EF" w14:textId="77777777" w:rsidR="005D71A2" w:rsidRPr="00B9629C" w:rsidRDefault="005D71A2" w:rsidP="00AE0B75">
      <w:pPr>
        <w:pStyle w:val="Heading6"/>
        <w:spacing w:before="0"/>
        <w:jc w:val="both"/>
        <w:rPr>
          <w:highlight w:val="darkGray"/>
        </w:rPr>
      </w:pPr>
      <w:r w:rsidRPr="00B9629C">
        <w:rPr>
          <w:highlight w:val="darkGray"/>
        </w:rPr>
        <w:t>Side effects:</w:t>
      </w:r>
    </w:p>
    <w:p w14:paraId="0FAFDE4A" w14:textId="77777777" w:rsidR="005D71A2" w:rsidRPr="00B9629C" w:rsidRDefault="005D71A2" w:rsidP="00AE0B75">
      <w:pPr>
        <w:spacing w:before="0" w:after="0"/>
        <w:jc w:val="both"/>
        <w:rPr>
          <w:highlight w:val="darkGray"/>
        </w:rPr>
      </w:pPr>
      <w:r w:rsidRPr="00B9629C">
        <w:rPr>
          <w:highlight w:val="darkGray"/>
        </w:rPr>
        <w:t>In patients being considered for an AZT-containing regimen, monitor for anaemia prior to initiation of ART.</w:t>
      </w:r>
    </w:p>
    <w:p w14:paraId="68EF75E7" w14:textId="10135DFA" w:rsidR="005D71A2" w:rsidRPr="00B9629C" w:rsidRDefault="005D71A2" w:rsidP="00AE0B75">
      <w:pPr>
        <w:jc w:val="both"/>
        <w:rPr>
          <w:highlight w:val="darkGray"/>
        </w:rPr>
      </w:pPr>
      <w:r w:rsidRPr="00B9629C">
        <w:rPr>
          <w:highlight w:val="darkGray"/>
        </w:rPr>
        <w:lastRenderedPageBreak/>
        <w:t xml:space="preserve">A small proportion of patients </w:t>
      </w:r>
      <w:r w:rsidR="00B94F0B" w:rsidRPr="00B9629C">
        <w:rPr>
          <w:highlight w:val="darkGray"/>
        </w:rPr>
        <w:t xml:space="preserve">initiated on </w:t>
      </w:r>
      <w:r w:rsidRPr="00B9629C">
        <w:rPr>
          <w:highlight w:val="darkGray"/>
        </w:rPr>
        <w:t>ABC are at risk of abacavir hypersensitivity reaction</w:t>
      </w:r>
      <w:r w:rsidR="00B94F0B" w:rsidRPr="00B9629C">
        <w:rPr>
          <w:highlight w:val="darkGray"/>
        </w:rPr>
        <w:t xml:space="preserve">, which </w:t>
      </w:r>
      <w:r w:rsidRPr="00B9629C">
        <w:rPr>
          <w:highlight w:val="darkGray"/>
        </w:rPr>
        <w:t>present</w:t>
      </w:r>
      <w:r w:rsidR="00B94F0B" w:rsidRPr="00B9629C">
        <w:rPr>
          <w:highlight w:val="darkGray"/>
        </w:rPr>
        <w:t>s</w:t>
      </w:r>
      <w:r w:rsidRPr="00B9629C">
        <w:rPr>
          <w:highlight w:val="darkGray"/>
        </w:rPr>
        <w:t xml:space="preserve"> with fever, rash and gastrointestinal disturbances.  If this reaction is suspected, consult an expert.</w:t>
      </w:r>
    </w:p>
    <w:p w14:paraId="3C6DD165" w14:textId="77777777" w:rsidR="005D71A2" w:rsidRPr="00B9629C" w:rsidRDefault="005D71A2" w:rsidP="00E5138C">
      <w:pPr>
        <w:pStyle w:val="NoSpacing"/>
        <w:rPr>
          <w:highlight w:val="darkGray"/>
        </w:rPr>
      </w:pPr>
    </w:p>
    <w:tbl>
      <w:tblPr>
        <w:tblStyle w:val="TableGrid"/>
        <w:tblW w:w="0" w:type="auto"/>
        <w:tblLook w:val="04A0" w:firstRow="1" w:lastRow="0" w:firstColumn="1" w:lastColumn="0" w:noHBand="0" w:noVBand="1"/>
      </w:tblPr>
      <w:tblGrid>
        <w:gridCol w:w="6681"/>
      </w:tblGrid>
      <w:tr w:rsidR="00F42F89" w:rsidRPr="00B9629C" w14:paraId="506A7409" w14:textId="77777777" w:rsidTr="005A3AA6">
        <w:tc>
          <w:tcPr>
            <w:tcW w:w="6680" w:type="dxa"/>
          </w:tcPr>
          <w:p w14:paraId="5BBBD86B" w14:textId="7D68FFDD" w:rsidR="005A3AA6" w:rsidRPr="00B9629C" w:rsidRDefault="005A3AA6" w:rsidP="00E5138C">
            <w:pPr>
              <w:pStyle w:val="NoSpacing"/>
              <w:rPr>
                <w:highlight w:val="darkGray"/>
              </w:rPr>
            </w:pPr>
            <w:r w:rsidRPr="00B9629C">
              <w:rPr>
                <w:noProof/>
                <w:highlight w:val="darkGray"/>
                <w:lang w:eastAsia="en-ZA"/>
              </w:rPr>
              <w:drawing>
                <wp:inline distT="0" distB="0" distL="0" distR="0" wp14:anchorId="402CCAA1" wp14:editId="11665A62">
                  <wp:extent cx="4248150" cy="2160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8150" cy="2160905"/>
                          </a:xfrm>
                          <a:prstGeom prst="rect">
                            <a:avLst/>
                          </a:prstGeom>
                        </pic:spPr>
                      </pic:pic>
                    </a:graphicData>
                  </a:graphic>
                </wp:inline>
              </w:drawing>
            </w:r>
          </w:p>
        </w:tc>
      </w:tr>
    </w:tbl>
    <w:tbl>
      <w:tblPr>
        <w:tblpPr w:leftFromText="180" w:rightFromText="180" w:vertAnchor="text" w:horzAnchor="margin" w:tblpXSpec="right" w:tblpY="443"/>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7"/>
      </w:tblGrid>
      <w:tr w:rsidR="005D71A2" w:rsidRPr="00B9629C" w14:paraId="496C9968" w14:textId="77777777" w:rsidTr="005D71A2">
        <w:trPr>
          <w:trHeight w:val="215"/>
        </w:trPr>
        <w:tc>
          <w:tcPr>
            <w:tcW w:w="847" w:type="dxa"/>
            <w:shd w:val="clear" w:color="auto" w:fill="auto"/>
          </w:tcPr>
          <w:p w14:paraId="181A70F8" w14:textId="77777777" w:rsidR="005D71A2" w:rsidRPr="00B9629C" w:rsidRDefault="005D71A2" w:rsidP="005D71A2">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LoE:IIIb</w:t>
            </w:r>
            <w:r w:rsidRPr="00B9629C">
              <w:rPr>
                <w:rStyle w:val="EndnoteReference"/>
                <w:sz w:val="14"/>
                <w:szCs w:val="14"/>
                <w:highlight w:val="darkGray"/>
              </w:rPr>
              <w:endnoteReference w:id="52"/>
            </w:r>
          </w:p>
        </w:tc>
      </w:tr>
    </w:tbl>
    <w:p w14:paraId="1B6BCF1F" w14:textId="7CE894C9" w:rsidR="005A3AA6" w:rsidRPr="00B9629C" w:rsidRDefault="006E6BFE" w:rsidP="005A3AA6">
      <w:pPr>
        <w:pStyle w:val="NoSpacing"/>
        <w:rPr>
          <w:sz w:val="16"/>
          <w:highlight w:val="darkGray"/>
        </w:rPr>
      </w:pPr>
      <w:r w:rsidRPr="00B9629C">
        <w:rPr>
          <w:b/>
          <w:sz w:val="16"/>
          <w:highlight w:val="darkGray"/>
        </w:rPr>
        <w:t>Figure 11.</w:t>
      </w:r>
      <w:r w:rsidR="004A6630" w:rsidRPr="00B9629C">
        <w:rPr>
          <w:b/>
          <w:sz w:val="16"/>
          <w:highlight w:val="darkGray"/>
        </w:rPr>
        <w:t>6</w:t>
      </w:r>
      <w:r w:rsidR="005A3AA6" w:rsidRPr="00B9629C">
        <w:rPr>
          <w:b/>
          <w:sz w:val="16"/>
          <w:highlight w:val="darkGray"/>
        </w:rPr>
        <w:t>:</w:t>
      </w:r>
      <w:r w:rsidR="005A3AA6" w:rsidRPr="00B9629C">
        <w:rPr>
          <w:sz w:val="16"/>
          <w:highlight w:val="darkGray"/>
        </w:rPr>
        <w:t xml:space="preserve"> First-line paediatric ART-switching algorithm for neonates/infants/children</w:t>
      </w:r>
      <w:r w:rsidR="00A42C9C" w:rsidRPr="00B9629C">
        <w:rPr>
          <w:sz w:val="16"/>
          <w:highlight w:val="darkGray"/>
        </w:rPr>
        <w:t xml:space="preserve"> </w:t>
      </w:r>
      <w:r w:rsidR="00A42C9C" w:rsidRPr="00B9629C">
        <w:rPr>
          <w:sz w:val="16"/>
          <w:szCs w:val="16"/>
          <w:highlight w:val="darkGray"/>
        </w:rPr>
        <w:t xml:space="preserve">(adopted from the NDoH </w:t>
      </w:r>
      <w:r w:rsidR="00A42C9C" w:rsidRPr="00B9629C">
        <w:rPr>
          <w:rFonts w:eastAsia="Calibri" w:cs="Times New Roman"/>
          <w:sz w:val="16"/>
          <w:szCs w:val="16"/>
          <w:highlight w:val="darkGray"/>
        </w:rPr>
        <w:t>2023 ART Clinical Guidelines for the Management of HIV in Adults, Pregnancy and Breastfeeding, Adolescents, Children, Infants and Neonates).</w:t>
      </w:r>
    </w:p>
    <w:p w14:paraId="7EFE85C3" w14:textId="5D8DC3AA" w:rsidR="00E5138C" w:rsidRPr="00B9629C" w:rsidRDefault="00E5138C" w:rsidP="00E5138C">
      <w:pPr>
        <w:pStyle w:val="NoSpacing"/>
        <w:rPr>
          <w:sz w:val="16"/>
          <w:highlight w:val="darkGray"/>
        </w:rPr>
      </w:pPr>
    </w:p>
    <w:p w14:paraId="3ECCF8DF" w14:textId="51D00D15" w:rsidR="008642D5" w:rsidRPr="00B9629C" w:rsidRDefault="008642D5" w:rsidP="00E5138C">
      <w:pPr>
        <w:pStyle w:val="NoSpacing"/>
        <w:rPr>
          <w:highlight w:val="darkGray"/>
        </w:rPr>
      </w:pPr>
    </w:p>
    <w:p w14:paraId="7F879D3E" w14:textId="77777777" w:rsidR="00CF392C" w:rsidRPr="00B9629C" w:rsidRDefault="00CF392C" w:rsidP="00CF392C">
      <w:pPr>
        <w:pStyle w:val="NoSpacing"/>
        <w:jc w:val="both"/>
        <w:rPr>
          <w:b/>
          <w:highlight w:val="darkGray"/>
        </w:rPr>
      </w:pPr>
      <w:r w:rsidRPr="00B9629C">
        <w:rPr>
          <w:b/>
          <w:highlight w:val="darkGray"/>
        </w:rPr>
        <w:t xml:space="preserve">Transition from ABC/3TC/LPV/r to DTG based regimens </w:t>
      </w:r>
    </w:p>
    <w:p w14:paraId="64E9E582" w14:textId="36B0A8CA" w:rsidR="00AC34C6" w:rsidRPr="00B9629C" w:rsidRDefault="00AC34C6" w:rsidP="00AC34C6">
      <w:pPr>
        <w:pStyle w:val="ListParagraph"/>
        <w:rPr>
          <w:highlight w:val="darkGray"/>
        </w:rPr>
      </w:pPr>
      <w:r w:rsidRPr="00B9629C">
        <w:rPr>
          <w:highlight w:val="darkGray"/>
        </w:rPr>
        <w:t xml:space="preserve">Children </w:t>
      </w:r>
      <w:r w:rsidR="00724290" w:rsidRPr="00B9629C">
        <w:rPr>
          <w:highlight w:val="darkGray"/>
        </w:rPr>
        <w:t>&lt;</w:t>
      </w:r>
      <w:r w:rsidRPr="00B9629C">
        <w:rPr>
          <w:highlight w:val="darkGray"/>
        </w:rPr>
        <w:t xml:space="preserve">10 years or weight </w:t>
      </w:r>
      <w:r w:rsidR="00724290" w:rsidRPr="00B9629C">
        <w:rPr>
          <w:highlight w:val="darkGray"/>
        </w:rPr>
        <w:t>&lt;</w:t>
      </w:r>
      <w:r w:rsidRPr="00B9629C">
        <w:rPr>
          <w:highlight w:val="darkGray"/>
        </w:rPr>
        <w:t xml:space="preserve">30 kg </w:t>
      </w:r>
    </w:p>
    <w:p w14:paraId="1EECE147" w14:textId="32481923" w:rsidR="00AC34C6" w:rsidRPr="00B9629C" w:rsidRDefault="00AC34C6" w:rsidP="009750A0">
      <w:pPr>
        <w:pStyle w:val="ListParagraph"/>
        <w:numPr>
          <w:ilvl w:val="1"/>
          <w:numId w:val="5"/>
        </w:numPr>
        <w:rPr>
          <w:highlight w:val="darkGray"/>
        </w:rPr>
      </w:pPr>
      <w:r w:rsidRPr="00B9629C">
        <w:rPr>
          <w:highlight w:val="darkGray"/>
        </w:rPr>
        <w:t xml:space="preserve">On PI based regimen for </w:t>
      </w:r>
      <w:r w:rsidR="00724290" w:rsidRPr="00B9629C">
        <w:rPr>
          <w:highlight w:val="darkGray"/>
        </w:rPr>
        <w:t>&lt;</w:t>
      </w:r>
      <w:r w:rsidRPr="00B9629C">
        <w:rPr>
          <w:highlight w:val="darkGray"/>
        </w:rPr>
        <w:t>2 years: switch to DTG based regimen (no VL required)</w:t>
      </w:r>
    </w:p>
    <w:p w14:paraId="6B216936" w14:textId="12F91FB2" w:rsidR="00AC34C6" w:rsidRPr="00B9629C" w:rsidRDefault="00AC34C6" w:rsidP="009750A0">
      <w:pPr>
        <w:pStyle w:val="ListParagraph"/>
        <w:numPr>
          <w:ilvl w:val="1"/>
          <w:numId w:val="5"/>
        </w:numPr>
        <w:rPr>
          <w:highlight w:val="darkGray"/>
        </w:rPr>
      </w:pPr>
      <w:r w:rsidRPr="00B9629C">
        <w:rPr>
          <w:highlight w:val="darkGray"/>
        </w:rPr>
        <w:t>On PI based regimen for ≥2 years: review VL results</w:t>
      </w:r>
      <w:r w:rsidR="00D57D68" w:rsidRPr="00B9629C">
        <w:rPr>
          <w:highlight w:val="darkGray"/>
        </w:rPr>
        <w:t xml:space="preserve">, </w:t>
      </w:r>
      <w:r w:rsidRPr="00B9629C">
        <w:rPr>
          <w:highlight w:val="darkGray"/>
        </w:rPr>
        <w:t>manage</w:t>
      </w:r>
      <w:r w:rsidR="004A6630" w:rsidRPr="00B9629C">
        <w:rPr>
          <w:highlight w:val="darkGray"/>
        </w:rPr>
        <w:t xml:space="preserve"> as per algorithm in figure 11.7.</w:t>
      </w:r>
    </w:p>
    <w:p w14:paraId="493B024F" w14:textId="77777777" w:rsidR="00736459" w:rsidRPr="00B9629C" w:rsidRDefault="00736459" w:rsidP="00424607">
      <w:pPr>
        <w:rPr>
          <w:strike/>
          <w:highlight w:val="darkGray"/>
        </w:rPr>
      </w:pPr>
    </w:p>
    <w:p w14:paraId="22DDA3A0" w14:textId="2FB174DC" w:rsidR="00CF392C" w:rsidRPr="00B9629C" w:rsidRDefault="00D42992" w:rsidP="00D42992">
      <w:pPr>
        <w:pStyle w:val="NoSpacing"/>
        <w:jc w:val="both"/>
        <w:rPr>
          <w:b/>
          <w:highlight w:val="darkGray"/>
        </w:rPr>
      </w:pPr>
      <w:r w:rsidRPr="00B9629C">
        <w:rPr>
          <w:b/>
          <w:highlight w:val="darkGray"/>
        </w:rPr>
        <w:t>For</w:t>
      </w:r>
      <w:r w:rsidR="00736459" w:rsidRPr="00B9629C">
        <w:rPr>
          <w:b/>
          <w:highlight w:val="darkGray"/>
        </w:rPr>
        <w:t xml:space="preserve"> patients not eligible for </w:t>
      </w:r>
      <w:r w:rsidRPr="00B9629C">
        <w:rPr>
          <w:b/>
          <w:highlight w:val="darkGray"/>
        </w:rPr>
        <w:t>transition to DTG based regimen</w:t>
      </w:r>
    </w:p>
    <w:p w14:paraId="2BDB033F" w14:textId="442AA198" w:rsidR="00CF392C" w:rsidRPr="00B9629C" w:rsidRDefault="00CF392C" w:rsidP="009750A0">
      <w:pPr>
        <w:pStyle w:val="ListParagraph"/>
        <w:rPr>
          <w:highlight w:val="darkGray"/>
        </w:rPr>
      </w:pPr>
      <w:r w:rsidRPr="00B9629C">
        <w:rPr>
          <w:highlight w:val="darkGray"/>
        </w:rPr>
        <w:t xml:space="preserve">Consider switching to ABC/3TC/LPV/r 4-in-1 formulation and repeating HIV VL in 3 months. If HIV VL </w:t>
      </w:r>
      <w:r w:rsidR="00724290" w:rsidRPr="00B9629C">
        <w:rPr>
          <w:highlight w:val="darkGray"/>
        </w:rPr>
        <w:t>&lt;</w:t>
      </w:r>
      <w:r w:rsidRPr="00B9629C">
        <w:rPr>
          <w:highlight w:val="darkGray"/>
        </w:rPr>
        <w:t xml:space="preserve">1000 copies/mL, change to ABC/3TC/DTG and if </w:t>
      </w:r>
      <w:r w:rsidR="00724290" w:rsidRPr="00B9629C">
        <w:rPr>
          <w:highlight w:val="darkGray"/>
        </w:rPr>
        <w:t>&gt;</w:t>
      </w:r>
      <w:r w:rsidRPr="00B9629C">
        <w:rPr>
          <w:highlight w:val="darkGray"/>
        </w:rPr>
        <w:t>1000 copies/mL, perform an HIV drug resistance tes</w:t>
      </w:r>
      <w:r w:rsidR="005D71A2" w:rsidRPr="00B9629C">
        <w:rPr>
          <w:highlight w:val="darkGray"/>
        </w:rPr>
        <w:t>t (DR).</w:t>
      </w:r>
    </w:p>
    <w:p w14:paraId="0C1864BA" w14:textId="3B6E8F3C" w:rsidR="00CF392C" w:rsidRPr="00B9629C" w:rsidRDefault="00CF392C" w:rsidP="009750A0">
      <w:pPr>
        <w:pStyle w:val="ListParagraph"/>
        <w:rPr>
          <w:highlight w:val="darkGray"/>
        </w:rPr>
      </w:pPr>
      <w:r w:rsidRPr="00B9629C">
        <w:rPr>
          <w:highlight w:val="darkGray"/>
        </w:rPr>
        <w:t>Perform an HIV DR if 4-in-1 formulation not available.</w:t>
      </w:r>
    </w:p>
    <w:p w14:paraId="43C21AE9" w14:textId="576D36A5" w:rsidR="00091E8E" w:rsidRPr="00B9629C" w:rsidRDefault="00CF392C" w:rsidP="009750A0">
      <w:pPr>
        <w:pStyle w:val="ListParagraph"/>
        <w:rPr>
          <w:highlight w:val="darkGray"/>
        </w:rPr>
      </w:pPr>
      <w:r w:rsidRPr="00B9629C">
        <w:rPr>
          <w:highlight w:val="darkGray"/>
        </w:rPr>
        <w:t xml:space="preserve">If NRTI mutations on the HIV DR show: </w:t>
      </w:r>
    </w:p>
    <w:p w14:paraId="78C5693E" w14:textId="18AD0DB1" w:rsidR="00091E8E" w:rsidRPr="00B9629C" w:rsidRDefault="00CF392C" w:rsidP="009750A0">
      <w:pPr>
        <w:pStyle w:val="ListParagraph"/>
        <w:numPr>
          <w:ilvl w:val="1"/>
          <w:numId w:val="5"/>
        </w:numPr>
        <w:jc w:val="both"/>
        <w:rPr>
          <w:highlight w:val="darkGray"/>
        </w:rPr>
      </w:pPr>
      <w:r w:rsidRPr="00B9629C">
        <w:rPr>
          <w:highlight w:val="darkGray"/>
        </w:rPr>
        <w:t xml:space="preserve">No mutations or only M184V – switch to ABC/3TC/DTG. </w:t>
      </w:r>
    </w:p>
    <w:p w14:paraId="1EDCE912" w14:textId="25389A3F" w:rsidR="00CF392C" w:rsidRPr="00B9629C" w:rsidRDefault="00CF392C" w:rsidP="009750A0">
      <w:pPr>
        <w:pStyle w:val="ListParagraph"/>
        <w:numPr>
          <w:ilvl w:val="1"/>
          <w:numId w:val="5"/>
        </w:numPr>
        <w:jc w:val="both"/>
        <w:rPr>
          <w:highlight w:val="darkGray"/>
        </w:rPr>
      </w:pPr>
      <w:r w:rsidRPr="00B9629C">
        <w:rPr>
          <w:highlight w:val="darkGray"/>
        </w:rPr>
        <w:t>M184V + other mutations – discuss with an experienced practitioner in child ARV medicine.</w:t>
      </w:r>
    </w:p>
    <w:p w14:paraId="7E86523F" w14:textId="77777777" w:rsidR="00CF392C" w:rsidRPr="00B9629C" w:rsidRDefault="00CF392C" w:rsidP="00E5138C">
      <w:pPr>
        <w:pStyle w:val="NoSpacing"/>
        <w:rPr>
          <w:highlight w:val="darkGray"/>
        </w:rPr>
      </w:pPr>
    </w:p>
    <w:p w14:paraId="59A232D8" w14:textId="77777777" w:rsidR="00FE74E1" w:rsidRPr="00B9629C" w:rsidRDefault="00FE74E1" w:rsidP="00E5138C">
      <w:pPr>
        <w:pStyle w:val="NoSpacing"/>
        <w:rPr>
          <w:highlight w:val="darkGray"/>
        </w:rPr>
      </w:pPr>
    </w:p>
    <w:p w14:paraId="3E857770" w14:textId="77777777" w:rsidR="00FE74E1" w:rsidRPr="00B9629C" w:rsidRDefault="00FE74E1" w:rsidP="00E5138C">
      <w:pPr>
        <w:pStyle w:val="NoSpacing"/>
        <w:rPr>
          <w:highlight w:val="darkGray"/>
        </w:rPr>
      </w:pPr>
    </w:p>
    <w:p w14:paraId="2143DDE7" w14:textId="77777777" w:rsidR="00FE74E1" w:rsidRPr="00B9629C" w:rsidRDefault="00FE74E1" w:rsidP="00E5138C">
      <w:pPr>
        <w:pStyle w:val="NoSpacing"/>
        <w:rPr>
          <w:highlight w:val="darkGray"/>
        </w:rPr>
      </w:pPr>
    </w:p>
    <w:p w14:paraId="020E28A9" w14:textId="77777777" w:rsidR="00CF392C" w:rsidRPr="00B9629C" w:rsidRDefault="00CF392C" w:rsidP="00E5138C">
      <w:pPr>
        <w:pStyle w:val="NoSpacing"/>
        <w:rPr>
          <w:highlight w:val="darkGray"/>
        </w:rPr>
      </w:pPr>
    </w:p>
    <w:tbl>
      <w:tblPr>
        <w:tblStyle w:val="TableGrid"/>
        <w:tblW w:w="0" w:type="auto"/>
        <w:tblLook w:val="04A0" w:firstRow="1" w:lastRow="0" w:firstColumn="1" w:lastColumn="0" w:noHBand="0" w:noVBand="1"/>
      </w:tblPr>
      <w:tblGrid>
        <w:gridCol w:w="6681"/>
      </w:tblGrid>
      <w:tr w:rsidR="00F52919" w:rsidRPr="00B9629C" w14:paraId="53121A23" w14:textId="77777777" w:rsidTr="00FE74E1">
        <w:tc>
          <w:tcPr>
            <w:tcW w:w="6681" w:type="dxa"/>
          </w:tcPr>
          <w:p w14:paraId="42A07D84" w14:textId="77777777" w:rsidR="00FE74E1" w:rsidRPr="00B9629C" w:rsidRDefault="00FE74E1" w:rsidP="00E32922">
            <w:pPr>
              <w:pStyle w:val="NoSpacing"/>
              <w:rPr>
                <w:noProof/>
                <w:sz w:val="16"/>
                <w:highlight w:val="darkGray"/>
                <w:lang w:val="en-US"/>
              </w:rPr>
            </w:pPr>
          </w:p>
          <w:p w14:paraId="0D26F36D" w14:textId="46D422D7" w:rsidR="00FE74E1" w:rsidRPr="00B9629C" w:rsidRDefault="00FE74E1" w:rsidP="00FE74E1">
            <w:pPr>
              <w:pStyle w:val="NoSpacing"/>
              <w:jc w:val="center"/>
              <w:rPr>
                <w:noProof/>
                <w:sz w:val="16"/>
                <w:highlight w:val="darkGray"/>
                <w:lang w:val="en-US"/>
              </w:rPr>
            </w:pPr>
            <w:r w:rsidRPr="00B9629C">
              <w:rPr>
                <w:b/>
                <w:highlight w:val="darkGray"/>
              </w:rPr>
              <w:t>Switching children on PI-containing regimens to DTG regimens</w:t>
            </w:r>
          </w:p>
          <w:p w14:paraId="168A4F54" w14:textId="41ECC4CA" w:rsidR="00F52919" w:rsidRPr="00B9629C" w:rsidRDefault="00F52919" w:rsidP="00E32922">
            <w:pPr>
              <w:pStyle w:val="NoSpacing"/>
              <w:rPr>
                <w:sz w:val="16"/>
                <w:highlight w:val="darkGray"/>
              </w:rPr>
            </w:pPr>
            <w:r w:rsidRPr="00B9629C">
              <w:rPr>
                <w:noProof/>
                <w:sz w:val="16"/>
                <w:highlight w:val="darkGray"/>
                <w:lang w:eastAsia="en-ZA"/>
              </w:rPr>
              <w:drawing>
                <wp:inline distT="0" distB="0" distL="0" distR="0" wp14:anchorId="3346491C" wp14:editId="417B2922">
                  <wp:extent cx="4369875" cy="544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72388" cy="5451433"/>
                          </a:xfrm>
                          <a:prstGeom prst="rect">
                            <a:avLst/>
                          </a:prstGeom>
                        </pic:spPr>
                      </pic:pic>
                    </a:graphicData>
                  </a:graphic>
                </wp:inline>
              </w:drawing>
            </w:r>
          </w:p>
        </w:tc>
      </w:tr>
    </w:tbl>
    <w:p w14:paraId="610D9902" w14:textId="63FB9BFB" w:rsidR="00F52919" w:rsidRPr="00B9629C" w:rsidRDefault="00A42C9C" w:rsidP="00A42C9C">
      <w:pPr>
        <w:pStyle w:val="NoSpacing"/>
        <w:jc w:val="both"/>
        <w:rPr>
          <w:rFonts w:eastAsia="Calibri" w:cs="Times New Roman"/>
          <w:sz w:val="16"/>
          <w:szCs w:val="16"/>
          <w:highlight w:val="darkGray"/>
        </w:rPr>
      </w:pPr>
      <w:r w:rsidRPr="00B9629C">
        <w:rPr>
          <w:b/>
          <w:sz w:val="16"/>
          <w:highlight w:val="darkGray"/>
        </w:rPr>
        <w:t>Figure 11.</w:t>
      </w:r>
      <w:r w:rsidR="006E6BFE" w:rsidRPr="00B9629C">
        <w:rPr>
          <w:b/>
          <w:sz w:val="16"/>
          <w:highlight w:val="darkGray"/>
        </w:rPr>
        <w:t>7</w:t>
      </w:r>
      <w:r w:rsidRPr="00B9629C">
        <w:rPr>
          <w:b/>
          <w:sz w:val="16"/>
          <w:highlight w:val="darkGray"/>
        </w:rPr>
        <w:t>:</w:t>
      </w:r>
      <w:r w:rsidRPr="00B9629C">
        <w:rPr>
          <w:sz w:val="16"/>
          <w:highlight w:val="darkGray"/>
        </w:rPr>
        <w:t xml:space="preserve"> Switching children on PI-containing regimens to DTG regimens </w:t>
      </w:r>
      <w:r w:rsidRPr="00B9629C">
        <w:rPr>
          <w:sz w:val="16"/>
          <w:szCs w:val="16"/>
          <w:highlight w:val="darkGray"/>
        </w:rPr>
        <w:t xml:space="preserve">(adopted from the NDoH </w:t>
      </w:r>
      <w:r w:rsidRPr="00B9629C">
        <w:rPr>
          <w:rFonts w:eastAsia="Calibri" w:cs="Times New Roman"/>
          <w:sz w:val="16"/>
          <w:szCs w:val="16"/>
          <w:highlight w:val="darkGray"/>
        </w:rPr>
        <w:t>2023 ART Clinical Guidelines for the Management of HIV in Adults, Pregnancy and Breastfeeding, Adolescents, Children, Infants and Neonates).</w:t>
      </w:r>
    </w:p>
    <w:p w14:paraId="1716E73A" w14:textId="77777777" w:rsidR="00A42C9C" w:rsidRPr="00B9629C" w:rsidRDefault="00A42C9C" w:rsidP="00A42C9C">
      <w:pPr>
        <w:pStyle w:val="NoSpacing"/>
        <w:jc w:val="both"/>
        <w:rPr>
          <w:rFonts w:eastAsia="Calibri" w:cs="Times New Roman"/>
          <w:sz w:val="16"/>
          <w:szCs w:val="16"/>
          <w:highlight w:val="darkGray"/>
        </w:rPr>
      </w:pPr>
    </w:p>
    <w:p w14:paraId="77E7C3FD" w14:textId="77777777" w:rsidR="00F52919" w:rsidRPr="00B9629C" w:rsidRDefault="00F52919" w:rsidP="00E32922">
      <w:pPr>
        <w:pStyle w:val="NoSpacing"/>
        <w:rPr>
          <w:b/>
          <w:highlight w:val="darkGray"/>
          <w:u w:val="single"/>
        </w:rPr>
      </w:pPr>
      <w:r w:rsidRPr="00B9629C">
        <w:rPr>
          <w:b/>
          <w:highlight w:val="darkGray"/>
          <w:u w:val="single"/>
        </w:rPr>
        <w:lastRenderedPageBreak/>
        <w:t xml:space="preserve">Treatment failure </w:t>
      </w:r>
    </w:p>
    <w:p w14:paraId="0DA7BF34" w14:textId="77777777" w:rsidR="00F52919" w:rsidRPr="00B9629C" w:rsidRDefault="00F52919" w:rsidP="00F52919">
      <w:pPr>
        <w:pStyle w:val="NoSpacing"/>
        <w:jc w:val="both"/>
        <w:rPr>
          <w:highlight w:val="darkGray"/>
        </w:rPr>
      </w:pPr>
      <w:r w:rsidRPr="00B9629C">
        <w:rPr>
          <w:highlight w:val="darkGray"/>
        </w:rPr>
        <w:t xml:space="preserve">The HIV viral load is the most sensitive method to detect failure of response to ART. </w:t>
      </w:r>
    </w:p>
    <w:p w14:paraId="6FA8F5D1" w14:textId="77777777" w:rsidR="00F52919" w:rsidRPr="00B9629C" w:rsidRDefault="00F52919" w:rsidP="00F52919">
      <w:pPr>
        <w:pStyle w:val="NoSpacing"/>
        <w:jc w:val="both"/>
        <w:rPr>
          <w:highlight w:val="darkGray"/>
        </w:rPr>
      </w:pPr>
    </w:p>
    <w:p w14:paraId="32B24712" w14:textId="77777777" w:rsidR="00F52919" w:rsidRPr="00B9629C" w:rsidRDefault="00F52919" w:rsidP="00F52919">
      <w:pPr>
        <w:pStyle w:val="NoSpacing"/>
        <w:jc w:val="both"/>
        <w:rPr>
          <w:highlight w:val="darkGray"/>
        </w:rPr>
      </w:pPr>
      <w:r w:rsidRPr="00B9629C">
        <w:rPr>
          <w:highlight w:val="darkGray"/>
        </w:rPr>
        <w:t xml:space="preserve">Virological failure can be defined as a measurable viral load despite optimal adherence and dosage over 4 months. Treatment failure is primarily defined by viral loads, as waiting for clinical or immunological failure increases the chances of increasing viral resistance to other available antiretroviral agents. </w:t>
      </w:r>
    </w:p>
    <w:p w14:paraId="12CBBE87" w14:textId="77777777" w:rsidR="00F52919" w:rsidRPr="00B9629C" w:rsidRDefault="00F52919" w:rsidP="00B37A0D">
      <w:pPr>
        <w:pStyle w:val="NoSpacing"/>
        <w:jc w:val="both"/>
        <w:rPr>
          <w:highlight w:val="darkGray"/>
        </w:rPr>
      </w:pPr>
      <w:r w:rsidRPr="00B9629C">
        <w:rPr>
          <w:highlight w:val="darkGray"/>
        </w:rPr>
        <w:t>Poor adherence is the most common cause of treatment failure. Adherence issues should be assessed and then implement strategies to improve adherence.</w:t>
      </w:r>
    </w:p>
    <w:p w14:paraId="6FE360EB" w14:textId="1349BC30" w:rsidR="003156EB" w:rsidRPr="00B9629C" w:rsidRDefault="00F52919" w:rsidP="00F7195A">
      <w:pPr>
        <w:pStyle w:val="NoSpacing"/>
        <w:rPr>
          <w:highlight w:val="darkGray"/>
        </w:rPr>
      </w:pPr>
      <w:r w:rsidRPr="00B9629C">
        <w:rPr>
          <w:highlight w:val="darkGray"/>
        </w:rPr>
        <w:t>*For guidance on the step-up adherence package, refer to the National adherence guidelines.</w:t>
      </w:r>
      <w:r w:rsidR="00851B8B" w:rsidRPr="00B9629C">
        <w:rPr>
          <w:highlight w:val="darkGray"/>
        </w:rPr>
        <w:t xml:space="preserve"> </w:t>
      </w:r>
      <w:hyperlink r:id="rId26" w:history="1">
        <w:r w:rsidR="00B37A0D" w:rsidRPr="00B9629C">
          <w:rPr>
            <w:rStyle w:val="Hyperlink"/>
            <w:highlight w:val="darkGray"/>
          </w:rPr>
          <w:t>https://www.nacosa.org.za/wp-content/uploads/2016/11/Integrated-Adherence-Guidelines-NDOH.pdf</w:t>
        </w:r>
      </w:hyperlink>
    </w:p>
    <w:p w14:paraId="4AF4FC51" w14:textId="77777777" w:rsidR="00B37A0D" w:rsidRPr="00B9629C" w:rsidRDefault="00B37A0D" w:rsidP="00B37A0D">
      <w:pPr>
        <w:pStyle w:val="NoSpacing"/>
        <w:rPr>
          <w:b/>
          <w:highlight w:val="darkGray"/>
        </w:rPr>
      </w:pPr>
    </w:p>
    <w:p w14:paraId="0727F416" w14:textId="77777777" w:rsidR="00CF392C" w:rsidRPr="00B9629C" w:rsidRDefault="00CF392C" w:rsidP="00CF392C">
      <w:pPr>
        <w:pStyle w:val="NoSpacing"/>
        <w:jc w:val="both"/>
        <w:rPr>
          <w:b/>
          <w:highlight w:val="darkGray"/>
        </w:rPr>
      </w:pPr>
      <w:r w:rsidRPr="00B9629C">
        <w:rPr>
          <w:b/>
          <w:highlight w:val="darkGray"/>
        </w:rPr>
        <w:t>Third-line (patients failing ALD2)</w:t>
      </w:r>
    </w:p>
    <w:p w14:paraId="22CBADF6" w14:textId="77777777" w:rsidR="00CF392C" w:rsidRPr="00B9629C" w:rsidRDefault="00CF392C" w:rsidP="00CF392C">
      <w:pPr>
        <w:pStyle w:val="NoSpacing"/>
        <w:jc w:val="both"/>
        <w:rPr>
          <w:highlight w:val="darkGray"/>
        </w:rPr>
      </w:pPr>
      <w:r w:rsidRPr="00B9629C">
        <w:rPr>
          <w:highlight w:val="darkGray"/>
        </w:rPr>
        <w:t xml:space="preserve">Discuss with expert </w:t>
      </w:r>
    </w:p>
    <w:p w14:paraId="7ADD7228" w14:textId="77777777" w:rsidR="00CF392C" w:rsidRPr="00B9629C" w:rsidRDefault="00CF392C" w:rsidP="00CF392C">
      <w:pPr>
        <w:pStyle w:val="NoSpacing"/>
        <w:jc w:val="both"/>
        <w:rPr>
          <w:highlight w:val="darkGray"/>
        </w:rPr>
      </w:pPr>
    </w:p>
    <w:p w14:paraId="1C7166CA" w14:textId="328619DD" w:rsidR="00CF392C" w:rsidRPr="00B9629C" w:rsidRDefault="00CF392C" w:rsidP="00F7195A">
      <w:pPr>
        <w:pStyle w:val="NoSpacing"/>
        <w:numPr>
          <w:ilvl w:val="0"/>
          <w:numId w:val="33"/>
        </w:numPr>
        <w:ind w:left="0" w:firstLine="0"/>
        <w:rPr>
          <w:rStyle w:val="Hyperlink"/>
          <w:color w:val="auto"/>
          <w:highlight w:val="darkGray"/>
          <w:u w:val="none"/>
        </w:rPr>
      </w:pPr>
      <w:r w:rsidRPr="00B9629C">
        <w:rPr>
          <w:highlight w:val="darkGray"/>
        </w:rPr>
        <w:t>Application forms for third-line antiretroviral therapy (patients failing ALD2) can be accessed at the following link:</w:t>
      </w:r>
      <w:r w:rsidR="00B37A0D" w:rsidRPr="00B9629C">
        <w:rPr>
          <w:highlight w:val="darkGray"/>
        </w:rPr>
        <w:t xml:space="preserve"> </w:t>
      </w:r>
      <w:hyperlink r:id="rId27" w:history="1">
        <w:r w:rsidR="00985A1C" w:rsidRPr="00B9629C">
          <w:rPr>
            <w:rStyle w:val="Hyperlink"/>
            <w:highlight w:val="darkGray"/>
          </w:rPr>
          <w:t>https://knowledgehub.health.gov.za/elibrary/third-line-antiretrovirals</w:t>
        </w:r>
      </w:hyperlink>
      <w:r w:rsidR="00985A1C" w:rsidRPr="00B9629C">
        <w:rPr>
          <w:highlight w:val="darkGray"/>
        </w:rPr>
        <w:t xml:space="preserve">. </w:t>
      </w:r>
    </w:p>
    <w:p w14:paraId="45810968" w14:textId="1E1D0FC7" w:rsidR="00CF392C" w:rsidRPr="00B9629C" w:rsidRDefault="00CF392C" w:rsidP="00CF392C">
      <w:pPr>
        <w:pStyle w:val="NoSpacing"/>
        <w:jc w:val="both"/>
        <w:rPr>
          <w:highlight w:val="darkGray"/>
        </w:rPr>
      </w:pPr>
      <w:r w:rsidRPr="00B9629C">
        <w:rPr>
          <w:highlight w:val="darkGray"/>
        </w:rPr>
        <w:t xml:space="preserve">» Important information to assist in applying for third-line antiretrovirals can be found at </w:t>
      </w:r>
      <w:hyperlink r:id="rId28" w:history="1">
        <w:r w:rsidR="00985A1C" w:rsidRPr="00B9629C">
          <w:rPr>
            <w:rStyle w:val="Hyperlink"/>
            <w:highlight w:val="darkGray"/>
          </w:rPr>
          <w:t>https://knowledgehub.health.gov.za/elibrary/third-line-antiretrovirals</w:t>
        </w:r>
      </w:hyperlink>
      <w:r w:rsidR="00985A1C" w:rsidRPr="00B9629C">
        <w:rPr>
          <w:highlight w:val="darkGray"/>
        </w:rPr>
        <w:t xml:space="preserve">. </w:t>
      </w:r>
    </w:p>
    <w:tbl>
      <w:tblPr>
        <w:tblpPr w:leftFromText="180" w:rightFromText="180" w:vertAnchor="text" w:horzAnchor="margin" w:tblpXSpec="right" w:tblpY="60"/>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CF392C" w:rsidRPr="00B9629C" w14:paraId="39B16BE4" w14:textId="77777777" w:rsidTr="00096D74">
        <w:tc>
          <w:tcPr>
            <w:tcW w:w="907" w:type="dxa"/>
            <w:shd w:val="clear" w:color="auto" w:fill="auto"/>
          </w:tcPr>
          <w:p w14:paraId="0252B333" w14:textId="77777777" w:rsidR="00CF392C" w:rsidRPr="00B9629C" w:rsidRDefault="00CF392C" w:rsidP="00096D74">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LoE:IIIb</w:t>
            </w:r>
            <w:r w:rsidRPr="00B9629C">
              <w:rPr>
                <w:rStyle w:val="EndnoteReference"/>
                <w:sz w:val="14"/>
                <w:szCs w:val="14"/>
                <w:highlight w:val="darkGray"/>
              </w:rPr>
              <w:endnoteReference w:id="53"/>
            </w:r>
          </w:p>
        </w:tc>
      </w:tr>
    </w:tbl>
    <w:p w14:paraId="6684E4CB" w14:textId="5BF2FE89" w:rsidR="00CF392C" w:rsidRPr="00B9629C" w:rsidRDefault="00CF392C" w:rsidP="00CF392C">
      <w:pPr>
        <w:pStyle w:val="NoSpacing"/>
        <w:jc w:val="both"/>
        <w:rPr>
          <w:highlight w:val="darkGray"/>
        </w:rPr>
      </w:pPr>
      <w:r w:rsidRPr="00B9629C">
        <w:rPr>
          <w:highlight w:val="darkGray"/>
        </w:rPr>
        <w:t xml:space="preserve">Applications can be emailed to </w:t>
      </w:r>
      <w:hyperlink r:id="rId29" w:history="1">
        <w:r w:rsidRPr="00B9629C">
          <w:rPr>
            <w:rStyle w:val="Hyperlink"/>
            <w:highlight w:val="darkGray"/>
          </w:rPr>
          <w:t>TLART@health.gov.za</w:t>
        </w:r>
      </w:hyperlink>
      <w:r w:rsidR="00985A1C" w:rsidRPr="00B9629C">
        <w:rPr>
          <w:highlight w:val="darkGray"/>
        </w:rPr>
        <w:t>.</w:t>
      </w:r>
    </w:p>
    <w:p w14:paraId="134A1DDC" w14:textId="77777777" w:rsidR="00CF392C" w:rsidRPr="00B9629C" w:rsidRDefault="00CF392C" w:rsidP="00CF392C">
      <w:pPr>
        <w:pStyle w:val="NoSpacing"/>
        <w:jc w:val="both"/>
        <w:rPr>
          <w:highlight w:val="darkGray"/>
        </w:rPr>
      </w:pPr>
    </w:p>
    <w:p w14:paraId="0109FAA8" w14:textId="77777777" w:rsidR="003156EB" w:rsidRPr="00B9629C" w:rsidRDefault="003156EB" w:rsidP="00F52919">
      <w:pPr>
        <w:pStyle w:val="NoSpacing"/>
        <w:jc w:val="both"/>
        <w:rPr>
          <w:b/>
          <w:highlight w:val="darkGray"/>
        </w:rPr>
      </w:pPr>
    </w:p>
    <w:p w14:paraId="76E1A611" w14:textId="77777777" w:rsidR="003156EB" w:rsidRPr="00B9629C" w:rsidRDefault="003156EB" w:rsidP="00F52919">
      <w:pPr>
        <w:pStyle w:val="NoSpacing"/>
        <w:jc w:val="both"/>
        <w:rPr>
          <w:b/>
          <w:highlight w:val="darkGray"/>
        </w:rPr>
      </w:pPr>
    </w:p>
    <w:p w14:paraId="49ACCC5E" w14:textId="77777777" w:rsidR="003156EB" w:rsidRPr="00B9629C" w:rsidRDefault="003156EB" w:rsidP="00F52919">
      <w:pPr>
        <w:pStyle w:val="NoSpacing"/>
        <w:jc w:val="both"/>
        <w:rPr>
          <w:b/>
          <w:highlight w:val="darkGray"/>
        </w:rPr>
      </w:pPr>
    </w:p>
    <w:p w14:paraId="052910A3" w14:textId="77777777" w:rsidR="003156EB" w:rsidRPr="00B9629C" w:rsidRDefault="003156EB" w:rsidP="00F52919">
      <w:pPr>
        <w:pStyle w:val="NoSpacing"/>
        <w:jc w:val="both"/>
        <w:rPr>
          <w:b/>
          <w:highlight w:val="darkGray"/>
        </w:rPr>
      </w:pPr>
    </w:p>
    <w:p w14:paraId="136FF291" w14:textId="77777777" w:rsidR="003156EB" w:rsidRPr="00B9629C" w:rsidRDefault="003156EB" w:rsidP="00F52919">
      <w:pPr>
        <w:pStyle w:val="NoSpacing"/>
        <w:jc w:val="both"/>
        <w:rPr>
          <w:b/>
          <w:highlight w:val="darkGray"/>
        </w:rPr>
      </w:pPr>
    </w:p>
    <w:p w14:paraId="48B964BD" w14:textId="77777777" w:rsidR="003156EB" w:rsidRPr="00B9629C" w:rsidRDefault="003156EB" w:rsidP="00F52919">
      <w:pPr>
        <w:pStyle w:val="NoSpacing"/>
        <w:jc w:val="both"/>
        <w:rPr>
          <w:b/>
          <w:highlight w:val="darkGray"/>
        </w:rPr>
      </w:pPr>
    </w:p>
    <w:p w14:paraId="0B5A8C1E" w14:textId="77777777" w:rsidR="003156EB" w:rsidRPr="00B9629C" w:rsidRDefault="003156EB" w:rsidP="00F52919">
      <w:pPr>
        <w:pStyle w:val="NoSpacing"/>
        <w:jc w:val="both"/>
        <w:rPr>
          <w:b/>
          <w:highlight w:val="darkGray"/>
        </w:rPr>
      </w:pPr>
    </w:p>
    <w:p w14:paraId="2BBE0C21" w14:textId="77777777" w:rsidR="003156EB" w:rsidRPr="00B9629C" w:rsidRDefault="003156EB" w:rsidP="00F52919">
      <w:pPr>
        <w:pStyle w:val="NoSpacing"/>
        <w:jc w:val="both"/>
        <w:rPr>
          <w:b/>
          <w:highlight w:val="darkGray"/>
        </w:rPr>
      </w:pPr>
    </w:p>
    <w:p w14:paraId="34E40E6D" w14:textId="77777777" w:rsidR="003156EB" w:rsidRPr="00B9629C" w:rsidRDefault="003156EB" w:rsidP="00F52919">
      <w:pPr>
        <w:pStyle w:val="NoSpacing"/>
        <w:jc w:val="both"/>
        <w:rPr>
          <w:b/>
          <w:highlight w:val="darkGray"/>
        </w:rPr>
      </w:pPr>
    </w:p>
    <w:p w14:paraId="2C0A4D88" w14:textId="77777777" w:rsidR="003156EB" w:rsidRPr="00B9629C" w:rsidRDefault="003156EB" w:rsidP="00F52919">
      <w:pPr>
        <w:pStyle w:val="NoSpacing"/>
        <w:jc w:val="both"/>
        <w:rPr>
          <w:b/>
          <w:highlight w:val="darkGray"/>
        </w:rPr>
      </w:pPr>
    </w:p>
    <w:p w14:paraId="224D1D65" w14:textId="77777777" w:rsidR="003156EB" w:rsidRPr="00B9629C" w:rsidRDefault="003156EB" w:rsidP="00F52919">
      <w:pPr>
        <w:pStyle w:val="NoSpacing"/>
        <w:jc w:val="both"/>
        <w:rPr>
          <w:b/>
          <w:highlight w:val="darkGray"/>
        </w:rPr>
      </w:pPr>
    </w:p>
    <w:p w14:paraId="036D6E02" w14:textId="77777777" w:rsidR="003156EB" w:rsidRPr="00B9629C" w:rsidRDefault="003156EB" w:rsidP="00F52919">
      <w:pPr>
        <w:pStyle w:val="NoSpacing"/>
        <w:jc w:val="both"/>
        <w:rPr>
          <w:b/>
          <w:highlight w:val="darkGray"/>
        </w:rPr>
      </w:pPr>
    </w:p>
    <w:p w14:paraId="727EEA8B" w14:textId="77777777" w:rsidR="005D71A2" w:rsidRPr="00B9629C" w:rsidRDefault="005D71A2" w:rsidP="00F52919">
      <w:pPr>
        <w:pStyle w:val="NoSpacing"/>
        <w:jc w:val="both"/>
        <w:rPr>
          <w:b/>
          <w:highlight w:val="darkGray"/>
        </w:rPr>
      </w:pPr>
    </w:p>
    <w:p w14:paraId="09F8B882" w14:textId="77777777" w:rsidR="005D71A2" w:rsidRPr="00B9629C" w:rsidRDefault="005D71A2" w:rsidP="00F52919">
      <w:pPr>
        <w:pStyle w:val="NoSpacing"/>
        <w:jc w:val="both"/>
        <w:rPr>
          <w:b/>
          <w:highlight w:val="darkGray"/>
        </w:rPr>
      </w:pPr>
    </w:p>
    <w:p w14:paraId="25CAF6D2" w14:textId="77777777" w:rsidR="005D71A2" w:rsidRPr="00B9629C" w:rsidRDefault="005D71A2" w:rsidP="00F52919">
      <w:pPr>
        <w:pStyle w:val="NoSpacing"/>
        <w:jc w:val="both"/>
        <w:rPr>
          <w:b/>
          <w:highlight w:val="darkGray"/>
        </w:rPr>
      </w:pPr>
    </w:p>
    <w:p w14:paraId="766B947A" w14:textId="77777777" w:rsidR="005D71A2" w:rsidRPr="00B9629C" w:rsidRDefault="005D71A2" w:rsidP="00F52919">
      <w:pPr>
        <w:pStyle w:val="NoSpacing"/>
        <w:jc w:val="both"/>
        <w:rPr>
          <w:b/>
          <w:highlight w:val="darkGray"/>
        </w:rPr>
      </w:pPr>
    </w:p>
    <w:p w14:paraId="206DECC9" w14:textId="77777777" w:rsidR="005D71A2" w:rsidRPr="00B9629C" w:rsidRDefault="005D71A2" w:rsidP="00F52919">
      <w:pPr>
        <w:pStyle w:val="NoSpacing"/>
        <w:jc w:val="both"/>
        <w:rPr>
          <w:b/>
          <w:highlight w:val="darkGray"/>
        </w:rPr>
      </w:pPr>
    </w:p>
    <w:p w14:paraId="342195D7" w14:textId="77777777" w:rsidR="005D71A2" w:rsidRPr="00B9629C" w:rsidRDefault="005D71A2" w:rsidP="00F52919">
      <w:pPr>
        <w:pStyle w:val="NoSpacing"/>
        <w:jc w:val="both"/>
        <w:rPr>
          <w:b/>
          <w:highlight w:val="darkGray"/>
        </w:rPr>
      </w:pPr>
    </w:p>
    <w:tbl>
      <w:tblPr>
        <w:tblStyle w:val="TableGrid"/>
        <w:tblpPr w:leftFromText="180" w:rightFromText="180" w:vertAnchor="text" w:horzAnchor="margin" w:tblpY="-41"/>
        <w:tblW w:w="0" w:type="auto"/>
        <w:tblLook w:val="04A0" w:firstRow="1" w:lastRow="0" w:firstColumn="1" w:lastColumn="0" w:noHBand="0" w:noVBand="1"/>
      </w:tblPr>
      <w:tblGrid>
        <w:gridCol w:w="6681"/>
      </w:tblGrid>
      <w:tr w:rsidR="00494AA5" w:rsidRPr="00B9629C" w14:paraId="0E802C65" w14:textId="77777777" w:rsidTr="00494AA5">
        <w:tc>
          <w:tcPr>
            <w:tcW w:w="6681" w:type="dxa"/>
          </w:tcPr>
          <w:p w14:paraId="5C859444" w14:textId="77777777" w:rsidR="00494AA5" w:rsidRPr="00B9629C" w:rsidRDefault="00494AA5" w:rsidP="00494AA5">
            <w:pPr>
              <w:pStyle w:val="NoSpacing"/>
              <w:jc w:val="center"/>
              <w:rPr>
                <w:noProof/>
                <w:highlight w:val="darkGray"/>
                <w:lang w:val="en-US"/>
              </w:rPr>
            </w:pPr>
            <w:r w:rsidRPr="00B9629C">
              <w:rPr>
                <w:b/>
                <w:highlight w:val="darkGray"/>
              </w:rPr>
              <w:lastRenderedPageBreak/>
              <w:t>Management of confirmed virological failure in adolescents on TLD</w:t>
            </w:r>
          </w:p>
          <w:p w14:paraId="0B95D7B0" w14:textId="77777777" w:rsidR="00494AA5" w:rsidRPr="00B9629C" w:rsidRDefault="00494AA5" w:rsidP="00494AA5">
            <w:pPr>
              <w:pStyle w:val="NoSpacing"/>
              <w:jc w:val="both"/>
              <w:rPr>
                <w:highlight w:val="darkGray"/>
              </w:rPr>
            </w:pPr>
            <w:r w:rsidRPr="00B9629C">
              <w:rPr>
                <w:noProof/>
                <w:highlight w:val="darkGray"/>
                <w:lang w:eastAsia="en-ZA"/>
              </w:rPr>
              <w:drawing>
                <wp:inline distT="0" distB="0" distL="0" distR="0" wp14:anchorId="6633CDAB" wp14:editId="6C66150D">
                  <wp:extent cx="4248150" cy="563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48150" cy="5638800"/>
                          </a:xfrm>
                          <a:prstGeom prst="rect">
                            <a:avLst/>
                          </a:prstGeom>
                        </pic:spPr>
                      </pic:pic>
                    </a:graphicData>
                  </a:graphic>
                </wp:inline>
              </w:drawing>
            </w:r>
          </w:p>
        </w:tc>
      </w:tr>
    </w:tbl>
    <w:p w14:paraId="2C15A6FF" w14:textId="469BC948" w:rsidR="00342ED5" w:rsidRPr="00B9629C" w:rsidRDefault="00EE2964" w:rsidP="00342ED5">
      <w:pPr>
        <w:pStyle w:val="NoSpacing"/>
        <w:rPr>
          <w:rFonts w:eastAsia="Calibri" w:cs="Times New Roman"/>
          <w:sz w:val="16"/>
          <w:szCs w:val="16"/>
          <w:highlight w:val="darkGray"/>
        </w:rPr>
      </w:pPr>
      <w:r w:rsidRPr="00B9629C">
        <w:rPr>
          <w:b/>
          <w:sz w:val="16"/>
          <w:highlight w:val="darkGray"/>
        </w:rPr>
        <w:t>Figure 11.</w:t>
      </w:r>
      <w:r w:rsidR="006E6BFE" w:rsidRPr="00B9629C">
        <w:rPr>
          <w:b/>
          <w:sz w:val="16"/>
          <w:highlight w:val="darkGray"/>
        </w:rPr>
        <w:t>8</w:t>
      </w:r>
      <w:r w:rsidRPr="00B9629C">
        <w:rPr>
          <w:b/>
          <w:sz w:val="16"/>
          <w:highlight w:val="darkGray"/>
        </w:rPr>
        <w:t>:</w:t>
      </w:r>
      <w:r w:rsidRPr="00B9629C">
        <w:rPr>
          <w:sz w:val="16"/>
          <w:highlight w:val="darkGray"/>
        </w:rPr>
        <w:t xml:space="preserve"> </w:t>
      </w:r>
      <w:r w:rsidR="00A42C9C" w:rsidRPr="00B9629C">
        <w:rPr>
          <w:sz w:val="16"/>
          <w:highlight w:val="darkGray"/>
        </w:rPr>
        <w:t xml:space="preserve">Management of confirmed virological failure in adolescents on TLD </w:t>
      </w:r>
      <w:r w:rsidR="00A42C9C" w:rsidRPr="00B9629C">
        <w:rPr>
          <w:sz w:val="16"/>
          <w:szCs w:val="16"/>
          <w:highlight w:val="darkGray"/>
        </w:rPr>
        <w:t xml:space="preserve">(adopted from the NDoH </w:t>
      </w:r>
      <w:r w:rsidR="00A42C9C" w:rsidRPr="00B9629C">
        <w:rPr>
          <w:rFonts w:eastAsia="Calibri" w:cs="Times New Roman"/>
          <w:sz w:val="16"/>
          <w:szCs w:val="16"/>
          <w:highlight w:val="darkGray"/>
        </w:rPr>
        <w:t>2023 ART Clinical Guidelines for the Management of HIV in Adults, Pregnancy and Breastfeeding, Adolescents, Children, Infants and Neonates).</w:t>
      </w:r>
      <w:r w:rsidR="00342ED5" w:rsidRPr="00B9629C">
        <w:rPr>
          <w:color w:val="000000"/>
          <w:sz w:val="16"/>
          <w:szCs w:val="16"/>
          <w:highlight w:val="darkGray"/>
        </w:rPr>
        <w:t>TLD1 = TLD as a first line ART regimen and TLD2 = TLD in patient who has failed a previous ART regimen</w:t>
      </w:r>
    </w:p>
    <w:tbl>
      <w:tblPr>
        <w:tblStyle w:val="TableGrid"/>
        <w:tblW w:w="6830" w:type="dxa"/>
        <w:tblLook w:val="04A0" w:firstRow="1" w:lastRow="0" w:firstColumn="1" w:lastColumn="0" w:noHBand="0" w:noVBand="1"/>
      </w:tblPr>
      <w:tblGrid>
        <w:gridCol w:w="6830"/>
      </w:tblGrid>
      <w:tr w:rsidR="00CA3931" w:rsidRPr="00B9629C" w14:paraId="0F9D28F1" w14:textId="77777777" w:rsidTr="00A42C9C">
        <w:trPr>
          <w:trHeight w:val="9291"/>
        </w:trPr>
        <w:tc>
          <w:tcPr>
            <w:tcW w:w="6830" w:type="dxa"/>
          </w:tcPr>
          <w:p w14:paraId="2B7ECA24" w14:textId="57DBEA4A" w:rsidR="003156EB" w:rsidRPr="00B9629C" w:rsidRDefault="00A42C9C" w:rsidP="00FE74E1">
            <w:pPr>
              <w:jc w:val="center"/>
              <w:rPr>
                <w:b/>
                <w:highlight w:val="darkGray"/>
              </w:rPr>
            </w:pPr>
            <w:r w:rsidRPr="00B9629C">
              <w:rPr>
                <w:b/>
                <w:highlight w:val="darkGray"/>
              </w:rPr>
              <w:lastRenderedPageBreak/>
              <w:t>V</w:t>
            </w:r>
            <w:r w:rsidR="003156EB" w:rsidRPr="00B9629C">
              <w:rPr>
                <w:b/>
                <w:highlight w:val="darkGray"/>
              </w:rPr>
              <w:t>iral Load Monitoring for clients on TLD</w:t>
            </w:r>
          </w:p>
          <w:p w14:paraId="2AB80E5F" w14:textId="77777777" w:rsidR="00CA3931" w:rsidRPr="00B9629C" w:rsidRDefault="00CA3931" w:rsidP="00CA3931">
            <w:pPr>
              <w:jc w:val="both"/>
              <w:rPr>
                <w:b/>
                <w:highlight w:val="darkGray"/>
              </w:rPr>
            </w:pPr>
            <w:r w:rsidRPr="00B9629C">
              <w:rPr>
                <w:b/>
                <w:noProof/>
                <w:highlight w:val="darkGray"/>
                <w:lang w:eastAsia="en-ZA"/>
              </w:rPr>
              <w:drawing>
                <wp:inline distT="0" distB="0" distL="0" distR="0" wp14:anchorId="71F49C9B" wp14:editId="367A1651">
                  <wp:extent cx="4007485" cy="5516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8361" cy="5545619"/>
                          </a:xfrm>
                          <a:prstGeom prst="rect">
                            <a:avLst/>
                          </a:prstGeom>
                        </pic:spPr>
                      </pic:pic>
                    </a:graphicData>
                  </a:graphic>
                </wp:inline>
              </w:drawing>
            </w:r>
          </w:p>
          <w:p w14:paraId="74E4FBCF" w14:textId="6185B043" w:rsidR="00A42C9C" w:rsidRPr="00B9629C" w:rsidRDefault="00A42C9C" w:rsidP="00CB4FCF">
            <w:pPr>
              <w:pStyle w:val="NoSpacing"/>
              <w:jc w:val="both"/>
              <w:rPr>
                <w:b/>
                <w:highlight w:val="darkGray"/>
              </w:rPr>
            </w:pPr>
            <w:r w:rsidRPr="00B9629C">
              <w:rPr>
                <w:b/>
                <w:sz w:val="16"/>
                <w:highlight w:val="darkGray"/>
              </w:rPr>
              <w:t>Figure 11.</w:t>
            </w:r>
            <w:r w:rsidR="006E6BFE" w:rsidRPr="00B9629C">
              <w:rPr>
                <w:b/>
                <w:sz w:val="16"/>
                <w:highlight w:val="darkGray"/>
              </w:rPr>
              <w:t>9</w:t>
            </w:r>
            <w:r w:rsidRPr="00B9629C">
              <w:rPr>
                <w:sz w:val="16"/>
                <w:highlight w:val="darkGray"/>
              </w:rPr>
              <w:t xml:space="preserve">: Viral load monitoring for clients on TLD </w:t>
            </w:r>
            <w:r w:rsidRPr="00B9629C">
              <w:rPr>
                <w:sz w:val="16"/>
                <w:szCs w:val="16"/>
                <w:highlight w:val="darkGray"/>
              </w:rPr>
              <w:t xml:space="preserve">(adopted from the NDoH </w:t>
            </w:r>
            <w:r w:rsidRPr="00B9629C">
              <w:rPr>
                <w:rFonts w:eastAsia="Calibri" w:cs="Times New Roman"/>
                <w:sz w:val="16"/>
                <w:szCs w:val="16"/>
                <w:highlight w:val="darkGray"/>
              </w:rPr>
              <w:t>2023 ART Clinical Guidelines for the Management of HIV in Adults, Pregnancy and Breastfeeding, Adolescents, Children, Infants and Neonates).</w:t>
            </w:r>
          </w:p>
        </w:tc>
      </w:tr>
    </w:tbl>
    <w:p w14:paraId="7009ACCF" w14:textId="41FAD2D6" w:rsidR="00CF392C" w:rsidRPr="00B9629C" w:rsidRDefault="00CF392C" w:rsidP="00CF392C">
      <w:pPr>
        <w:pStyle w:val="NoSpacing"/>
        <w:rPr>
          <w:sz w:val="16"/>
          <w:highlight w:val="darkGray"/>
        </w:rPr>
      </w:pPr>
    </w:p>
    <w:p w14:paraId="0D18FC61" w14:textId="77777777" w:rsidR="00A42C9C" w:rsidRPr="00B9629C" w:rsidRDefault="00A42C9C" w:rsidP="00E5138C">
      <w:pPr>
        <w:pStyle w:val="NoSpacing"/>
        <w:rPr>
          <w:b/>
          <w:bCs/>
          <w:highlight w:val="darkGray"/>
        </w:rPr>
        <w:sectPr w:rsidR="00A42C9C" w:rsidRPr="00B9629C" w:rsidSect="00017245">
          <w:endnotePr>
            <w:numFmt w:val="decimal"/>
          </w:endnotePr>
          <w:pgSz w:w="8391" w:h="11906" w:code="11"/>
          <w:pgMar w:top="850" w:right="850" w:bottom="850" w:left="850" w:header="709" w:footer="709" w:gutter="0"/>
          <w:pgNumType w:chapStyle="1" w:chapSep="period"/>
          <w:cols w:space="708"/>
          <w:docGrid w:linePitch="360"/>
        </w:sectPr>
      </w:pPr>
    </w:p>
    <w:p w14:paraId="2FB1C3C9" w14:textId="068DE864" w:rsidR="005749CE" w:rsidRPr="00B9629C" w:rsidRDefault="005749CE" w:rsidP="00E5138C">
      <w:pPr>
        <w:pStyle w:val="NoSpacing"/>
        <w:rPr>
          <w:b/>
          <w:bCs/>
          <w:highlight w:val="darkGray"/>
        </w:rPr>
      </w:pPr>
      <w:r w:rsidRPr="00B9629C">
        <w:rPr>
          <w:b/>
          <w:bCs/>
          <w:highlight w:val="darkGray"/>
        </w:rPr>
        <w:lastRenderedPageBreak/>
        <w:t>ART dosing tables for infants and children</w:t>
      </w:r>
    </w:p>
    <w:p w14:paraId="31D097FA" w14:textId="64115B16" w:rsidR="00E32922" w:rsidRPr="00B9629C" w:rsidRDefault="00E32922" w:rsidP="00E5138C">
      <w:pPr>
        <w:pStyle w:val="NoSpacing"/>
        <w:rPr>
          <w:sz w:val="16"/>
          <w:highlight w:val="darkGray"/>
        </w:rPr>
      </w:pPr>
    </w:p>
    <w:p w14:paraId="08E0586E" w14:textId="08CBE3BA" w:rsidR="00E32922" w:rsidRPr="00B9629C" w:rsidRDefault="00CE651E" w:rsidP="00E5138C">
      <w:pPr>
        <w:pStyle w:val="NoSpacing"/>
        <w:rPr>
          <w:sz w:val="16"/>
          <w:highlight w:val="darkGray"/>
        </w:rPr>
      </w:pPr>
      <w:r w:rsidRPr="00B9629C">
        <w:rPr>
          <w:noProof/>
          <w:sz w:val="16"/>
          <w:highlight w:val="darkGray"/>
          <w:lang w:eastAsia="en-ZA"/>
        </w:rPr>
        <w:drawing>
          <wp:inline distT="0" distB="0" distL="0" distR="0" wp14:anchorId="10EC15F6" wp14:editId="41F40AB7">
            <wp:extent cx="6807605" cy="342548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15088" cy="3429248"/>
                    </a:xfrm>
                    <a:prstGeom prst="rect">
                      <a:avLst/>
                    </a:prstGeom>
                  </pic:spPr>
                </pic:pic>
              </a:graphicData>
            </a:graphic>
          </wp:inline>
        </w:drawing>
      </w:r>
    </w:p>
    <w:p w14:paraId="1A20B681" w14:textId="0FC37AC1" w:rsidR="005749CE" w:rsidRPr="00B9629C" w:rsidRDefault="005749CE" w:rsidP="005749CE">
      <w:pPr>
        <w:pStyle w:val="NoSpacing"/>
        <w:rPr>
          <w:sz w:val="16"/>
          <w:highlight w:val="darkGray"/>
        </w:rPr>
      </w:pPr>
      <w:r w:rsidRPr="00B9629C">
        <w:rPr>
          <w:b/>
          <w:sz w:val="16"/>
          <w:highlight w:val="darkGray"/>
        </w:rPr>
        <w:t>Table 11.1</w:t>
      </w:r>
      <w:r w:rsidR="004A6630" w:rsidRPr="00B9629C">
        <w:rPr>
          <w:b/>
          <w:sz w:val="16"/>
          <w:highlight w:val="darkGray"/>
        </w:rPr>
        <w:t>2</w:t>
      </w:r>
      <w:r w:rsidRPr="00B9629C">
        <w:rPr>
          <w:b/>
          <w:sz w:val="16"/>
          <w:highlight w:val="darkGray"/>
        </w:rPr>
        <w:t>:</w:t>
      </w:r>
      <w:r w:rsidRPr="00B9629C">
        <w:rPr>
          <w:sz w:val="16"/>
          <w:highlight w:val="darkGray"/>
        </w:rPr>
        <w:t xml:space="preserve"> ART dosing tables for infants and children</w:t>
      </w:r>
      <w:r w:rsidR="00A42C9C" w:rsidRPr="00B9629C">
        <w:rPr>
          <w:sz w:val="16"/>
          <w:highlight w:val="darkGray"/>
        </w:rPr>
        <w:t xml:space="preserve"> </w:t>
      </w:r>
      <w:r w:rsidR="00A42C9C" w:rsidRPr="00B9629C">
        <w:rPr>
          <w:sz w:val="16"/>
          <w:szCs w:val="16"/>
          <w:highlight w:val="darkGray"/>
        </w:rPr>
        <w:t xml:space="preserve">(adopted from the NDoH </w:t>
      </w:r>
      <w:r w:rsidR="00A42C9C" w:rsidRPr="00B9629C">
        <w:rPr>
          <w:rFonts w:eastAsia="Calibri" w:cs="Times New Roman"/>
          <w:sz w:val="16"/>
          <w:szCs w:val="16"/>
          <w:highlight w:val="darkGray"/>
        </w:rPr>
        <w:t>2023 ART Clinical Guidelines for the Management of HIV in Adults, Pregnancy and Breastfeeding, Adolescents, Children, Infants and Neonates).</w:t>
      </w:r>
    </w:p>
    <w:p w14:paraId="2A6C5C61" w14:textId="77777777" w:rsidR="005749CE" w:rsidRPr="00B9629C" w:rsidRDefault="005749CE" w:rsidP="00E5138C">
      <w:pPr>
        <w:pStyle w:val="NoSpacing"/>
        <w:rPr>
          <w:sz w:val="16"/>
          <w:highlight w:val="darkGray"/>
        </w:rPr>
      </w:pPr>
    </w:p>
    <w:p w14:paraId="1BDE1C79" w14:textId="1683D35F" w:rsidR="00CE651E" w:rsidRPr="00B9629C" w:rsidRDefault="00CE651E" w:rsidP="00E5138C">
      <w:pPr>
        <w:pStyle w:val="NoSpacing"/>
        <w:rPr>
          <w:sz w:val="16"/>
          <w:highlight w:val="darkGray"/>
        </w:rPr>
      </w:pPr>
      <w:r w:rsidRPr="00B9629C">
        <w:rPr>
          <w:noProof/>
          <w:sz w:val="16"/>
          <w:highlight w:val="darkGray"/>
          <w:lang w:eastAsia="en-ZA"/>
        </w:rPr>
        <w:lastRenderedPageBreak/>
        <w:drawing>
          <wp:inline distT="0" distB="0" distL="0" distR="0" wp14:anchorId="5A50AD2A" wp14:editId="08F8637A">
            <wp:extent cx="6480175" cy="33267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3326765"/>
                    </a:xfrm>
                    <a:prstGeom prst="rect">
                      <a:avLst/>
                    </a:prstGeom>
                  </pic:spPr>
                </pic:pic>
              </a:graphicData>
            </a:graphic>
          </wp:inline>
        </w:drawing>
      </w:r>
    </w:p>
    <w:p w14:paraId="20B665DE" w14:textId="5CCDF205" w:rsidR="005749CE" w:rsidRPr="00B9629C" w:rsidRDefault="005749CE" w:rsidP="005749CE">
      <w:pPr>
        <w:pStyle w:val="NoSpacing"/>
        <w:rPr>
          <w:sz w:val="16"/>
          <w:highlight w:val="darkGray"/>
        </w:rPr>
      </w:pPr>
      <w:r w:rsidRPr="00B9629C">
        <w:rPr>
          <w:b/>
          <w:sz w:val="16"/>
          <w:highlight w:val="darkGray"/>
        </w:rPr>
        <w:t>Table 11.1</w:t>
      </w:r>
      <w:r w:rsidR="004A6630" w:rsidRPr="00B9629C">
        <w:rPr>
          <w:b/>
          <w:sz w:val="16"/>
          <w:highlight w:val="darkGray"/>
        </w:rPr>
        <w:t>2</w:t>
      </w:r>
      <w:r w:rsidRPr="00B9629C">
        <w:rPr>
          <w:b/>
          <w:sz w:val="16"/>
          <w:highlight w:val="darkGray"/>
        </w:rPr>
        <w:t>:</w:t>
      </w:r>
      <w:r w:rsidRPr="00B9629C">
        <w:rPr>
          <w:sz w:val="16"/>
          <w:highlight w:val="darkGray"/>
        </w:rPr>
        <w:t xml:space="preserve"> ART dosing tables for infants and children (continued)</w:t>
      </w:r>
      <w:r w:rsidR="00A42C9C" w:rsidRPr="00B9629C">
        <w:rPr>
          <w:sz w:val="16"/>
          <w:highlight w:val="darkGray"/>
        </w:rPr>
        <w:t xml:space="preserve"> </w:t>
      </w:r>
      <w:r w:rsidR="00A42C9C" w:rsidRPr="00B9629C">
        <w:rPr>
          <w:sz w:val="16"/>
          <w:szCs w:val="16"/>
          <w:highlight w:val="darkGray"/>
        </w:rPr>
        <w:t xml:space="preserve">(adopted from the NDoH </w:t>
      </w:r>
      <w:r w:rsidR="00A42C9C" w:rsidRPr="00B9629C">
        <w:rPr>
          <w:rFonts w:eastAsia="Calibri" w:cs="Times New Roman"/>
          <w:sz w:val="16"/>
          <w:szCs w:val="16"/>
          <w:highlight w:val="darkGray"/>
        </w:rPr>
        <w:t>2023 ART Clinical Guidelines for the Management of HIV in Adults, Pregnancy and Breastfeeding, Adolescents, Children, Infants and Neonates).</w:t>
      </w:r>
    </w:p>
    <w:p w14:paraId="6A34B701" w14:textId="77777777" w:rsidR="00CE651E" w:rsidRPr="00B9629C" w:rsidRDefault="00CE651E" w:rsidP="00E5138C">
      <w:pPr>
        <w:pStyle w:val="NoSpacing"/>
        <w:rPr>
          <w:sz w:val="16"/>
          <w:highlight w:val="darkGray"/>
        </w:rPr>
      </w:pPr>
    </w:p>
    <w:p w14:paraId="079BAB23" w14:textId="77777777" w:rsidR="00CE651E" w:rsidRPr="00B9629C" w:rsidRDefault="00CE651E" w:rsidP="00E5138C">
      <w:pPr>
        <w:pStyle w:val="NoSpacing"/>
        <w:rPr>
          <w:sz w:val="16"/>
          <w:highlight w:val="darkGray"/>
        </w:rPr>
      </w:pPr>
    </w:p>
    <w:p w14:paraId="5676AA18" w14:textId="77777777" w:rsidR="00CE651E" w:rsidRPr="00B9629C" w:rsidRDefault="00CE651E" w:rsidP="00E5138C">
      <w:pPr>
        <w:pStyle w:val="NoSpacing"/>
        <w:rPr>
          <w:sz w:val="16"/>
          <w:highlight w:val="darkGray"/>
        </w:rPr>
      </w:pPr>
    </w:p>
    <w:p w14:paraId="1A2123AC" w14:textId="77777777" w:rsidR="00CE651E" w:rsidRPr="00B9629C" w:rsidRDefault="00CE651E" w:rsidP="00E5138C">
      <w:pPr>
        <w:pStyle w:val="NoSpacing"/>
        <w:rPr>
          <w:sz w:val="16"/>
          <w:highlight w:val="darkGray"/>
        </w:rPr>
      </w:pPr>
    </w:p>
    <w:p w14:paraId="655F5569" w14:textId="77001194" w:rsidR="00CE651E" w:rsidRPr="00B9629C" w:rsidRDefault="00CE651E" w:rsidP="00E5138C">
      <w:pPr>
        <w:pStyle w:val="NoSpacing"/>
        <w:rPr>
          <w:sz w:val="16"/>
          <w:highlight w:val="darkGray"/>
        </w:rPr>
      </w:pPr>
      <w:r w:rsidRPr="00B9629C">
        <w:rPr>
          <w:noProof/>
          <w:sz w:val="16"/>
          <w:highlight w:val="darkGray"/>
          <w:lang w:eastAsia="en-ZA"/>
        </w:rPr>
        <w:drawing>
          <wp:inline distT="0" distB="0" distL="0" distR="0" wp14:anchorId="58AF5C2A" wp14:editId="1D712147">
            <wp:extent cx="6480175" cy="34563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175" cy="3456305"/>
                    </a:xfrm>
                    <a:prstGeom prst="rect">
                      <a:avLst/>
                    </a:prstGeom>
                  </pic:spPr>
                </pic:pic>
              </a:graphicData>
            </a:graphic>
          </wp:inline>
        </w:drawing>
      </w:r>
    </w:p>
    <w:p w14:paraId="13D45AD6" w14:textId="6D2C1E8D" w:rsidR="005749CE" w:rsidRPr="00B9629C" w:rsidRDefault="005749CE" w:rsidP="005749CE">
      <w:pPr>
        <w:pStyle w:val="NoSpacing"/>
        <w:rPr>
          <w:sz w:val="16"/>
          <w:highlight w:val="darkGray"/>
        </w:rPr>
      </w:pPr>
      <w:r w:rsidRPr="00B9629C">
        <w:rPr>
          <w:b/>
          <w:sz w:val="16"/>
          <w:highlight w:val="darkGray"/>
        </w:rPr>
        <w:t>Table 11.1</w:t>
      </w:r>
      <w:r w:rsidR="004A6630" w:rsidRPr="00B9629C">
        <w:rPr>
          <w:b/>
          <w:sz w:val="16"/>
          <w:highlight w:val="darkGray"/>
        </w:rPr>
        <w:t>2</w:t>
      </w:r>
      <w:r w:rsidRPr="00B9629C">
        <w:rPr>
          <w:sz w:val="16"/>
          <w:highlight w:val="darkGray"/>
        </w:rPr>
        <w:t>: ART dosing tables for infants and children (continued)</w:t>
      </w:r>
      <w:r w:rsidR="00A42C9C" w:rsidRPr="00B9629C">
        <w:rPr>
          <w:sz w:val="16"/>
          <w:highlight w:val="darkGray"/>
        </w:rPr>
        <w:t xml:space="preserve"> </w:t>
      </w:r>
      <w:r w:rsidR="00A42C9C" w:rsidRPr="00B9629C">
        <w:rPr>
          <w:sz w:val="16"/>
          <w:szCs w:val="16"/>
          <w:highlight w:val="darkGray"/>
        </w:rPr>
        <w:t xml:space="preserve">(adopted from the NDoH </w:t>
      </w:r>
      <w:r w:rsidR="00A42C9C" w:rsidRPr="00B9629C">
        <w:rPr>
          <w:rFonts w:eastAsia="Calibri" w:cs="Times New Roman"/>
          <w:sz w:val="16"/>
          <w:szCs w:val="16"/>
          <w:highlight w:val="darkGray"/>
        </w:rPr>
        <w:t>2023 ART Clinical Guidelines for the Management of HIV in Adults, Pregnancy and Breastfeeding, Adolescents, Children, Infants and Neonates).</w:t>
      </w:r>
    </w:p>
    <w:p w14:paraId="5CCC3FB5" w14:textId="77777777" w:rsidR="00CE651E" w:rsidRPr="00B9629C" w:rsidRDefault="00CE651E" w:rsidP="00E5138C">
      <w:pPr>
        <w:pStyle w:val="NoSpacing"/>
        <w:rPr>
          <w:sz w:val="16"/>
          <w:highlight w:val="darkGray"/>
        </w:rPr>
      </w:pPr>
    </w:p>
    <w:p w14:paraId="3EAE93B6" w14:textId="77777777" w:rsidR="00CE651E" w:rsidRPr="00B9629C" w:rsidRDefault="00CE651E" w:rsidP="00E5138C">
      <w:pPr>
        <w:pStyle w:val="NoSpacing"/>
        <w:rPr>
          <w:sz w:val="16"/>
          <w:highlight w:val="darkGray"/>
        </w:rPr>
      </w:pPr>
    </w:p>
    <w:p w14:paraId="2D9AEFCE" w14:textId="73FAE0AD" w:rsidR="00CE651E" w:rsidRPr="00B9629C" w:rsidRDefault="00CE651E" w:rsidP="00E5138C">
      <w:pPr>
        <w:pStyle w:val="NoSpacing"/>
        <w:rPr>
          <w:sz w:val="16"/>
          <w:highlight w:val="darkGray"/>
        </w:rPr>
      </w:pPr>
      <w:r w:rsidRPr="00B9629C">
        <w:rPr>
          <w:noProof/>
          <w:sz w:val="16"/>
          <w:highlight w:val="darkGray"/>
          <w:lang w:eastAsia="en-ZA"/>
        </w:rPr>
        <w:drawing>
          <wp:inline distT="0" distB="0" distL="0" distR="0" wp14:anchorId="7A8A555D" wp14:editId="10638EC2">
            <wp:extent cx="6552701" cy="3442335"/>
            <wp:effectExtent l="0" t="0" r="63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54759" cy="3443416"/>
                    </a:xfrm>
                    <a:prstGeom prst="rect">
                      <a:avLst/>
                    </a:prstGeom>
                  </pic:spPr>
                </pic:pic>
              </a:graphicData>
            </a:graphic>
          </wp:inline>
        </w:drawing>
      </w:r>
    </w:p>
    <w:p w14:paraId="54AD895A" w14:textId="31D1222E" w:rsidR="005749CE" w:rsidRPr="00B9629C" w:rsidRDefault="005749CE" w:rsidP="005749CE">
      <w:pPr>
        <w:pStyle w:val="NoSpacing"/>
        <w:rPr>
          <w:sz w:val="16"/>
          <w:highlight w:val="darkGray"/>
        </w:rPr>
      </w:pPr>
      <w:r w:rsidRPr="00B9629C">
        <w:rPr>
          <w:b/>
          <w:sz w:val="16"/>
          <w:highlight w:val="darkGray"/>
        </w:rPr>
        <w:t>Table 11.1</w:t>
      </w:r>
      <w:r w:rsidR="004A6630" w:rsidRPr="00B9629C">
        <w:rPr>
          <w:b/>
          <w:sz w:val="16"/>
          <w:highlight w:val="darkGray"/>
        </w:rPr>
        <w:t>2</w:t>
      </w:r>
      <w:r w:rsidRPr="00B9629C">
        <w:rPr>
          <w:b/>
          <w:sz w:val="16"/>
          <w:highlight w:val="darkGray"/>
        </w:rPr>
        <w:t>:</w:t>
      </w:r>
      <w:r w:rsidRPr="00B9629C">
        <w:rPr>
          <w:sz w:val="16"/>
          <w:highlight w:val="darkGray"/>
        </w:rPr>
        <w:t xml:space="preserve"> ART dosing tables for infants and children (continued)</w:t>
      </w:r>
      <w:r w:rsidR="00A42C9C" w:rsidRPr="00B9629C">
        <w:rPr>
          <w:sz w:val="16"/>
          <w:highlight w:val="darkGray"/>
        </w:rPr>
        <w:t xml:space="preserve"> </w:t>
      </w:r>
      <w:r w:rsidR="00A42C9C" w:rsidRPr="00B9629C">
        <w:rPr>
          <w:sz w:val="16"/>
          <w:szCs w:val="16"/>
          <w:highlight w:val="darkGray"/>
        </w:rPr>
        <w:t xml:space="preserve">(adopted from the NDoH </w:t>
      </w:r>
      <w:r w:rsidR="00A42C9C" w:rsidRPr="00B9629C">
        <w:rPr>
          <w:rFonts w:eastAsia="Calibri" w:cs="Times New Roman"/>
          <w:sz w:val="16"/>
          <w:szCs w:val="16"/>
          <w:highlight w:val="darkGray"/>
        </w:rPr>
        <w:t>2023 ART Clinical Guidelines for the Management of HIV in Adults, Pregnancy and Breastfeeding, Adolescents, Children, Infants and Neonates).</w:t>
      </w:r>
    </w:p>
    <w:p w14:paraId="2A614A86" w14:textId="77777777" w:rsidR="00CE651E" w:rsidRPr="00B9629C" w:rsidRDefault="00CE651E" w:rsidP="00E5138C">
      <w:pPr>
        <w:pStyle w:val="NoSpacing"/>
        <w:rPr>
          <w:sz w:val="16"/>
          <w:highlight w:val="darkGray"/>
        </w:rPr>
      </w:pPr>
    </w:p>
    <w:p w14:paraId="1B7AC2C3" w14:textId="77777777" w:rsidR="00CE651E" w:rsidRPr="00B9629C" w:rsidRDefault="00CE651E" w:rsidP="00E5138C">
      <w:pPr>
        <w:pStyle w:val="NoSpacing"/>
        <w:rPr>
          <w:sz w:val="16"/>
          <w:highlight w:val="darkGray"/>
        </w:rPr>
      </w:pPr>
    </w:p>
    <w:p w14:paraId="55115F58" w14:textId="2EA12069" w:rsidR="00CE651E" w:rsidRPr="00B9629C" w:rsidRDefault="00CE651E" w:rsidP="00E5138C">
      <w:pPr>
        <w:pStyle w:val="NoSpacing"/>
        <w:rPr>
          <w:sz w:val="16"/>
          <w:highlight w:val="darkGray"/>
        </w:rPr>
      </w:pPr>
      <w:r w:rsidRPr="00B9629C">
        <w:rPr>
          <w:noProof/>
          <w:sz w:val="16"/>
          <w:highlight w:val="darkGray"/>
          <w:lang w:eastAsia="en-ZA"/>
        </w:rPr>
        <w:drawing>
          <wp:inline distT="0" distB="0" distL="0" distR="0" wp14:anchorId="76651C6E" wp14:editId="435E8E38">
            <wp:extent cx="6495415" cy="3541449"/>
            <wp:effectExtent l="0" t="0" r="63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8383" cy="3543067"/>
                    </a:xfrm>
                    <a:prstGeom prst="rect">
                      <a:avLst/>
                    </a:prstGeom>
                  </pic:spPr>
                </pic:pic>
              </a:graphicData>
            </a:graphic>
          </wp:inline>
        </w:drawing>
      </w:r>
    </w:p>
    <w:p w14:paraId="207B11B9" w14:textId="3C37FFCA" w:rsidR="005749CE" w:rsidRPr="00B9629C" w:rsidRDefault="005749CE" w:rsidP="005749CE">
      <w:pPr>
        <w:pStyle w:val="NoSpacing"/>
        <w:rPr>
          <w:sz w:val="16"/>
          <w:highlight w:val="darkGray"/>
        </w:rPr>
      </w:pPr>
      <w:r w:rsidRPr="00B9629C">
        <w:rPr>
          <w:b/>
          <w:sz w:val="16"/>
          <w:highlight w:val="darkGray"/>
        </w:rPr>
        <w:t>Table 11.1</w:t>
      </w:r>
      <w:r w:rsidR="004A6630" w:rsidRPr="00B9629C">
        <w:rPr>
          <w:b/>
          <w:sz w:val="16"/>
          <w:highlight w:val="darkGray"/>
        </w:rPr>
        <w:t>2</w:t>
      </w:r>
      <w:r w:rsidRPr="00B9629C">
        <w:rPr>
          <w:b/>
          <w:sz w:val="16"/>
          <w:highlight w:val="darkGray"/>
        </w:rPr>
        <w:t>:</w:t>
      </w:r>
      <w:r w:rsidRPr="00B9629C">
        <w:rPr>
          <w:sz w:val="16"/>
          <w:highlight w:val="darkGray"/>
        </w:rPr>
        <w:t xml:space="preserve"> ART dosing tables for infants and children (continued)</w:t>
      </w:r>
      <w:r w:rsidR="00A42C9C" w:rsidRPr="00B9629C">
        <w:rPr>
          <w:sz w:val="16"/>
          <w:highlight w:val="darkGray"/>
        </w:rPr>
        <w:t xml:space="preserve"> </w:t>
      </w:r>
      <w:r w:rsidR="00A42C9C" w:rsidRPr="00B9629C">
        <w:rPr>
          <w:sz w:val="16"/>
          <w:szCs w:val="16"/>
          <w:highlight w:val="darkGray"/>
        </w:rPr>
        <w:t xml:space="preserve">(adopted from the NDoH </w:t>
      </w:r>
      <w:r w:rsidR="00A42C9C" w:rsidRPr="00B9629C">
        <w:rPr>
          <w:rFonts w:eastAsia="Calibri" w:cs="Times New Roman"/>
          <w:sz w:val="16"/>
          <w:szCs w:val="16"/>
          <w:highlight w:val="darkGray"/>
        </w:rPr>
        <w:t>2023 ART Clinical Guidelines for the Management of HIV in Adults, Pregnancy and Breastfeeding, Adolescents, Children, Infants and Neonates).</w:t>
      </w:r>
    </w:p>
    <w:p w14:paraId="0DB03E70" w14:textId="77777777" w:rsidR="00CE651E" w:rsidRPr="00B9629C" w:rsidRDefault="00CE651E" w:rsidP="00E5138C">
      <w:pPr>
        <w:pStyle w:val="NoSpacing"/>
        <w:rPr>
          <w:sz w:val="16"/>
          <w:highlight w:val="darkGray"/>
        </w:rPr>
      </w:pPr>
    </w:p>
    <w:p w14:paraId="49BE291E" w14:textId="77777777" w:rsidR="00CE651E" w:rsidRPr="00B9629C" w:rsidRDefault="00CE651E" w:rsidP="00E5138C">
      <w:pPr>
        <w:pStyle w:val="NoSpacing"/>
        <w:rPr>
          <w:sz w:val="16"/>
          <w:highlight w:val="darkGray"/>
        </w:rPr>
      </w:pPr>
    </w:p>
    <w:p w14:paraId="040020C4" w14:textId="4B5CBF4D" w:rsidR="005749CE" w:rsidRPr="00B9629C" w:rsidRDefault="00CE651E" w:rsidP="005749CE">
      <w:pPr>
        <w:pStyle w:val="NoSpacing"/>
        <w:rPr>
          <w:sz w:val="16"/>
          <w:highlight w:val="darkGray"/>
        </w:rPr>
      </w:pPr>
      <w:r w:rsidRPr="00B9629C">
        <w:rPr>
          <w:noProof/>
          <w:sz w:val="16"/>
          <w:highlight w:val="darkGray"/>
          <w:lang w:eastAsia="en-ZA"/>
        </w:rPr>
        <w:drawing>
          <wp:inline distT="0" distB="0" distL="0" distR="0" wp14:anchorId="7140CC91" wp14:editId="219B7A8B">
            <wp:extent cx="6480175" cy="18999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175" cy="1899920"/>
                    </a:xfrm>
                    <a:prstGeom prst="rect">
                      <a:avLst/>
                    </a:prstGeom>
                  </pic:spPr>
                </pic:pic>
              </a:graphicData>
            </a:graphic>
          </wp:inline>
        </w:drawing>
      </w:r>
      <w:r w:rsidR="005749CE" w:rsidRPr="00B9629C">
        <w:rPr>
          <w:sz w:val="16"/>
          <w:highlight w:val="darkGray"/>
        </w:rPr>
        <w:t xml:space="preserve"> </w:t>
      </w:r>
      <w:r w:rsidR="005749CE" w:rsidRPr="00B9629C">
        <w:rPr>
          <w:b/>
          <w:sz w:val="16"/>
          <w:highlight w:val="darkGray"/>
        </w:rPr>
        <w:t>Table 11.1</w:t>
      </w:r>
      <w:r w:rsidR="00837150" w:rsidRPr="00B9629C">
        <w:rPr>
          <w:b/>
          <w:sz w:val="16"/>
          <w:highlight w:val="darkGray"/>
        </w:rPr>
        <w:t>2</w:t>
      </w:r>
      <w:r w:rsidR="005749CE" w:rsidRPr="00B9629C">
        <w:rPr>
          <w:b/>
          <w:sz w:val="16"/>
          <w:highlight w:val="darkGray"/>
        </w:rPr>
        <w:t>:</w:t>
      </w:r>
      <w:r w:rsidR="005749CE" w:rsidRPr="00B9629C">
        <w:rPr>
          <w:sz w:val="16"/>
          <w:highlight w:val="darkGray"/>
        </w:rPr>
        <w:t xml:space="preserve"> ART dosing tables for infants and children (continued)</w:t>
      </w:r>
      <w:r w:rsidR="00A42C9C" w:rsidRPr="00B9629C">
        <w:rPr>
          <w:sz w:val="16"/>
          <w:highlight w:val="darkGray"/>
        </w:rPr>
        <w:t xml:space="preserve"> </w:t>
      </w:r>
      <w:r w:rsidR="00A42C9C" w:rsidRPr="00B9629C">
        <w:rPr>
          <w:sz w:val="16"/>
          <w:szCs w:val="16"/>
          <w:highlight w:val="darkGray"/>
        </w:rPr>
        <w:t xml:space="preserve">(adopted from the NDoH </w:t>
      </w:r>
      <w:r w:rsidR="00A42C9C" w:rsidRPr="00B9629C">
        <w:rPr>
          <w:rFonts w:eastAsia="Calibri" w:cs="Times New Roman"/>
          <w:sz w:val="16"/>
          <w:szCs w:val="16"/>
          <w:highlight w:val="darkGray"/>
        </w:rPr>
        <w:t>2023 ART Clinical Guidelines for the Management of HIV in Adults, Pregnancy and Breastfeeding, Adolescents, Children, Infants and Neonates).</w:t>
      </w:r>
    </w:p>
    <w:p w14:paraId="26E5E962" w14:textId="2C639962" w:rsidR="00FE1782" w:rsidRPr="00B9629C" w:rsidRDefault="00FE1782" w:rsidP="00FE1782">
      <w:pPr>
        <w:pStyle w:val="NoSpacing"/>
        <w:rPr>
          <w:sz w:val="16"/>
          <w:highlight w:val="darkGray"/>
        </w:rPr>
      </w:pPr>
    </w:p>
    <w:p w14:paraId="0BA1A619" w14:textId="118B72F2" w:rsidR="00E5138C" w:rsidRPr="00B9629C" w:rsidRDefault="00E5138C" w:rsidP="007059C4">
      <w:pPr>
        <w:rPr>
          <w:highlight w:val="darkGray"/>
        </w:rPr>
      </w:pPr>
      <w:r w:rsidRPr="00B9629C">
        <w:rPr>
          <w:highlight w:val="darkGray"/>
        </w:rPr>
        <w:t>Instructions to administer LPV/r pellets to children are:</w:t>
      </w:r>
    </w:p>
    <w:p w14:paraId="536DB684" w14:textId="77777777" w:rsidR="00E5138C" w:rsidRPr="00B9629C" w:rsidRDefault="00E5138C" w:rsidP="00233623">
      <w:pPr>
        <w:pStyle w:val="BulletDirectionsInstructions"/>
        <w:rPr>
          <w:highlight w:val="darkGray"/>
        </w:rPr>
      </w:pPr>
      <w:r w:rsidRPr="00B9629C">
        <w:rPr>
          <w:highlight w:val="darkGray"/>
        </w:rPr>
        <w:t>Hold the capsule at both ends and, twisting in opposite directions, pull apart to pour out the pellets inside the capsule.</w:t>
      </w:r>
    </w:p>
    <w:p w14:paraId="32FFD0F4" w14:textId="2DC5747F" w:rsidR="00E5138C" w:rsidRPr="00B9629C" w:rsidRDefault="00E5138C" w:rsidP="00233623">
      <w:pPr>
        <w:pStyle w:val="BulletDirectionsInstructions"/>
        <w:rPr>
          <w:highlight w:val="darkGray"/>
        </w:rPr>
      </w:pPr>
      <w:r w:rsidRPr="00B9629C">
        <w:rPr>
          <w:highlight w:val="darkGray"/>
        </w:rPr>
        <w:t>Add the pellets (from the required number of capsules) to a spoonful of food a little at a time. For example, porridge can be used (must be at room temperature)</w:t>
      </w:r>
    </w:p>
    <w:p w14:paraId="1AFFE2CE" w14:textId="77777777" w:rsidR="00E5138C" w:rsidRPr="00B9629C" w:rsidRDefault="00E5138C" w:rsidP="00233623">
      <w:pPr>
        <w:pStyle w:val="BulletDirectionsInstructions"/>
        <w:rPr>
          <w:highlight w:val="darkGray"/>
        </w:rPr>
      </w:pPr>
      <w:r w:rsidRPr="00B9629C">
        <w:rPr>
          <w:highlight w:val="darkGray"/>
        </w:rPr>
        <w:t>Do not stir, crush, or dissolve the pellets: rather sprinkle over the food.</w:t>
      </w:r>
    </w:p>
    <w:p w14:paraId="65ACBB38" w14:textId="77777777" w:rsidR="00E5138C" w:rsidRPr="00B9629C" w:rsidRDefault="00E5138C" w:rsidP="00233623">
      <w:pPr>
        <w:pStyle w:val="BulletDirectionsInstructions"/>
        <w:rPr>
          <w:highlight w:val="darkGray"/>
        </w:rPr>
      </w:pPr>
      <w:r w:rsidRPr="00B9629C">
        <w:rPr>
          <w:highlight w:val="darkGray"/>
        </w:rPr>
        <w:t>Use only a small amount of food, to ensure child can consume all the pellets. Discard food with pellets after 2 hours.</w:t>
      </w:r>
    </w:p>
    <w:tbl>
      <w:tblPr>
        <w:tblpPr w:leftFromText="180" w:rightFromText="180" w:vertAnchor="text" w:horzAnchor="margin" w:tblpXSpec="right" w:tblpY="-26"/>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233623" w:rsidRPr="00B9629C" w14:paraId="583989C2" w14:textId="77777777" w:rsidTr="00233623">
        <w:tc>
          <w:tcPr>
            <w:tcW w:w="907" w:type="dxa"/>
            <w:shd w:val="clear" w:color="auto" w:fill="auto"/>
          </w:tcPr>
          <w:p w14:paraId="5FB5B04E" w14:textId="3AC4A7BC" w:rsidR="00233623" w:rsidRPr="00B9629C" w:rsidRDefault="00233623" w:rsidP="00233623">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w:t>
            </w:r>
            <w:r w:rsidR="00052FB2" w:rsidRPr="00B9629C">
              <w:rPr>
                <w:sz w:val="14"/>
                <w:szCs w:val="14"/>
                <w:highlight w:val="darkGray"/>
              </w:rPr>
              <w:t>b</w:t>
            </w:r>
            <w:r w:rsidRPr="00B9629C">
              <w:rPr>
                <w:rStyle w:val="EndnoteReference"/>
                <w:sz w:val="14"/>
                <w:szCs w:val="14"/>
                <w:highlight w:val="darkGray"/>
              </w:rPr>
              <w:endnoteReference w:id="54"/>
            </w:r>
          </w:p>
        </w:tc>
      </w:tr>
    </w:tbl>
    <w:p w14:paraId="74A89683" w14:textId="584559E8" w:rsidR="00E5138C" w:rsidRPr="00B9629C" w:rsidRDefault="00E5138C" w:rsidP="00096D74">
      <w:pPr>
        <w:pStyle w:val="BulletDirectionsInstructions"/>
        <w:rPr>
          <w:highlight w:val="darkGray"/>
        </w:rPr>
      </w:pPr>
      <w:r w:rsidRPr="00B9629C">
        <w:rPr>
          <w:highlight w:val="darkGray"/>
        </w:rPr>
        <w:t>The capsule can be discarded with usual waste.</w:t>
      </w:r>
    </w:p>
    <w:p w14:paraId="7F76FFEB" w14:textId="77777777" w:rsidR="003156EB" w:rsidRPr="00B9629C" w:rsidRDefault="003156EB" w:rsidP="00E5138C">
      <w:pPr>
        <w:rPr>
          <w:highlight w:val="darkGray"/>
        </w:rPr>
      </w:pPr>
    </w:p>
    <w:p w14:paraId="3C35D4FB" w14:textId="77777777" w:rsidR="0018374A" w:rsidRPr="00B9629C" w:rsidRDefault="0018374A" w:rsidP="00750D46">
      <w:pPr>
        <w:pStyle w:val="Heading2"/>
        <w:rPr>
          <w:rFonts w:ascii="Arial Bold" w:hAnsi="Arial Bold"/>
          <w:spacing w:val="-6"/>
          <w:highlight w:val="darkGray"/>
        </w:rPr>
        <w:sectPr w:rsidR="0018374A" w:rsidRPr="00B9629C" w:rsidSect="00017245">
          <w:endnotePr>
            <w:numFmt w:val="decimal"/>
          </w:endnotePr>
          <w:pgSz w:w="11906" w:h="8391" w:orient="landscape" w:code="11"/>
          <w:pgMar w:top="850" w:right="850" w:bottom="850" w:left="850" w:header="709" w:footer="709" w:gutter="0"/>
          <w:pgNumType w:chapStyle="1" w:chapSep="period"/>
          <w:cols w:space="708"/>
          <w:docGrid w:linePitch="360"/>
        </w:sectPr>
      </w:pPr>
      <w:bookmarkStart w:id="61" w:name="_Toc57132064"/>
    </w:p>
    <w:p w14:paraId="46A8A4D6" w14:textId="58FC399F" w:rsidR="00E5138C" w:rsidRPr="00B9629C" w:rsidRDefault="00712563" w:rsidP="00FE74E1">
      <w:pPr>
        <w:pStyle w:val="Heading2"/>
        <w:rPr>
          <w:highlight w:val="darkGray"/>
        </w:rPr>
      </w:pPr>
      <w:bookmarkStart w:id="62" w:name="_Toc177151113"/>
      <w:r w:rsidRPr="00B9629C">
        <w:rPr>
          <w:highlight w:val="darkGray"/>
        </w:rPr>
        <w:lastRenderedPageBreak/>
        <w:t>Opportunistic infections, prophylaxis in children</w:t>
      </w:r>
      <w:bookmarkEnd w:id="61"/>
      <w:bookmarkEnd w:id="62"/>
      <w:r w:rsidR="006D4857" w:rsidRPr="00B9629C">
        <w:rPr>
          <w:highlight w:val="darkGray"/>
        </w:rPr>
        <w:fldChar w:fldCharType="begin"/>
      </w:r>
      <w:r w:rsidR="006D4857" w:rsidRPr="00B9629C">
        <w:rPr>
          <w:highlight w:val="darkGray"/>
        </w:rPr>
        <w:instrText xml:space="preserve"> XE "Opportunistic infections, prophylaxis in children" \f “c”</w:instrText>
      </w:r>
      <w:r w:rsidR="006D4857" w:rsidRPr="00B9629C">
        <w:rPr>
          <w:highlight w:val="darkGray"/>
        </w:rPr>
        <w:fldChar w:fldCharType="end"/>
      </w:r>
    </w:p>
    <w:p w14:paraId="4EC87B9D"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Z29.2 + (B24)</w:t>
      </w:r>
    </w:p>
    <w:tbl>
      <w:tblPr>
        <w:tblpPr w:leftFromText="180" w:rightFromText="180" w:vertAnchor="text" w:horzAnchor="margin" w:tblpXSpec="right" w:tblpY="255"/>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840AAC" w:rsidRPr="00B9629C" w14:paraId="3B7F3853" w14:textId="77777777" w:rsidTr="00840AAC">
        <w:tc>
          <w:tcPr>
            <w:tcW w:w="907" w:type="dxa"/>
            <w:shd w:val="clear" w:color="auto" w:fill="auto"/>
          </w:tcPr>
          <w:p w14:paraId="475FA664" w14:textId="77777777" w:rsidR="00840AAC" w:rsidRPr="00B9629C" w:rsidRDefault="00840AAC" w:rsidP="00840AAC">
            <w:pPr>
              <w:pStyle w:val="LoEText"/>
              <w:framePr w:hSpace="0" w:wrap="auto" w:vAnchor="margin" w:hAnchor="text" w:xAlign="left" w:yAlign="inline"/>
              <w:suppressOverlap w:val="0"/>
              <w:rPr>
                <w:sz w:val="14"/>
                <w:szCs w:val="14"/>
                <w:highlight w:val="darkGray"/>
              </w:rPr>
            </w:pPr>
            <w:r w:rsidRPr="00B9629C">
              <w:rPr>
                <w:sz w:val="14"/>
                <w:szCs w:val="14"/>
                <w:highlight w:val="darkGray"/>
              </w:rPr>
              <w:t>LoE:IIIb</w:t>
            </w:r>
            <w:r w:rsidRPr="00B9629C">
              <w:rPr>
                <w:rStyle w:val="EndnoteReference"/>
                <w:sz w:val="14"/>
                <w:szCs w:val="14"/>
                <w:highlight w:val="darkGray"/>
              </w:rPr>
              <w:endnoteReference w:id="55"/>
            </w:r>
          </w:p>
        </w:tc>
      </w:tr>
    </w:tbl>
    <w:p w14:paraId="7F7B45F3" w14:textId="77777777" w:rsidR="00E5138C" w:rsidRPr="00B9629C" w:rsidRDefault="00E5138C" w:rsidP="00233623">
      <w:pPr>
        <w:pStyle w:val="Heading6"/>
        <w:rPr>
          <w:highlight w:val="darkGray"/>
        </w:rPr>
      </w:pPr>
      <w:r w:rsidRPr="00B9629C">
        <w:rPr>
          <w:highlight w:val="darkGray"/>
        </w:rPr>
        <w:t>Cotrimoxazole prophylaxis</w:t>
      </w:r>
    </w:p>
    <w:p w14:paraId="1490E83E" w14:textId="77777777" w:rsidR="005749CE" w:rsidRPr="00B9629C" w:rsidRDefault="005749CE" w:rsidP="005749CE">
      <w:pPr>
        <w:pStyle w:val="NoSpacing"/>
        <w:rPr>
          <w:rStyle w:val="Emphasis"/>
          <w:highlight w:val="darkGray"/>
        </w:rPr>
      </w:pPr>
      <w:r w:rsidRPr="00B9629C">
        <w:rPr>
          <w:rStyle w:val="Emphasis"/>
          <w:highlight w:val="darkGray"/>
        </w:rPr>
        <w:t>Initiation</w:t>
      </w:r>
    </w:p>
    <w:p w14:paraId="27A0318C" w14:textId="38991F10" w:rsidR="006C1187" w:rsidRPr="00B9629C" w:rsidRDefault="006C1187" w:rsidP="009750A0">
      <w:pPr>
        <w:pStyle w:val="ListParagraph"/>
        <w:numPr>
          <w:ilvl w:val="0"/>
          <w:numId w:val="31"/>
        </w:numPr>
        <w:rPr>
          <w:highlight w:val="darkGray"/>
        </w:rPr>
      </w:pPr>
      <w:r w:rsidRPr="00B9629C">
        <w:rPr>
          <w:highlight w:val="darkGray"/>
        </w:rPr>
        <w:t>All HIV-infected infants (</w:t>
      </w:r>
      <w:r w:rsidR="00724290" w:rsidRPr="00B9629C">
        <w:rPr>
          <w:highlight w:val="darkGray"/>
        </w:rPr>
        <w:t>&lt;</w:t>
      </w:r>
      <w:r w:rsidRPr="00B9629C">
        <w:rPr>
          <w:highlight w:val="darkGray"/>
        </w:rPr>
        <w:t>1 year), starting from 6 weeks of age.</w:t>
      </w:r>
    </w:p>
    <w:p w14:paraId="479996AF" w14:textId="654971F1" w:rsidR="006C1187" w:rsidRPr="00B9629C" w:rsidRDefault="006C1187" w:rsidP="009750A0">
      <w:pPr>
        <w:pStyle w:val="ListParagraph"/>
        <w:numPr>
          <w:ilvl w:val="0"/>
          <w:numId w:val="31"/>
        </w:numPr>
        <w:rPr>
          <w:highlight w:val="darkGray"/>
        </w:rPr>
      </w:pPr>
      <w:r w:rsidRPr="00B9629C">
        <w:rPr>
          <w:highlight w:val="darkGray"/>
        </w:rPr>
        <w:t xml:space="preserve">Any child 1–5 years of age with CD4 </w:t>
      </w:r>
      <w:r w:rsidR="00724290" w:rsidRPr="00B9629C">
        <w:rPr>
          <w:highlight w:val="darkGray"/>
        </w:rPr>
        <w:t>&lt;</w:t>
      </w:r>
      <w:r w:rsidRPr="00B9629C">
        <w:rPr>
          <w:highlight w:val="darkGray"/>
        </w:rPr>
        <w:t>25%</w:t>
      </w:r>
      <w:r w:rsidR="001311D1" w:rsidRPr="00B9629C">
        <w:rPr>
          <w:highlight w:val="darkGray"/>
        </w:rPr>
        <w:t xml:space="preserve">, </w:t>
      </w:r>
      <w:r w:rsidR="00C463C3" w:rsidRPr="00B9629C">
        <w:rPr>
          <w:highlight w:val="darkGray"/>
        </w:rPr>
        <w:t xml:space="preserve">or </w:t>
      </w:r>
      <w:r w:rsidR="001311D1" w:rsidRPr="00B9629C">
        <w:rPr>
          <w:highlight w:val="darkGray"/>
        </w:rPr>
        <w:t xml:space="preserve">WHO stage 3 </w:t>
      </w:r>
      <w:r w:rsidR="000D4712" w:rsidRPr="00B9629C">
        <w:rPr>
          <w:highlight w:val="darkGray"/>
        </w:rPr>
        <w:t>and 4</w:t>
      </w:r>
      <w:r w:rsidR="00985A1C" w:rsidRPr="00B9629C">
        <w:rPr>
          <w:highlight w:val="darkGray"/>
        </w:rPr>
        <w:t>.</w:t>
      </w:r>
    </w:p>
    <w:p w14:paraId="6A3694B5" w14:textId="50442F60" w:rsidR="006C1187" w:rsidRPr="00B9629C" w:rsidRDefault="006C1187" w:rsidP="009750A0">
      <w:pPr>
        <w:pStyle w:val="ListParagraph"/>
        <w:numPr>
          <w:ilvl w:val="0"/>
          <w:numId w:val="31"/>
        </w:numPr>
        <w:rPr>
          <w:highlight w:val="darkGray"/>
        </w:rPr>
      </w:pPr>
      <w:r w:rsidRPr="00B9629C">
        <w:rPr>
          <w:highlight w:val="darkGray"/>
        </w:rPr>
        <w:t xml:space="preserve">Any child </w:t>
      </w:r>
      <w:r w:rsidR="00724290" w:rsidRPr="00B9629C">
        <w:rPr>
          <w:highlight w:val="darkGray"/>
        </w:rPr>
        <w:t>&gt;</w:t>
      </w:r>
      <w:r w:rsidRPr="00B9629C">
        <w:rPr>
          <w:highlight w:val="darkGray"/>
        </w:rPr>
        <w:t xml:space="preserve">5 years of age with CD4 count </w:t>
      </w:r>
      <w:r w:rsidR="00724290" w:rsidRPr="00B9629C">
        <w:rPr>
          <w:highlight w:val="darkGray"/>
        </w:rPr>
        <w:t>&lt;</w:t>
      </w:r>
      <w:r w:rsidRPr="00B9629C">
        <w:rPr>
          <w:highlight w:val="darkGray"/>
        </w:rPr>
        <w:t>200 cells/mm</w:t>
      </w:r>
      <w:r w:rsidRPr="00B9629C">
        <w:rPr>
          <w:highlight w:val="darkGray"/>
          <w:vertAlign w:val="superscript"/>
        </w:rPr>
        <w:t>3</w:t>
      </w:r>
      <w:r w:rsidR="000D4712" w:rsidRPr="00B9629C">
        <w:rPr>
          <w:highlight w:val="darkGray"/>
        </w:rPr>
        <w:t xml:space="preserve">, </w:t>
      </w:r>
      <w:r w:rsidR="00C463C3" w:rsidRPr="00B9629C">
        <w:rPr>
          <w:highlight w:val="darkGray"/>
        </w:rPr>
        <w:t xml:space="preserve">or </w:t>
      </w:r>
      <w:r w:rsidR="000D4712" w:rsidRPr="00B9629C">
        <w:rPr>
          <w:highlight w:val="darkGray"/>
        </w:rPr>
        <w:t>WHO stage 3 and 4</w:t>
      </w:r>
      <w:r w:rsidRPr="00B9629C">
        <w:rPr>
          <w:highlight w:val="darkGray"/>
        </w:rPr>
        <w:t>.</w:t>
      </w:r>
    </w:p>
    <w:p w14:paraId="6CEEB363" w14:textId="5308A3D5" w:rsidR="005749CE" w:rsidRPr="00B9629C" w:rsidRDefault="005749CE" w:rsidP="005749CE">
      <w:pPr>
        <w:keepNext/>
        <w:spacing w:before="120" w:after="0"/>
        <w:outlineLvl w:val="4"/>
        <w:rPr>
          <w:rFonts w:eastAsia="Calibri" w:cs="Times New Roman"/>
          <w:highlight w:val="darkGray"/>
        </w:rPr>
      </w:pPr>
      <w:r w:rsidRPr="00B9629C">
        <w:rPr>
          <w:rFonts w:ascii="Symbol" w:eastAsia="Symbol" w:hAnsi="Symbol" w:cs="Symbol"/>
          <w:highlight w:val="darkGray"/>
        </w:rPr>
        <w:t></w:t>
      </w:r>
      <w:r w:rsidRPr="00B9629C">
        <w:rPr>
          <w:rFonts w:eastAsia="Calibri" w:cs="Times New Roman"/>
          <w:highlight w:val="darkGray"/>
        </w:rPr>
        <w:t xml:space="preserve"> Cotrimoxazole (sulfamethoxazole/trimethoprim), oral, once daily.</w:t>
      </w:r>
    </w:p>
    <w:tbl>
      <w:tblPr>
        <w:tblStyle w:val="TableGrid"/>
        <w:tblW w:w="0" w:type="auto"/>
        <w:tblLook w:val="04A0" w:firstRow="1" w:lastRow="0" w:firstColumn="1" w:lastColumn="0" w:noHBand="0" w:noVBand="1"/>
      </w:tblPr>
      <w:tblGrid>
        <w:gridCol w:w="1334"/>
        <w:gridCol w:w="1536"/>
        <w:gridCol w:w="1286"/>
        <w:gridCol w:w="1689"/>
        <w:gridCol w:w="835"/>
      </w:tblGrid>
      <w:tr w:rsidR="00306C16" w:rsidRPr="00B9629C" w14:paraId="5F5B73C7" w14:textId="77777777" w:rsidTr="00383C11">
        <w:tc>
          <w:tcPr>
            <w:tcW w:w="1334" w:type="dxa"/>
          </w:tcPr>
          <w:p w14:paraId="1C64C5A4" w14:textId="77777777" w:rsidR="005749CE" w:rsidRPr="00B9629C" w:rsidRDefault="005749CE" w:rsidP="005749CE">
            <w:pPr>
              <w:keepNext/>
              <w:spacing w:before="120" w:after="0"/>
              <w:outlineLvl w:val="4"/>
              <w:rPr>
                <w:rFonts w:eastAsia="Calibri" w:cs="Times New Roman"/>
                <w:b/>
                <w:bCs/>
                <w:caps/>
                <w:sz w:val="16"/>
                <w:szCs w:val="16"/>
                <w:highlight w:val="darkGray"/>
              </w:rPr>
            </w:pPr>
            <w:r w:rsidRPr="00B9629C">
              <w:rPr>
                <w:rFonts w:eastAsia="Calibri" w:cs="Times New Roman"/>
                <w:b/>
                <w:sz w:val="16"/>
                <w:szCs w:val="16"/>
                <w:highlight w:val="darkGray"/>
              </w:rPr>
              <w:t>Recommended daily dosage by weight band</w:t>
            </w:r>
          </w:p>
        </w:tc>
        <w:tc>
          <w:tcPr>
            <w:tcW w:w="1536" w:type="dxa"/>
          </w:tcPr>
          <w:p w14:paraId="60FEF4F9" w14:textId="77777777" w:rsidR="005749CE" w:rsidRPr="00B9629C" w:rsidRDefault="005749CE" w:rsidP="005749CE">
            <w:pPr>
              <w:keepNext/>
              <w:spacing w:before="120" w:after="0"/>
              <w:outlineLvl w:val="4"/>
              <w:rPr>
                <w:rFonts w:eastAsia="Calibri" w:cs="Times New Roman"/>
                <w:b/>
                <w:sz w:val="16"/>
                <w:szCs w:val="16"/>
                <w:highlight w:val="darkGray"/>
              </w:rPr>
            </w:pPr>
            <w:r w:rsidRPr="00B9629C">
              <w:rPr>
                <w:rFonts w:eastAsia="Calibri" w:cs="Times New Roman"/>
                <w:b/>
                <w:sz w:val="16"/>
                <w:szCs w:val="16"/>
                <w:highlight w:val="darkGray"/>
              </w:rPr>
              <w:t>Dose of sulfamethoxazole/ trimethoprim</w:t>
            </w:r>
          </w:p>
        </w:tc>
        <w:tc>
          <w:tcPr>
            <w:tcW w:w="1286" w:type="dxa"/>
          </w:tcPr>
          <w:p w14:paraId="3008F0D7" w14:textId="283EA7F6" w:rsidR="005749CE" w:rsidRPr="00B9629C" w:rsidRDefault="00970589" w:rsidP="005749CE">
            <w:pPr>
              <w:keepNext/>
              <w:spacing w:before="120" w:after="0"/>
              <w:outlineLvl w:val="4"/>
              <w:rPr>
                <w:rFonts w:eastAsia="Calibri" w:cs="Times New Roman"/>
                <w:b/>
                <w:sz w:val="16"/>
                <w:szCs w:val="16"/>
                <w:highlight w:val="darkGray"/>
              </w:rPr>
            </w:pPr>
            <w:r w:rsidRPr="00B9629C">
              <w:rPr>
                <w:rFonts w:eastAsia="Calibri" w:cs="Times New Roman"/>
                <w:b/>
                <w:sz w:val="16"/>
                <w:szCs w:val="16"/>
                <w:highlight w:val="darkGray"/>
              </w:rPr>
              <w:t>Suspensio</w:t>
            </w:r>
            <w:r w:rsidR="005749CE" w:rsidRPr="00B9629C">
              <w:rPr>
                <w:rFonts w:eastAsia="Calibri" w:cs="Times New Roman"/>
                <w:b/>
                <w:sz w:val="16"/>
                <w:szCs w:val="16"/>
                <w:highlight w:val="darkGray"/>
              </w:rPr>
              <w:t xml:space="preserve">n (200/40 mg per 5 mL) </w:t>
            </w:r>
          </w:p>
        </w:tc>
        <w:tc>
          <w:tcPr>
            <w:tcW w:w="1689" w:type="dxa"/>
          </w:tcPr>
          <w:p w14:paraId="620C2FA9" w14:textId="77777777" w:rsidR="005749CE" w:rsidRPr="00B9629C" w:rsidRDefault="005749CE" w:rsidP="005749CE">
            <w:pPr>
              <w:keepNext/>
              <w:spacing w:before="0" w:after="0"/>
              <w:outlineLvl w:val="4"/>
              <w:rPr>
                <w:rFonts w:eastAsia="Calibri" w:cs="Times New Roman"/>
                <w:b/>
                <w:sz w:val="16"/>
                <w:szCs w:val="16"/>
                <w:highlight w:val="darkGray"/>
              </w:rPr>
            </w:pPr>
            <w:r w:rsidRPr="00B9629C">
              <w:rPr>
                <w:rFonts w:eastAsia="Calibri" w:cs="Times New Roman"/>
                <w:b/>
                <w:sz w:val="16"/>
                <w:szCs w:val="16"/>
                <w:highlight w:val="darkGray"/>
              </w:rPr>
              <w:t xml:space="preserve">Single strength tablet </w:t>
            </w:r>
          </w:p>
          <w:p w14:paraId="088D5225" w14:textId="77777777" w:rsidR="005749CE" w:rsidRPr="00B9629C" w:rsidRDefault="005749CE" w:rsidP="005749CE">
            <w:pPr>
              <w:keepNext/>
              <w:spacing w:before="0" w:after="0"/>
              <w:outlineLvl w:val="4"/>
              <w:rPr>
                <w:rFonts w:eastAsia="Calibri" w:cs="Times New Roman"/>
                <w:b/>
                <w:sz w:val="16"/>
                <w:szCs w:val="16"/>
                <w:highlight w:val="darkGray"/>
              </w:rPr>
            </w:pPr>
            <w:r w:rsidRPr="00B9629C">
              <w:rPr>
                <w:rFonts w:eastAsia="Calibri" w:cs="Times New Roman"/>
                <w:b/>
                <w:sz w:val="16"/>
                <w:szCs w:val="16"/>
                <w:highlight w:val="darkGray"/>
              </w:rPr>
              <w:t>(400/80 mg)</w:t>
            </w:r>
          </w:p>
        </w:tc>
        <w:tc>
          <w:tcPr>
            <w:tcW w:w="835" w:type="dxa"/>
          </w:tcPr>
          <w:p w14:paraId="30951090" w14:textId="77777777" w:rsidR="005749CE" w:rsidRPr="00B9629C" w:rsidRDefault="005749CE" w:rsidP="005749CE">
            <w:pPr>
              <w:keepNext/>
              <w:spacing w:before="0" w:after="0"/>
              <w:outlineLvl w:val="4"/>
              <w:rPr>
                <w:rFonts w:eastAsia="Calibri" w:cs="Times New Roman"/>
                <w:b/>
                <w:sz w:val="16"/>
                <w:szCs w:val="16"/>
                <w:highlight w:val="darkGray"/>
              </w:rPr>
            </w:pPr>
            <w:r w:rsidRPr="00B9629C">
              <w:rPr>
                <w:rFonts w:eastAsia="Calibri" w:cs="Times New Roman"/>
                <w:b/>
                <w:sz w:val="16"/>
                <w:szCs w:val="16"/>
                <w:highlight w:val="darkGray"/>
              </w:rPr>
              <w:t xml:space="preserve">Double strength tablet </w:t>
            </w:r>
          </w:p>
          <w:p w14:paraId="61A923DA" w14:textId="77777777" w:rsidR="005749CE" w:rsidRPr="00B9629C" w:rsidRDefault="005749CE" w:rsidP="005749CE">
            <w:pPr>
              <w:keepNext/>
              <w:spacing w:before="0" w:after="0"/>
              <w:outlineLvl w:val="4"/>
              <w:rPr>
                <w:rFonts w:eastAsia="Calibri" w:cs="Times New Roman"/>
                <w:b/>
                <w:sz w:val="16"/>
                <w:szCs w:val="16"/>
                <w:highlight w:val="darkGray"/>
              </w:rPr>
            </w:pPr>
            <w:r w:rsidRPr="00B9629C">
              <w:rPr>
                <w:rFonts w:eastAsia="Calibri" w:cs="Times New Roman"/>
                <w:b/>
                <w:sz w:val="16"/>
                <w:szCs w:val="16"/>
                <w:highlight w:val="darkGray"/>
              </w:rPr>
              <w:t>(800/160 mg )</w:t>
            </w:r>
          </w:p>
        </w:tc>
      </w:tr>
      <w:tr w:rsidR="00306C16" w:rsidRPr="00B9629C" w14:paraId="28A10C67" w14:textId="77777777" w:rsidTr="00383C11">
        <w:tc>
          <w:tcPr>
            <w:tcW w:w="1334" w:type="dxa"/>
          </w:tcPr>
          <w:p w14:paraId="6626F4DF"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3 to 5.9 kg</w:t>
            </w:r>
          </w:p>
        </w:tc>
        <w:tc>
          <w:tcPr>
            <w:tcW w:w="1536" w:type="dxa"/>
          </w:tcPr>
          <w:p w14:paraId="7F8CF330"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100/20 mg</w:t>
            </w:r>
          </w:p>
        </w:tc>
        <w:tc>
          <w:tcPr>
            <w:tcW w:w="1286" w:type="dxa"/>
          </w:tcPr>
          <w:p w14:paraId="5D5A7305"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2.5 mL</w:t>
            </w:r>
          </w:p>
        </w:tc>
        <w:tc>
          <w:tcPr>
            <w:tcW w:w="1689" w:type="dxa"/>
          </w:tcPr>
          <w:p w14:paraId="71FB66F2"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¼ tablet</w:t>
            </w:r>
          </w:p>
        </w:tc>
        <w:tc>
          <w:tcPr>
            <w:tcW w:w="835" w:type="dxa"/>
          </w:tcPr>
          <w:p w14:paraId="54A953D7" w14:textId="77777777" w:rsidR="005749CE" w:rsidRPr="00B9629C" w:rsidRDefault="005749CE" w:rsidP="005749CE">
            <w:pPr>
              <w:keepNext/>
              <w:spacing w:before="120" w:after="0"/>
              <w:jc w:val="center"/>
              <w:outlineLvl w:val="4"/>
              <w:rPr>
                <w:rFonts w:eastAsia="Calibri" w:cs="Times New Roman"/>
                <w:highlight w:val="darkGray"/>
              </w:rPr>
            </w:pPr>
            <w:r w:rsidRPr="00B9629C">
              <w:rPr>
                <w:rFonts w:eastAsia="Calibri" w:cs="Times New Roman"/>
                <w:highlight w:val="darkGray"/>
              </w:rPr>
              <w:t>-</w:t>
            </w:r>
          </w:p>
        </w:tc>
      </w:tr>
      <w:tr w:rsidR="00306C16" w:rsidRPr="00B9629C" w14:paraId="1868BD30" w14:textId="77777777" w:rsidTr="00383C11">
        <w:tc>
          <w:tcPr>
            <w:tcW w:w="1334" w:type="dxa"/>
          </w:tcPr>
          <w:p w14:paraId="13216FA8"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6 to 13.9 kg</w:t>
            </w:r>
          </w:p>
        </w:tc>
        <w:tc>
          <w:tcPr>
            <w:tcW w:w="1536" w:type="dxa"/>
          </w:tcPr>
          <w:p w14:paraId="04C54EC9"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200/40 mg</w:t>
            </w:r>
          </w:p>
        </w:tc>
        <w:tc>
          <w:tcPr>
            <w:tcW w:w="1286" w:type="dxa"/>
          </w:tcPr>
          <w:p w14:paraId="206C24D3"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5 mL</w:t>
            </w:r>
          </w:p>
        </w:tc>
        <w:tc>
          <w:tcPr>
            <w:tcW w:w="1689" w:type="dxa"/>
          </w:tcPr>
          <w:p w14:paraId="6FCD8825"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½ tablet</w:t>
            </w:r>
          </w:p>
        </w:tc>
        <w:tc>
          <w:tcPr>
            <w:tcW w:w="835" w:type="dxa"/>
          </w:tcPr>
          <w:p w14:paraId="3AECD6F2" w14:textId="77777777" w:rsidR="005749CE" w:rsidRPr="00B9629C" w:rsidRDefault="005749CE" w:rsidP="005749CE">
            <w:pPr>
              <w:keepNext/>
              <w:spacing w:before="120" w:after="0"/>
              <w:jc w:val="center"/>
              <w:outlineLvl w:val="4"/>
              <w:rPr>
                <w:rFonts w:eastAsia="Calibri" w:cs="Times New Roman"/>
                <w:highlight w:val="darkGray"/>
              </w:rPr>
            </w:pPr>
            <w:r w:rsidRPr="00B9629C">
              <w:rPr>
                <w:rFonts w:eastAsia="Calibri" w:cs="Times New Roman"/>
                <w:highlight w:val="darkGray"/>
              </w:rPr>
              <w:t>-</w:t>
            </w:r>
          </w:p>
        </w:tc>
      </w:tr>
      <w:tr w:rsidR="00306C16" w:rsidRPr="00B9629C" w14:paraId="4FBD8504" w14:textId="77777777" w:rsidTr="00383C11">
        <w:tc>
          <w:tcPr>
            <w:tcW w:w="1334" w:type="dxa"/>
          </w:tcPr>
          <w:p w14:paraId="0F833E4E"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14 to 24.9 kg</w:t>
            </w:r>
          </w:p>
        </w:tc>
        <w:tc>
          <w:tcPr>
            <w:tcW w:w="1536" w:type="dxa"/>
          </w:tcPr>
          <w:p w14:paraId="38F9E82A"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400/80 mg</w:t>
            </w:r>
          </w:p>
        </w:tc>
        <w:tc>
          <w:tcPr>
            <w:tcW w:w="1286" w:type="dxa"/>
          </w:tcPr>
          <w:p w14:paraId="664C6514"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10 mL</w:t>
            </w:r>
          </w:p>
        </w:tc>
        <w:tc>
          <w:tcPr>
            <w:tcW w:w="1689" w:type="dxa"/>
          </w:tcPr>
          <w:p w14:paraId="1BCE9798"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1 tablet</w:t>
            </w:r>
          </w:p>
        </w:tc>
        <w:tc>
          <w:tcPr>
            <w:tcW w:w="835" w:type="dxa"/>
          </w:tcPr>
          <w:p w14:paraId="5F9A6833"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½ tablet</w:t>
            </w:r>
          </w:p>
        </w:tc>
      </w:tr>
      <w:tr w:rsidR="00306C16" w:rsidRPr="00B9629C" w14:paraId="501CF168" w14:textId="77777777" w:rsidTr="00383C11">
        <w:tc>
          <w:tcPr>
            <w:tcW w:w="1334" w:type="dxa"/>
          </w:tcPr>
          <w:p w14:paraId="27046AA1"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25 kg</w:t>
            </w:r>
          </w:p>
        </w:tc>
        <w:tc>
          <w:tcPr>
            <w:tcW w:w="1536" w:type="dxa"/>
          </w:tcPr>
          <w:p w14:paraId="6F7B5A28"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800/160 mg</w:t>
            </w:r>
          </w:p>
        </w:tc>
        <w:tc>
          <w:tcPr>
            <w:tcW w:w="1286" w:type="dxa"/>
          </w:tcPr>
          <w:p w14:paraId="6A3EAF28" w14:textId="77777777" w:rsidR="005749CE" w:rsidRPr="00B9629C" w:rsidRDefault="005749CE" w:rsidP="005749CE">
            <w:pPr>
              <w:keepNext/>
              <w:spacing w:before="120" w:after="0"/>
              <w:jc w:val="center"/>
              <w:outlineLvl w:val="4"/>
              <w:rPr>
                <w:rFonts w:eastAsia="Calibri" w:cs="Times New Roman"/>
                <w:highlight w:val="darkGray"/>
              </w:rPr>
            </w:pPr>
            <w:r w:rsidRPr="00B9629C">
              <w:rPr>
                <w:rFonts w:eastAsia="Calibri" w:cs="Times New Roman"/>
                <w:highlight w:val="darkGray"/>
              </w:rPr>
              <w:t>-</w:t>
            </w:r>
          </w:p>
        </w:tc>
        <w:tc>
          <w:tcPr>
            <w:tcW w:w="1689" w:type="dxa"/>
          </w:tcPr>
          <w:p w14:paraId="01D290D7"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2 tablets</w:t>
            </w:r>
          </w:p>
        </w:tc>
        <w:tc>
          <w:tcPr>
            <w:tcW w:w="835" w:type="dxa"/>
          </w:tcPr>
          <w:p w14:paraId="060B2C86" w14:textId="77777777" w:rsidR="005749CE" w:rsidRPr="00B9629C" w:rsidRDefault="005749CE" w:rsidP="005749CE">
            <w:pPr>
              <w:keepNext/>
              <w:spacing w:before="120" w:after="0"/>
              <w:outlineLvl w:val="4"/>
              <w:rPr>
                <w:rFonts w:eastAsia="Calibri" w:cs="Times New Roman"/>
                <w:highlight w:val="darkGray"/>
              </w:rPr>
            </w:pPr>
            <w:r w:rsidRPr="00B9629C">
              <w:rPr>
                <w:rFonts w:eastAsia="Calibri" w:cs="Times New Roman"/>
                <w:highlight w:val="darkGray"/>
              </w:rPr>
              <w:t>1 tablet</w:t>
            </w:r>
          </w:p>
        </w:tc>
      </w:tr>
    </w:tbl>
    <w:p w14:paraId="278548D6" w14:textId="56A197B4" w:rsidR="005749CE" w:rsidRPr="00B9629C" w:rsidRDefault="00837150" w:rsidP="005749CE">
      <w:pPr>
        <w:keepNext/>
        <w:spacing w:before="120" w:after="0"/>
        <w:jc w:val="both"/>
        <w:outlineLvl w:val="4"/>
        <w:rPr>
          <w:rFonts w:eastAsia="Calibri" w:cs="Times New Roman"/>
          <w:highlight w:val="darkGray"/>
        </w:rPr>
      </w:pPr>
      <w:r w:rsidRPr="00B9629C">
        <w:rPr>
          <w:sz w:val="16"/>
          <w:highlight w:val="darkGray"/>
        </w:rPr>
        <w:t>Table 11.13: Dose bands for cotrimoxazole</w:t>
      </w:r>
    </w:p>
    <w:p w14:paraId="1045A637" w14:textId="77777777" w:rsidR="00837150" w:rsidRPr="00B9629C" w:rsidRDefault="00837150" w:rsidP="005749CE">
      <w:pPr>
        <w:pStyle w:val="Heading7"/>
        <w:rPr>
          <w:rStyle w:val="Emphasis"/>
          <w:highlight w:val="darkGray"/>
        </w:rPr>
      </w:pPr>
    </w:p>
    <w:p w14:paraId="6DFD48FB" w14:textId="77777777" w:rsidR="005749CE" w:rsidRPr="00B9629C" w:rsidRDefault="005749CE" w:rsidP="00840AAC">
      <w:pPr>
        <w:pStyle w:val="Heading7"/>
        <w:spacing w:before="0"/>
        <w:rPr>
          <w:rStyle w:val="Emphasis"/>
          <w:highlight w:val="darkGray"/>
        </w:rPr>
      </w:pPr>
      <w:r w:rsidRPr="00B9629C">
        <w:rPr>
          <w:rStyle w:val="Emphasis"/>
          <w:highlight w:val="darkGray"/>
        </w:rPr>
        <w:t>Discontinuation</w:t>
      </w:r>
    </w:p>
    <w:p w14:paraId="2E02913D" w14:textId="0E90EA63" w:rsidR="00800FD7" w:rsidRPr="00B9629C" w:rsidRDefault="00800FD7" w:rsidP="009839BC">
      <w:pPr>
        <w:keepNext/>
        <w:spacing w:before="0" w:after="0"/>
        <w:jc w:val="both"/>
        <w:outlineLvl w:val="4"/>
        <w:rPr>
          <w:rFonts w:eastAsia="Calibri" w:cs="Times New Roman"/>
          <w:highlight w:val="darkGray"/>
        </w:rPr>
      </w:pPr>
      <w:r w:rsidRPr="00B9629C">
        <w:rPr>
          <w:rFonts w:eastAsia="Calibri" w:cs="Times New Roman"/>
          <w:highlight w:val="darkGray"/>
        </w:rPr>
        <w:t>Prophylaxis may be discontinued if the immune system is fully reconstituted on ART</w:t>
      </w:r>
      <w:r w:rsidR="009839BC" w:rsidRPr="00B9629C">
        <w:rPr>
          <w:rFonts w:eastAsia="Calibri" w:cs="Times New Roman"/>
          <w:highlight w:val="darkGray"/>
        </w:rPr>
        <w:t xml:space="preserve"> i.e.</w:t>
      </w:r>
    </w:p>
    <w:p w14:paraId="0F0E70D6" w14:textId="62DA63A5" w:rsidR="009839BC" w:rsidRPr="00B9629C" w:rsidRDefault="009839BC" w:rsidP="009839BC">
      <w:pPr>
        <w:pStyle w:val="CommentText"/>
        <w:spacing w:before="0" w:after="0"/>
        <w:jc w:val="both"/>
        <w:rPr>
          <w:rFonts w:eastAsia="Calibri" w:cs="Times New Roman"/>
          <w:sz w:val="18"/>
          <w:szCs w:val="18"/>
          <w:highlight w:val="darkGray"/>
        </w:rPr>
      </w:pPr>
      <w:r w:rsidRPr="00B9629C">
        <w:rPr>
          <w:rFonts w:eastAsia="Calibri" w:cs="Times New Roman"/>
          <w:sz w:val="18"/>
          <w:szCs w:val="18"/>
          <w:highlight w:val="darkGray"/>
        </w:rPr>
        <w:t xml:space="preserve">Child </w:t>
      </w:r>
      <w:r w:rsidR="00724290" w:rsidRPr="00B9629C">
        <w:rPr>
          <w:rFonts w:eastAsia="Calibri" w:cs="Times New Roman"/>
          <w:sz w:val="18"/>
          <w:szCs w:val="18"/>
          <w:highlight w:val="darkGray"/>
        </w:rPr>
        <w:t>&gt;</w:t>
      </w:r>
      <w:r w:rsidRPr="00B9629C">
        <w:rPr>
          <w:rFonts w:eastAsia="Calibri" w:cs="Times New Roman"/>
          <w:sz w:val="18"/>
          <w:szCs w:val="18"/>
          <w:highlight w:val="darkGray"/>
        </w:rPr>
        <w:t>1 year of age</w:t>
      </w:r>
      <w:r w:rsidRPr="00B9629C">
        <w:rPr>
          <w:rFonts w:eastAsia="Calibri" w:cs="Times New Roman"/>
          <w:iCs/>
          <w:sz w:val="18"/>
          <w:szCs w:val="18"/>
          <w:highlight w:val="darkGray"/>
        </w:rPr>
        <w:t xml:space="preserve">, </w:t>
      </w:r>
      <w:r w:rsidRPr="00B9629C">
        <w:rPr>
          <w:rFonts w:eastAsia="Calibri" w:cs="Times New Roman"/>
          <w:i/>
          <w:sz w:val="18"/>
          <w:szCs w:val="18"/>
          <w:highlight w:val="darkGray"/>
          <w:u w:val="single"/>
        </w:rPr>
        <w:t>AND</w:t>
      </w:r>
      <w:r w:rsidRPr="00B9629C">
        <w:rPr>
          <w:rFonts w:eastAsia="Calibri" w:cs="Times New Roman"/>
          <w:sz w:val="18"/>
          <w:szCs w:val="18"/>
          <w:highlight w:val="darkGray"/>
        </w:rPr>
        <w:t xml:space="preserve"> immune system shows signs of full reconstitution on two CD4 tests at least 3-6 months apart (regardless of clinical stage), i.e.:</w:t>
      </w:r>
    </w:p>
    <w:p w14:paraId="380B6B41" w14:textId="6F2D8EC0" w:rsidR="009839BC" w:rsidRPr="00B9629C" w:rsidRDefault="009839BC" w:rsidP="009839BC">
      <w:pPr>
        <w:pStyle w:val="CommentText"/>
        <w:spacing w:before="0" w:after="0"/>
        <w:ind w:left="284"/>
        <w:rPr>
          <w:rFonts w:eastAsia="Calibri" w:cs="Times New Roman"/>
          <w:sz w:val="18"/>
          <w:szCs w:val="18"/>
          <w:highlight w:val="darkGray"/>
        </w:rPr>
      </w:pPr>
      <w:r w:rsidRPr="00B9629C">
        <w:rPr>
          <w:rFonts w:eastAsia="Calibri" w:cs="Times New Roman"/>
          <w:sz w:val="18"/>
          <w:szCs w:val="18"/>
          <w:highlight w:val="darkGray"/>
          <w:u w:val="single"/>
        </w:rPr>
        <w:t>Child 1-5 years of age:</w:t>
      </w:r>
      <w:r w:rsidRPr="00B9629C">
        <w:rPr>
          <w:rFonts w:eastAsia="Calibri" w:cs="Times New Roman"/>
          <w:sz w:val="18"/>
          <w:szCs w:val="18"/>
          <w:highlight w:val="darkGray"/>
        </w:rPr>
        <w:t xml:space="preserve"> CD4 </w:t>
      </w:r>
      <w:r w:rsidR="00724290" w:rsidRPr="00B9629C">
        <w:rPr>
          <w:rFonts w:eastAsia="Calibri" w:cs="Times New Roman"/>
          <w:sz w:val="18"/>
          <w:szCs w:val="18"/>
          <w:highlight w:val="darkGray"/>
        </w:rPr>
        <w:t>&gt;</w:t>
      </w:r>
      <w:r w:rsidRPr="00B9629C">
        <w:rPr>
          <w:rFonts w:eastAsia="Calibri" w:cs="Times New Roman"/>
          <w:sz w:val="18"/>
          <w:szCs w:val="18"/>
          <w:highlight w:val="darkGray"/>
        </w:rPr>
        <w:t>25%</w:t>
      </w:r>
      <w:r w:rsidR="00985A1C" w:rsidRPr="00B9629C">
        <w:rPr>
          <w:rFonts w:eastAsia="Calibri" w:cs="Times New Roman"/>
          <w:sz w:val="18"/>
          <w:szCs w:val="18"/>
          <w:highlight w:val="darkGray"/>
        </w:rPr>
        <w:t>.</w:t>
      </w:r>
    </w:p>
    <w:p w14:paraId="338A9772" w14:textId="07D81830" w:rsidR="00800FD7" w:rsidRPr="00B9629C" w:rsidRDefault="009839BC" w:rsidP="009839BC">
      <w:pPr>
        <w:keepNext/>
        <w:spacing w:before="0" w:after="0"/>
        <w:ind w:left="284"/>
        <w:jc w:val="both"/>
        <w:outlineLvl w:val="4"/>
        <w:rPr>
          <w:rFonts w:eastAsia="Calibri" w:cs="Times New Roman"/>
          <w:highlight w:val="darkGray"/>
        </w:rPr>
      </w:pPr>
      <w:r w:rsidRPr="00B9629C">
        <w:rPr>
          <w:rFonts w:eastAsia="Calibri" w:cs="Times New Roman"/>
          <w:highlight w:val="darkGray"/>
          <w:u w:val="single"/>
        </w:rPr>
        <w:t xml:space="preserve">Child </w:t>
      </w:r>
      <w:r w:rsidR="00724290" w:rsidRPr="00B9629C">
        <w:rPr>
          <w:rFonts w:eastAsia="Calibri" w:cs="Times New Roman"/>
          <w:highlight w:val="darkGray"/>
          <w:u w:val="single"/>
        </w:rPr>
        <w:t>&gt;</w:t>
      </w:r>
      <w:r w:rsidRPr="00B9629C">
        <w:rPr>
          <w:rFonts w:eastAsia="Calibri" w:cs="Times New Roman"/>
          <w:highlight w:val="darkGray"/>
          <w:u w:val="single"/>
        </w:rPr>
        <w:t>5 years of age</w:t>
      </w:r>
      <w:r w:rsidRPr="00B9629C">
        <w:rPr>
          <w:rFonts w:eastAsia="Calibri" w:cs="Times New Roman"/>
          <w:highlight w:val="darkGray"/>
        </w:rPr>
        <w:t xml:space="preserve">: CD4 </w:t>
      </w:r>
      <w:r w:rsidR="00724290" w:rsidRPr="00B9629C">
        <w:rPr>
          <w:rFonts w:eastAsia="Calibri" w:cs="Times New Roman"/>
          <w:highlight w:val="darkGray"/>
        </w:rPr>
        <w:t>&gt;</w:t>
      </w:r>
      <w:r w:rsidRPr="00B9629C">
        <w:rPr>
          <w:rFonts w:eastAsia="Calibri" w:cs="Times New Roman"/>
          <w:highlight w:val="darkGray"/>
        </w:rPr>
        <w:t>200 cells/mm</w:t>
      </w:r>
      <w:r w:rsidRPr="00B9629C">
        <w:rPr>
          <w:rFonts w:eastAsia="Calibri" w:cs="Times New Roman"/>
          <w:highlight w:val="darkGray"/>
          <w:vertAlign w:val="superscript"/>
        </w:rPr>
        <w:t>3</w:t>
      </w:r>
      <w:r w:rsidR="00985A1C" w:rsidRPr="00B9629C">
        <w:rPr>
          <w:rFonts w:eastAsia="Calibri" w:cs="Times New Roman"/>
          <w:highlight w:val="darkGray"/>
        </w:rPr>
        <w:t>.</w:t>
      </w:r>
    </w:p>
    <w:p w14:paraId="238695CB" w14:textId="77777777" w:rsidR="009839BC" w:rsidRPr="00B9629C" w:rsidRDefault="009839BC" w:rsidP="00840AAC">
      <w:pPr>
        <w:keepNext/>
        <w:spacing w:before="0" w:after="0"/>
        <w:jc w:val="both"/>
        <w:outlineLvl w:val="4"/>
        <w:rPr>
          <w:rFonts w:eastAsia="Calibri" w:cs="Times New Roman"/>
          <w:highlight w:val="darkGray"/>
        </w:rPr>
      </w:pPr>
    </w:p>
    <w:p w14:paraId="38FB163E" w14:textId="77777777" w:rsidR="00E5138C" w:rsidRPr="00B9629C" w:rsidRDefault="00E5138C" w:rsidP="00233623">
      <w:pPr>
        <w:pStyle w:val="Heading6"/>
        <w:rPr>
          <w:highlight w:val="darkGray"/>
        </w:rPr>
      </w:pPr>
      <w:r w:rsidRPr="00B9629C">
        <w:rPr>
          <w:highlight w:val="darkGray"/>
        </w:rPr>
        <w:t>TB prophylaxis</w:t>
      </w:r>
    </w:p>
    <w:p w14:paraId="139113D4" w14:textId="77777777" w:rsidR="00E5138C" w:rsidRPr="00B9629C" w:rsidRDefault="00E5138C" w:rsidP="00E5138C">
      <w:pPr>
        <w:rPr>
          <w:spacing w:val="-6"/>
          <w:highlight w:val="darkGray"/>
        </w:rPr>
      </w:pPr>
      <w:r w:rsidRPr="00B9629C">
        <w:rPr>
          <w:spacing w:val="-6"/>
          <w:highlight w:val="darkGray"/>
        </w:rPr>
        <w:t>See Section 17.4.2.1: TB chemoprophylaxis/Isoniazid preventive therapy (IPT) in children.</w:t>
      </w:r>
    </w:p>
    <w:p w14:paraId="1344687F" w14:textId="77777777" w:rsidR="00B35F7E" w:rsidRPr="00B9629C" w:rsidRDefault="00B35F7E" w:rsidP="00E5138C">
      <w:pPr>
        <w:rPr>
          <w:spacing w:val="-6"/>
          <w:highlight w:val="darkGray"/>
        </w:rPr>
      </w:pPr>
    </w:p>
    <w:p w14:paraId="3C2DF21B" w14:textId="77777777" w:rsidR="00E5138C" w:rsidRPr="00B9629C" w:rsidRDefault="00E5138C" w:rsidP="00306BBF">
      <w:pPr>
        <w:pStyle w:val="Heading6"/>
        <w:rPr>
          <w:highlight w:val="darkGray"/>
        </w:rPr>
      </w:pPr>
      <w:r w:rsidRPr="00B9629C">
        <w:rPr>
          <w:highlight w:val="darkGray"/>
        </w:rPr>
        <w:t>Immunisation</w:t>
      </w:r>
    </w:p>
    <w:p w14:paraId="72E83AF9" w14:textId="72C3F127" w:rsidR="00511EA9" w:rsidRPr="00B9629C" w:rsidRDefault="00511EA9" w:rsidP="00511EA9">
      <w:pPr>
        <w:pStyle w:val="NoSpacing"/>
        <w:rPr>
          <w:highlight w:val="darkGray"/>
        </w:rPr>
      </w:pPr>
      <w:r w:rsidRPr="00B9629C">
        <w:rPr>
          <w:highlight w:val="darkGray"/>
        </w:rPr>
        <w:t>Continue immunisation as per the SA-EPI (</w:t>
      </w:r>
      <w:r w:rsidR="00985A1C" w:rsidRPr="00B9629C">
        <w:rPr>
          <w:highlight w:val="darkGray"/>
        </w:rPr>
        <w:t>s</w:t>
      </w:r>
      <w:r w:rsidRPr="00B9629C">
        <w:rPr>
          <w:highlight w:val="darkGray"/>
        </w:rPr>
        <w:t xml:space="preserve">ee </w:t>
      </w:r>
      <w:r w:rsidR="00E819E6" w:rsidRPr="00B9629C">
        <w:rPr>
          <w:highlight w:val="darkGray"/>
        </w:rPr>
        <w:t>Section</w:t>
      </w:r>
      <w:r w:rsidRPr="00B9629C">
        <w:rPr>
          <w:highlight w:val="darkGray"/>
        </w:rPr>
        <w:t xml:space="preserve"> 13.3</w:t>
      </w:r>
      <w:r w:rsidR="004E24C1" w:rsidRPr="00B9629C">
        <w:rPr>
          <w:highlight w:val="darkGray"/>
        </w:rPr>
        <w:t xml:space="preserve">: </w:t>
      </w:r>
      <w:r w:rsidR="00667AC0" w:rsidRPr="00B9629C">
        <w:rPr>
          <w:highlight w:val="darkGray"/>
        </w:rPr>
        <w:t>Vaccines for routine administration</w:t>
      </w:r>
      <w:r w:rsidRPr="00B9629C">
        <w:rPr>
          <w:highlight w:val="darkGray"/>
        </w:rPr>
        <w:t xml:space="preserve">). </w:t>
      </w:r>
    </w:p>
    <w:p w14:paraId="728EFF62" w14:textId="77777777" w:rsidR="00511EA9" w:rsidRPr="00B9629C" w:rsidRDefault="00511EA9" w:rsidP="00306BBF">
      <w:pPr>
        <w:pStyle w:val="NoSpacing"/>
        <w:rPr>
          <w:highlight w:val="darkGray"/>
        </w:rPr>
      </w:pPr>
    </w:p>
    <w:p w14:paraId="4F82FE1E" w14:textId="77777777" w:rsidR="00840AAC" w:rsidRPr="00B9629C" w:rsidRDefault="00840AAC" w:rsidP="00306BBF">
      <w:pPr>
        <w:pStyle w:val="NoSpacing"/>
        <w:rPr>
          <w:highlight w:val="darkGray"/>
        </w:rPr>
      </w:pPr>
    </w:p>
    <w:p w14:paraId="6F5BACF9" w14:textId="77777777" w:rsidR="00840AAC" w:rsidRPr="00B9629C" w:rsidRDefault="00840AAC" w:rsidP="00306BBF">
      <w:pPr>
        <w:pStyle w:val="NoSpacing"/>
        <w:rPr>
          <w:highlight w:val="darkGray"/>
        </w:rPr>
      </w:pPr>
    </w:p>
    <w:p w14:paraId="2B07B1C3" w14:textId="77777777" w:rsidR="00840AAC" w:rsidRPr="00B9629C" w:rsidRDefault="00840AAC" w:rsidP="00306BBF">
      <w:pPr>
        <w:pStyle w:val="NoSpacing"/>
        <w:rPr>
          <w:highlight w:val="darkGray"/>
        </w:rPr>
      </w:pPr>
    </w:p>
    <w:p w14:paraId="613B4F7E" w14:textId="77777777" w:rsidR="00840AAC" w:rsidRPr="00B9629C" w:rsidRDefault="00840AAC" w:rsidP="00306BBF">
      <w:pPr>
        <w:pStyle w:val="NoSpacing"/>
        <w:rPr>
          <w:highlight w:val="darkGray"/>
        </w:rPr>
      </w:pPr>
    </w:p>
    <w:p w14:paraId="3B6583D1" w14:textId="77777777" w:rsidR="00840AAC" w:rsidRPr="00B9629C" w:rsidRDefault="00840AAC" w:rsidP="00306BBF">
      <w:pPr>
        <w:pStyle w:val="NoSpacing"/>
        <w:rPr>
          <w:highlight w:val="darkGray"/>
        </w:rPr>
      </w:pPr>
    </w:p>
    <w:p w14:paraId="407ECA1C" w14:textId="77777777" w:rsidR="00840AAC" w:rsidRPr="00B9629C" w:rsidRDefault="00840AAC" w:rsidP="00306BBF">
      <w:pPr>
        <w:pStyle w:val="NoSpacing"/>
        <w:rPr>
          <w:highlight w:val="darkGray"/>
        </w:rPr>
      </w:pPr>
    </w:p>
    <w:p w14:paraId="7011A6F3" w14:textId="44C02CEC" w:rsidR="00E5138C" w:rsidRPr="00B9629C" w:rsidRDefault="00712563" w:rsidP="00FE74E1">
      <w:pPr>
        <w:pStyle w:val="Heading2"/>
        <w:rPr>
          <w:highlight w:val="darkGray"/>
        </w:rPr>
      </w:pPr>
      <w:bookmarkStart w:id="63" w:name="_Toc57132065"/>
      <w:bookmarkStart w:id="64" w:name="_Toc177151114"/>
      <w:r w:rsidRPr="00B9629C">
        <w:rPr>
          <w:highlight w:val="darkGray"/>
        </w:rPr>
        <w:lastRenderedPageBreak/>
        <w:t>opportunistic infections, treatment in</w:t>
      </w:r>
      <w:r w:rsidR="00306BBF" w:rsidRPr="00B9629C">
        <w:rPr>
          <w:highlight w:val="darkGray"/>
        </w:rPr>
        <w:t xml:space="preserve"> </w:t>
      </w:r>
      <w:r w:rsidRPr="00B9629C">
        <w:rPr>
          <w:highlight w:val="darkGray"/>
        </w:rPr>
        <w:t>children</w:t>
      </w:r>
      <w:bookmarkEnd w:id="63"/>
      <w:bookmarkEnd w:id="64"/>
      <w:r w:rsidR="006D4857" w:rsidRPr="00B9629C">
        <w:rPr>
          <w:highlight w:val="darkGray"/>
        </w:rPr>
        <w:fldChar w:fldCharType="begin"/>
      </w:r>
      <w:r w:rsidR="006D4857" w:rsidRPr="00B9629C">
        <w:rPr>
          <w:highlight w:val="darkGray"/>
        </w:rPr>
        <w:instrText xml:space="preserve"> XE "opportunistic infections, treatment in children" \f “c”</w:instrText>
      </w:r>
      <w:r w:rsidR="006D4857" w:rsidRPr="00B9629C">
        <w:rPr>
          <w:highlight w:val="darkGray"/>
        </w:rPr>
        <w:fldChar w:fldCharType="end"/>
      </w:r>
    </w:p>
    <w:p w14:paraId="703EB422" w14:textId="0FF79CAA" w:rsidR="00E5138C" w:rsidRPr="00B9629C" w:rsidRDefault="00E5138C" w:rsidP="00E5138C">
      <w:pPr>
        <w:pStyle w:val="NoSpacing"/>
        <w:rPr>
          <w:highlight w:val="darkGray"/>
        </w:rPr>
      </w:pPr>
    </w:p>
    <w:p w14:paraId="30915FEF" w14:textId="4D5FA0E6" w:rsidR="00E5138C" w:rsidRPr="00B9629C" w:rsidRDefault="00750D46" w:rsidP="00C70ABC">
      <w:pPr>
        <w:pStyle w:val="Heading3"/>
        <w:rPr>
          <w:highlight w:val="darkGray"/>
        </w:rPr>
      </w:pPr>
      <w:bookmarkStart w:id="65" w:name="_Toc57132066"/>
      <w:bookmarkStart w:id="66" w:name="_Toc177151115"/>
      <w:r w:rsidRPr="00B9629C">
        <w:rPr>
          <w:highlight w:val="darkGray"/>
        </w:rPr>
        <w:t>Candidiasis, oral (thrush), recurrent</w:t>
      </w:r>
      <w:bookmarkEnd w:id="65"/>
      <w:bookmarkEnd w:id="66"/>
      <w:r w:rsidR="006D4857" w:rsidRPr="00B9629C">
        <w:rPr>
          <w:highlight w:val="darkGray"/>
        </w:rPr>
        <w:fldChar w:fldCharType="begin"/>
      </w:r>
      <w:r w:rsidR="006D4857" w:rsidRPr="00B9629C">
        <w:rPr>
          <w:highlight w:val="darkGray"/>
        </w:rPr>
        <w:instrText xml:space="preserve"> XE "Candidiasis, oral (thrush), recurrent" \f “c”</w:instrText>
      </w:r>
      <w:r w:rsidR="006D4857" w:rsidRPr="00B9629C">
        <w:rPr>
          <w:highlight w:val="darkGray"/>
        </w:rPr>
        <w:fldChar w:fldCharType="end"/>
      </w:r>
      <w:r w:rsidRPr="00B9629C">
        <w:rPr>
          <w:highlight w:val="darkGray"/>
        </w:rPr>
        <w:t xml:space="preserve"> </w:t>
      </w:r>
    </w:p>
    <w:p w14:paraId="541A16BC"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B20.4</w:t>
      </w:r>
    </w:p>
    <w:p w14:paraId="45C456CF" w14:textId="77777777" w:rsidR="00E5138C" w:rsidRPr="00B9629C" w:rsidRDefault="00E5138C" w:rsidP="00306BBF">
      <w:pPr>
        <w:pStyle w:val="Heading5"/>
        <w:rPr>
          <w:highlight w:val="darkGray"/>
        </w:rPr>
      </w:pPr>
      <w:r w:rsidRPr="00B9629C">
        <w:rPr>
          <w:highlight w:val="darkGray"/>
        </w:rPr>
        <w:t>MEDICINE TREATMENT</w:t>
      </w:r>
    </w:p>
    <w:p w14:paraId="184311E0" w14:textId="62F66BCE" w:rsidR="00E5138C" w:rsidRPr="00B9629C" w:rsidRDefault="00E5138C" w:rsidP="00306BBF">
      <w:pPr>
        <w:pStyle w:val="BulletMedicine"/>
        <w:rPr>
          <w:highlight w:val="darkGray"/>
        </w:rPr>
      </w:pPr>
      <w:r w:rsidRPr="00B9629C">
        <w:rPr>
          <w:highlight w:val="darkGray"/>
        </w:rPr>
        <w:t>Nystatin suspension, oral</w:t>
      </w:r>
      <w:r w:rsidR="00042E17" w:rsidRPr="00B9629C">
        <w:rPr>
          <w:highlight w:val="darkGray"/>
        </w:rPr>
        <w:fldChar w:fldCharType="begin"/>
      </w:r>
      <w:r w:rsidR="00042E17" w:rsidRPr="00B9629C">
        <w:rPr>
          <w:highlight w:val="darkGray"/>
        </w:rPr>
        <w:instrText xml:space="preserve"> XE "Nystatin suspension, oral" \f "m" </w:instrText>
      </w:r>
      <w:r w:rsidR="00042E17" w:rsidRPr="00B9629C">
        <w:rPr>
          <w:highlight w:val="darkGray"/>
        </w:rPr>
        <w:fldChar w:fldCharType="end"/>
      </w:r>
      <w:r w:rsidRPr="00B9629C">
        <w:rPr>
          <w:highlight w:val="darkGray"/>
        </w:rPr>
        <w:t>, 100 000 IU/mL, 0.5 mL after each feed.</w:t>
      </w:r>
    </w:p>
    <w:p w14:paraId="60118D93" w14:textId="77777777" w:rsidR="00E5138C" w:rsidRPr="00B9629C" w:rsidRDefault="00E5138C" w:rsidP="00306BBF">
      <w:pPr>
        <w:pStyle w:val="BulletDirectionsInstructions"/>
        <w:rPr>
          <w:highlight w:val="darkGray"/>
        </w:rPr>
      </w:pPr>
      <w:r w:rsidRPr="00B9629C">
        <w:rPr>
          <w:highlight w:val="darkGray"/>
        </w:rPr>
        <w:t>Keep in contact with the affected area for as long as possible prior to swallowing.</w:t>
      </w:r>
    </w:p>
    <w:p w14:paraId="1C711A05" w14:textId="77777777" w:rsidR="00E5138C" w:rsidRPr="00B9629C" w:rsidRDefault="00E5138C" w:rsidP="00306BBF">
      <w:pPr>
        <w:pStyle w:val="BulletDirectionsInstructions"/>
        <w:rPr>
          <w:highlight w:val="darkGray"/>
        </w:rPr>
      </w:pPr>
      <w:r w:rsidRPr="00B9629C">
        <w:rPr>
          <w:highlight w:val="darkGray"/>
        </w:rPr>
        <w:t>In the older child, ask child to swirl in the mouth, prior to swallowing.</w:t>
      </w:r>
    </w:p>
    <w:p w14:paraId="39FFEE95" w14:textId="0CE35D4A" w:rsidR="00E5138C" w:rsidRPr="00B9629C" w:rsidRDefault="00E5138C" w:rsidP="00306BBF">
      <w:pPr>
        <w:pStyle w:val="BulletDirectionsInstructions"/>
        <w:rPr>
          <w:highlight w:val="darkGray"/>
        </w:rPr>
      </w:pPr>
      <w:r w:rsidRPr="00B9629C">
        <w:rPr>
          <w:highlight w:val="darkGray"/>
        </w:rPr>
        <w:t xml:space="preserve">In the infant, advise </w:t>
      </w:r>
      <w:r w:rsidR="00C6469A" w:rsidRPr="00B9629C">
        <w:rPr>
          <w:highlight w:val="darkGray"/>
        </w:rPr>
        <w:t xml:space="preserve">caregiver </w:t>
      </w:r>
      <w:r w:rsidRPr="00B9629C">
        <w:rPr>
          <w:highlight w:val="darkGray"/>
        </w:rPr>
        <w:t>to apply to front of the mouth and spread over the oral mucosa with a clean finger.</w:t>
      </w:r>
    </w:p>
    <w:p w14:paraId="2A70AFE2" w14:textId="77777777" w:rsidR="00E5138C" w:rsidRPr="00B9629C" w:rsidRDefault="00E5138C" w:rsidP="00306BBF">
      <w:pPr>
        <w:pStyle w:val="BulletDirectionsInstructions"/>
        <w:rPr>
          <w:highlight w:val="darkGray"/>
        </w:rPr>
      </w:pPr>
      <w:r w:rsidRPr="00B9629C">
        <w:rPr>
          <w:highlight w:val="darkGray"/>
        </w:rPr>
        <w:t>Continue for 48 hours after resolution of symptoms.</w:t>
      </w:r>
    </w:p>
    <w:p w14:paraId="7D172734" w14:textId="77777777" w:rsidR="00E5138C" w:rsidRPr="00B9629C" w:rsidRDefault="00E5138C" w:rsidP="00306BBF">
      <w:pPr>
        <w:rPr>
          <w:highlight w:val="darkGray"/>
        </w:rPr>
      </w:pPr>
      <w:r w:rsidRPr="00B9629C">
        <w:rPr>
          <w:highlight w:val="darkGray"/>
        </w:rPr>
        <w:t>If there is oral candidiasis and the child cannot swallow, this indicates the presence of oesophageal candidiasis. See Section 11.8.2: Candidiasis, oesophageal.</w:t>
      </w:r>
    </w:p>
    <w:p w14:paraId="7128B7E9" w14:textId="77777777" w:rsidR="00E5138C" w:rsidRPr="00B9629C" w:rsidRDefault="00E5138C" w:rsidP="00E5138C">
      <w:pPr>
        <w:pStyle w:val="NoSpacing"/>
        <w:rPr>
          <w:highlight w:val="darkGray"/>
        </w:rPr>
      </w:pPr>
    </w:p>
    <w:p w14:paraId="42244FAB" w14:textId="37FE14AE" w:rsidR="00E5138C" w:rsidRPr="00B9629C" w:rsidRDefault="00C70ABC" w:rsidP="00C70ABC">
      <w:pPr>
        <w:pStyle w:val="Heading3"/>
        <w:rPr>
          <w:highlight w:val="darkGray"/>
        </w:rPr>
      </w:pPr>
      <w:bookmarkStart w:id="67" w:name="_Toc57132067"/>
      <w:bookmarkStart w:id="68" w:name="_Toc177151116"/>
      <w:r w:rsidRPr="00B9629C">
        <w:rPr>
          <w:highlight w:val="darkGray"/>
        </w:rPr>
        <w:t>Candidiasis, oesophageal</w:t>
      </w:r>
      <w:bookmarkEnd w:id="67"/>
      <w:bookmarkEnd w:id="68"/>
      <w:r w:rsidR="006D4857" w:rsidRPr="00B9629C">
        <w:rPr>
          <w:highlight w:val="darkGray"/>
        </w:rPr>
        <w:fldChar w:fldCharType="begin"/>
      </w:r>
      <w:r w:rsidR="006D4857" w:rsidRPr="00B9629C">
        <w:rPr>
          <w:highlight w:val="darkGray"/>
        </w:rPr>
        <w:instrText xml:space="preserve"> XE "Candidiasis, oesophageal" \f “c”</w:instrText>
      </w:r>
      <w:r w:rsidR="006D4857" w:rsidRPr="00B9629C">
        <w:rPr>
          <w:highlight w:val="darkGray"/>
        </w:rPr>
        <w:fldChar w:fldCharType="end"/>
      </w:r>
    </w:p>
    <w:p w14:paraId="06112DDD"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B20.4</w:t>
      </w:r>
    </w:p>
    <w:p w14:paraId="4C596EB6" w14:textId="77777777" w:rsidR="00E5138C" w:rsidRPr="00B9629C" w:rsidRDefault="00E5138C" w:rsidP="00E23DBF">
      <w:pPr>
        <w:pStyle w:val="Heading5"/>
        <w:rPr>
          <w:highlight w:val="darkGray"/>
        </w:rPr>
      </w:pPr>
      <w:r w:rsidRPr="00B9629C">
        <w:rPr>
          <w:highlight w:val="darkGray"/>
        </w:rPr>
        <w:t>MEDICINE TREATMENT</w:t>
      </w:r>
    </w:p>
    <w:p w14:paraId="1DF90ED7" w14:textId="19F74089" w:rsidR="00E5138C" w:rsidRPr="00B9629C" w:rsidRDefault="00E5138C" w:rsidP="00E23DBF">
      <w:pPr>
        <w:pStyle w:val="BulletMedicine"/>
        <w:rPr>
          <w:highlight w:val="darkGray"/>
        </w:rPr>
      </w:pPr>
      <w:r w:rsidRPr="00B9629C">
        <w:rPr>
          <w:highlight w:val="darkGray"/>
        </w:rPr>
        <w:t>Fluconazole, oral</w:t>
      </w:r>
      <w:r w:rsidR="00042E17" w:rsidRPr="00B9629C">
        <w:rPr>
          <w:highlight w:val="darkGray"/>
        </w:rPr>
        <w:fldChar w:fldCharType="begin"/>
      </w:r>
      <w:r w:rsidR="00042E17" w:rsidRPr="00B9629C">
        <w:rPr>
          <w:highlight w:val="darkGray"/>
        </w:rPr>
        <w:instrText xml:space="preserve"> XE "Fluconazole, oral" \f "m" </w:instrText>
      </w:r>
      <w:r w:rsidR="00042E17" w:rsidRPr="00B9629C">
        <w:rPr>
          <w:highlight w:val="darkGray"/>
        </w:rPr>
        <w:fldChar w:fldCharType="end"/>
      </w:r>
      <w:r w:rsidRPr="00B9629C">
        <w:rPr>
          <w:highlight w:val="darkGray"/>
        </w:rPr>
        <w:t>, 6 mg/kg once daily for 21 days. See dosing table</w:t>
      </w:r>
      <w:r w:rsidR="00295C77" w:rsidRPr="00B9629C">
        <w:rPr>
          <w:highlight w:val="darkGray"/>
        </w:rPr>
        <w:t>:</w:t>
      </w:r>
      <w:r w:rsidRPr="00B9629C">
        <w:rPr>
          <w:highlight w:val="darkGray"/>
        </w:rPr>
        <w:t xml:space="preserve"> </w:t>
      </w:r>
      <w:r w:rsidR="006C0498" w:rsidRPr="00B9629C">
        <w:rPr>
          <w:highlight w:val="darkGray"/>
        </w:rPr>
        <w:t>Chapter 23</w:t>
      </w:r>
      <w:r w:rsidRPr="00B9629C">
        <w:rPr>
          <w:highlight w:val="darkGray"/>
        </w:rPr>
        <w:t>.</w:t>
      </w:r>
    </w:p>
    <w:p w14:paraId="76BB15F5" w14:textId="77777777" w:rsidR="00E5138C" w:rsidRPr="00B9629C" w:rsidRDefault="00E5138C" w:rsidP="00E23DBF">
      <w:pPr>
        <w:pStyle w:val="NoSpacing"/>
        <w:rPr>
          <w:highlight w:val="darkGray"/>
        </w:rPr>
      </w:pPr>
    </w:p>
    <w:p w14:paraId="02465FA1" w14:textId="29C9FA16" w:rsidR="00E5138C" w:rsidRPr="00B9629C" w:rsidRDefault="00C70ABC" w:rsidP="00C70ABC">
      <w:pPr>
        <w:pStyle w:val="Heading3"/>
        <w:rPr>
          <w:highlight w:val="darkGray"/>
        </w:rPr>
      </w:pPr>
      <w:bookmarkStart w:id="69" w:name="_Toc57132068"/>
      <w:bookmarkStart w:id="70" w:name="_Toc177151117"/>
      <w:r w:rsidRPr="00B9629C">
        <w:rPr>
          <w:highlight w:val="darkGray"/>
        </w:rPr>
        <w:t>Diarrhoea, hiv-associated</w:t>
      </w:r>
      <w:bookmarkEnd w:id="69"/>
      <w:bookmarkEnd w:id="70"/>
      <w:r w:rsidR="006D4857" w:rsidRPr="00B9629C">
        <w:rPr>
          <w:highlight w:val="darkGray"/>
        </w:rPr>
        <w:fldChar w:fldCharType="begin"/>
      </w:r>
      <w:r w:rsidR="006D4857" w:rsidRPr="00B9629C">
        <w:rPr>
          <w:highlight w:val="darkGray"/>
        </w:rPr>
        <w:instrText xml:space="preserve"> XE "Diarrhoea, hiv-associated" \f “c”</w:instrText>
      </w:r>
      <w:r w:rsidR="006D4857" w:rsidRPr="00B9629C">
        <w:rPr>
          <w:highlight w:val="darkGray"/>
        </w:rPr>
        <w:fldChar w:fldCharType="end"/>
      </w:r>
    </w:p>
    <w:p w14:paraId="60CF4E45" w14:textId="77777777" w:rsidR="00E5138C" w:rsidRPr="00B9629C" w:rsidRDefault="00E5138C" w:rsidP="004F57BF">
      <w:pPr>
        <w:pStyle w:val="NoSpacing"/>
        <w:rPr>
          <w:highlight w:val="darkGray"/>
        </w:rPr>
      </w:pPr>
      <w:r w:rsidRPr="00B9629C">
        <w:rPr>
          <w:highlight w:val="darkGray"/>
        </w:rPr>
        <w:t>See Section 2.9: Diarrhoea.</w:t>
      </w:r>
    </w:p>
    <w:p w14:paraId="6CC01DE4" w14:textId="77777777" w:rsidR="0018374A" w:rsidRPr="00B9629C" w:rsidRDefault="0018374A" w:rsidP="004F57BF">
      <w:pPr>
        <w:pStyle w:val="NoSpacing"/>
        <w:rPr>
          <w:highlight w:val="darkGray"/>
        </w:rPr>
      </w:pPr>
    </w:p>
    <w:p w14:paraId="29354B7F" w14:textId="029D0170" w:rsidR="00E5138C" w:rsidRPr="00B9629C" w:rsidRDefault="00C70ABC" w:rsidP="00C70ABC">
      <w:pPr>
        <w:pStyle w:val="Heading3"/>
        <w:rPr>
          <w:highlight w:val="darkGray"/>
        </w:rPr>
      </w:pPr>
      <w:bookmarkStart w:id="71" w:name="_Toc57132069"/>
      <w:bookmarkStart w:id="72" w:name="_Toc177151118"/>
      <w:r w:rsidRPr="00B9629C">
        <w:rPr>
          <w:highlight w:val="darkGray"/>
        </w:rPr>
        <w:t>Pneumonia</w:t>
      </w:r>
      <w:bookmarkEnd w:id="71"/>
      <w:bookmarkEnd w:id="72"/>
      <w:r w:rsidR="006D4857" w:rsidRPr="00B9629C">
        <w:rPr>
          <w:highlight w:val="darkGray"/>
        </w:rPr>
        <w:fldChar w:fldCharType="begin"/>
      </w:r>
      <w:r w:rsidR="006D4857" w:rsidRPr="00B9629C">
        <w:rPr>
          <w:highlight w:val="darkGray"/>
        </w:rPr>
        <w:instrText xml:space="preserve"> XE "Pneumonia"\f “c” </w:instrText>
      </w:r>
      <w:r w:rsidR="006D4857" w:rsidRPr="00B9629C">
        <w:rPr>
          <w:highlight w:val="darkGray"/>
        </w:rPr>
        <w:fldChar w:fldCharType="end"/>
      </w:r>
    </w:p>
    <w:p w14:paraId="7C9E0732" w14:textId="14F2A8B4" w:rsidR="00E5138C" w:rsidRPr="00B9629C" w:rsidRDefault="00E5138C" w:rsidP="004F57BF">
      <w:pPr>
        <w:pStyle w:val="NoSpacing"/>
        <w:rPr>
          <w:highlight w:val="darkGray"/>
        </w:rPr>
      </w:pPr>
      <w:r w:rsidRPr="00B9629C">
        <w:rPr>
          <w:highlight w:val="darkGray"/>
        </w:rPr>
        <w:t xml:space="preserve">See Section </w:t>
      </w:r>
      <w:r w:rsidR="00123479" w:rsidRPr="00B9629C">
        <w:rPr>
          <w:highlight w:val="darkGray"/>
        </w:rPr>
        <w:t>17.3.4</w:t>
      </w:r>
      <w:r w:rsidR="008C59E7" w:rsidRPr="00B9629C">
        <w:rPr>
          <w:highlight w:val="darkGray"/>
        </w:rPr>
        <w:t xml:space="preserve">: </w:t>
      </w:r>
      <w:r w:rsidR="00123479" w:rsidRPr="00B9629C">
        <w:rPr>
          <w:highlight w:val="darkGray"/>
        </w:rPr>
        <w:t>Pneumonia</w:t>
      </w:r>
    </w:p>
    <w:p w14:paraId="5DD6584D" w14:textId="77777777" w:rsidR="0018374A" w:rsidRPr="00B9629C" w:rsidRDefault="0018374A" w:rsidP="004F57BF">
      <w:pPr>
        <w:pStyle w:val="NoSpacing"/>
        <w:rPr>
          <w:highlight w:val="darkGray"/>
        </w:rPr>
      </w:pPr>
    </w:p>
    <w:p w14:paraId="3A3CB8ED" w14:textId="2D0E3245" w:rsidR="00E5138C" w:rsidRPr="00B9629C" w:rsidRDefault="00C70ABC" w:rsidP="00C70ABC">
      <w:pPr>
        <w:pStyle w:val="Heading3"/>
        <w:rPr>
          <w:highlight w:val="darkGray"/>
        </w:rPr>
      </w:pPr>
      <w:bookmarkStart w:id="73" w:name="_Toc57132070"/>
      <w:bookmarkStart w:id="74" w:name="_Toc177151119"/>
      <w:r w:rsidRPr="00B9629C">
        <w:rPr>
          <w:highlight w:val="darkGray"/>
        </w:rPr>
        <w:t>Measles and chickenpox</w:t>
      </w:r>
      <w:bookmarkEnd w:id="73"/>
      <w:bookmarkEnd w:id="74"/>
      <w:r w:rsidR="006D4857" w:rsidRPr="00B9629C">
        <w:rPr>
          <w:highlight w:val="darkGray"/>
        </w:rPr>
        <w:fldChar w:fldCharType="begin"/>
      </w:r>
      <w:r w:rsidR="006D4857" w:rsidRPr="00B9629C">
        <w:rPr>
          <w:highlight w:val="darkGray"/>
        </w:rPr>
        <w:instrText xml:space="preserve"> XE "Measles and chickenpox" \f “c”</w:instrText>
      </w:r>
      <w:r w:rsidR="006D4857" w:rsidRPr="00B9629C">
        <w:rPr>
          <w:highlight w:val="darkGray"/>
        </w:rPr>
        <w:fldChar w:fldCharType="end"/>
      </w:r>
    </w:p>
    <w:p w14:paraId="468F2A79" w14:textId="77777777" w:rsidR="00E5138C" w:rsidRPr="00B9629C" w:rsidRDefault="00E5138C" w:rsidP="004F57BF">
      <w:pPr>
        <w:pStyle w:val="NoSpacing"/>
        <w:rPr>
          <w:highlight w:val="darkGray"/>
        </w:rPr>
      </w:pPr>
      <w:r w:rsidRPr="00B9629C">
        <w:rPr>
          <w:highlight w:val="darkGray"/>
        </w:rPr>
        <w:t>Refer all patients.</w:t>
      </w:r>
    </w:p>
    <w:p w14:paraId="010F6D4C" w14:textId="77777777" w:rsidR="0018374A" w:rsidRPr="00B9629C" w:rsidRDefault="0018374A" w:rsidP="004F57BF">
      <w:pPr>
        <w:pStyle w:val="NoSpacing"/>
        <w:rPr>
          <w:highlight w:val="darkGray"/>
        </w:rPr>
      </w:pPr>
    </w:p>
    <w:p w14:paraId="7D12CD09" w14:textId="2F2E4348" w:rsidR="00E5138C" w:rsidRPr="00B9629C" w:rsidRDefault="00C70ABC" w:rsidP="00C70ABC">
      <w:pPr>
        <w:pStyle w:val="Heading3"/>
        <w:rPr>
          <w:highlight w:val="darkGray"/>
        </w:rPr>
      </w:pPr>
      <w:bookmarkStart w:id="75" w:name="_Toc57132071"/>
      <w:bookmarkStart w:id="76" w:name="_Toc177151120"/>
      <w:r w:rsidRPr="00B9629C">
        <w:rPr>
          <w:highlight w:val="darkGray"/>
        </w:rPr>
        <w:t>Skin conditions</w:t>
      </w:r>
      <w:bookmarkEnd w:id="75"/>
      <w:bookmarkEnd w:id="76"/>
      <w:r w:rsidR="006D4857" w:rsidRPr="00B9629C">
        <w:rPr>
          <w:highlight w:val="darkGray"/>
        </w:rPr>
        <w:fldChar w:fldCharType="begin"/>
      </w:r>
      <w:r w:rsidR="006D4857" w:rsidRPr="00B9629C">
        <w:rPr>
          <w:highlight w:val="darkGray"/>
        </w:rPr>
        <w:instrText xml:space="preserve"> XE "Skin conditions" \f “c”</w:instrText>
      </w:r>
      <w:r w:rsidR="006D4857" w:rsidRPr="00B9629C">
        <w:rPr>
          <w:highlight w:val="darkGray"/>
        </w:rPr>
        <w:fldChar w:fldCharType="end"/>
      </w:r>
    </w:p>
    <w:p w14:paraId="19D23042" w14:textId="6C89D640" w:rsidR="00E5138C" w:rsidRPr="00B9629C" w:rsidRDefault="00E5138C" w:rsidP="006B51F7">
      <w:pPr>
        <w:pStyle w:val="NoSpacing"/>
        <w:rPr>
          <w:highlight w:val="darkGray"/>
        </w:rPr>
      </w:pPr>
      <w:r w:rsidRPr="00B9629C">
        <w:rPr>
          <w:highlight w:val="darkGray"/>
        </w:rPr>
        <w:t xml:space="preserve">These are common and include scabies, seborrhoeic eczema and others. </w:t>
      </w:r>
      <w:r w:rsidR="003C1E42" w:rsidRPr="00B9629C">
        <w:rPr>
          <w:highlight w:val="darkGray"/>
        </w:rPr>
        <w:br/>
      </w:r>
      <w:r w:rsidRPr="00B9629C">
        <w:rPr>
          <w:highlight w:val="darkGray"/>
        </w:rPr>
        <w:t>See Chapter 5: Skin conditions.</w:t>
      </w:r>
    </w:p>
    <w:p w14:paraId="2F920761" w14:textId="6FCDBD92" w:rsidR="00E5138C" w:rsidRPr="00B9629C" w:rsidRDefault="00E5138C" w:rsidP="006B51F7">
      <w:pPr>
        <w:pStyle w:val="NoSpacing"/>
        <w:rPr>
          <w:highlight w:val="darkGray"/>
        </w:rPr>
      </w:pPr>
      <w:r w:rsidRPr="00B9629C">
        <w:rPr>
          <w:highlight w:val="darkGray"/>
        </w:rPr>
        <w:t xml:space="preserve">If no response to care as directed in the chapter, refer. </w:t>
      </w:r>
    </w:p>
    <w:p w14:paraId="42EE6E68" w14:textId="77777777" w:rsidR="006B51F7" w:rsidRPr="00B9629C" w:rsidRDefault="006B51F7" w:rsidP="006B51F7">
      <w:pPr>
        <w:pStyle w:val="NoSpacing"/>
        <w:rPr>
          <w:highlight w:val="darkGray"/>
        </w:rPr>
      </w:pPr>
    </w:p>
    <w:p w14:paraId="66225D93" w14:textId="77777777" w:rsidR="00560071" w:rsidRPr="00B9629C" w:rsidRDefault="00560071" w:rsidP="006B51F7">
      <w:pPr>
        <w:pStyle w:val="NoSpacing"/>
        <w:rPr>
          <w:highlight w:val="darkGray"/>
        </w:rPr>
      </w:pPr>
    </w:p>
    <w:p w14:paraId="7116A00D" w14:textId="77777777" w:rsidR="00560071" w:rsidRPr="00B9629C" w:rsidRDefault="00560071" w:rsidP="006B51F7">
      <w:pPr>
        <w:pStyle w:val="NoSpacing"/>
        <w:rPr>
          <w:highlight w:val="darkGray"/>
        </w:rPr>
      </w:pPr>
    </w:p>
    <w:p w14:paraId="35208774" w14:textId="77777777" w:rsidR="00560071" w:rsidRPr="00B9629C" w:rsidRDefault="00560071" w:rsidP="006B51F7">
      <w:pPr>
        <w:pStyle w:val="NoSpacing"/>
        <w:rPr>
          <w:highlight w:val="darkGray"/>
        </w:rPr>
      </w:pPr>
    </w:p>
    <w:p w14:paraId="6546140F" w14:textId="77777777" w:rsidR="00560071" w:rsidRPr="00B9629C" w:rsidRDefault="00560071" w:rsidP="006B51F7">
      <w:pPr>
        <w:pStyle w:val="NoSpacing"/>
        <w:rPr>
          <w:highlight w:val="darkGray"/>
        </w:rPr>
      </w:pPr>
    </w:p>
    <w:p w14:paraId="070D1F91" w14:textId="77777777" w:rsidR="00560071" w:rsidRPr="00B9629C" w:rsidRDefault="00560071" w:rsidP="006B51F7">
      <w:pPr>
        <w:pStyle w:val="NoSpacing"/>
        <w:rPr>
          <w:highlight w:val="darkGray"/>
        </w:rPr>
      </w:pPr>
    </w:p>
    <w:p w14:paraId="20A118F7" w14:textId="77777777" w:rsidR="00560071" w:rsidRPr="00B9629C" w:rsidRDefault="00560071" w:rsidP="006B51F7">
      <w:pPr>
        <w:pStyle w:val="NoSpacing"/>
        <w:rPr>
          <w:highlight w:val="darkGray"/>
        </w:rPr>
      </w:pPr>
    </w:p>
    <w:p w14:paraId="6442A10F" w14:textId="66F33A1C" w:rsidR="00E5138C" w:rsidRPr="00B9629C" w:rsidRDefault="00C70ABC" w:rsidP="00C70ABC">
      <w:pPr>
        <w:pStyle w:val="Heading3"/>
        <w:rPr>
          <w:highlight w:val="darkGray"/>
        </w:rPr>
      </w:pPr>
      <w:bookmarkStart w:id="77" w:name="_Toc57132072"/>
      <w:bookmarkStart w:id="78" w:name="_Toc177151121"/>
      <w:r w:rsidRPr="00B9629C">
        <w:rPr>
          <w:highlight w:val="darkGray"/>
        </w:rPr>
        <w:lastRenderedPageBreak/>
        <w:t>Tuberculosis (TB)</w:t>
      </w:r>
      <w:bookmarkEnd w:id="77"/>
      <w:bookmarkEnd w:id="78"/>
      <w:r w:rsidR="006D4857" w:rsidRPr="00B9629C">
        <w:rPr>
          <w:highlight w:val="darkGray"/>
        </w:rPr>
        <w:fldChar w:fldCharType="begin"/>
      </w:r>
      <w:r w:rsidR="006D4857" w:rsidRPr="00B9629C">
        <w:rPr>
          <w:highlight w:val="darkGray"/>
        </w:rPr>
        <w:instrText xml:space="preserve"> XE "Tuberculosis (TB)" \f “c”</w:instrText>
      </w:r>
      <w:r w:rsidR="006D4857" w:rsidRPr="00B9629C">
        <w:rPr>
          <w:highlight w:val="darkGray"/>
        </w:rPr>
        <w:fldChar w:fldCharType="end"/>
      </w:r>
    </w:p>
    <w:p w14:paraId="6B29B0A9" w14:textId="5126E13A"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A15.0-</w:t>
      </w:r>
      <w:r w:rsidR="00DC0B38" w:rsidRPr="00B9629C">
        <w:rPr>
          <w:highlight w:val="darkGray"/>
        </w:rPr>
        <w:t>6/</w:t>
      </w:r>
      <w:r w:rsidRPr="00B9629C">
        <w:rPr>
          <w:highlight w:val="darkGray"/>
        </w:rPr>
        <w:t>A15.7-</w:t>
      </w:r>
      <w:r w:rsidR="00DC0B38" w:rsidRPr="00B9629C">
        <w:rPr>
          <w:highlight w:val="darkGray"/>
        </w:rPr>
        <w:t>9</w:t>
      </w:r>
      <w:r w:rsidR="00CC1AC8" w:rsidRPr="00B9629C">
        <w:rPr>
          <w:highlight w:val="darkGray"/>
        </w:rPr>
        <w:t>/</w:t>
      </w:r>
      <w:r w:rsidRPr="00B9629C">
        <w:rPr>
          <w:highlight w:val="darkGray"/>
        </w:rPr>
        <w:t>A16.0-</w:t>
      </w:r>
      <w:r w:rsidR="00FD4DA1" w:rsidRPr="00B9629C">
        <w:rPr>
          <w:highlight w:val="darkGray"/>
        </w:rPr>
        <w:t>5</w:t>
      </w:r>
      <w:r w:rsidRPr="00B9629C">
        <w:rPr>
          <w:highlight w:val="darkGray"/>
        </w:rPr>
        <w:t>/A16.7-</w:t>
      </w:r>
      <w:r w:rsidR="00FD4DA1" w:rsidRPr="00B9629C">
        <w:rPr>
          <w:highlight w:val="darkGray"/>
        </w:rPr>
        <w:t>9</w:t>
      </w:r>
      <w:r w:rsidRPr="00B9629C">
        <w:rPr>
          <w:highlight w:val="darkGray"/>
        </w:rPr>
        <w:t>/</w:t>
      </w:r>
      <w:r w:rsidR="00FD4DA1" w:rsidRPr="00B9629C">
        <w:rPr>
          <w:highlight w:val="darkGray"/>
        </w:rPr>
        <w:t>A17.0-1/A17.8-9/</w:t>
      </w:r>
      <w:r w:rsidR="0098363A" w:rsidRPr="00B9629C">
        <w:rPr>
          <w:highlight w:val="darkGray"/>
        </w:rPr>
        <w:t>A18.0-8/A19.0-2/A19.8-9</w:t>
      </w:r>
      <w:r w:rsidR="00CC1AC8" w:rsidRPr="00B9629C">
        <w:rPr>
          <w:highlight w:val="darkGray"/>
        </w:rPr>
        <w:t xml:space="preserve"> + </w:t>
      </w:r>
      <w:r w:rsidRPr="00B9629C">
        <w:rPr>
          <w:highlight w:val="darkGray"/>
        </w:rPr>
        <w:t>B20.0</w:t>
      </w:r>
    </w:p>
    <w:p w14:paraId="6177C8A3" w14:textId="77777777" w:rsidR="00E5138C" w:rsidRPr="00B9629C" w:rsidRDefault="00E5138C" w:rsidP="003C1E42">
      <w:pPr>
        <w:pStyle w:val="Heading5"/>
        <w:rPr>
          <w:highlight w:val="darkGray"/>
        </w:rPr>
      </w:pPr>
      <w:r w:rsidRPr="00B9629C">
        <w:rPr>
          <w:highlight w:val="darkGray"/>
        </w:rPr>
        <w:t>DESCRIPTION</w:t>
      </w:r>
    </w:p>
    <w:p w14:paraId="4B590229" w14:textId="77777777" w:rsidR="00E5138C" w:rsidRPr="00B9629C" w:rsidRDefault="00E5138C" w:rsidP="002336C8">
      <w:pPr>
        <w:rPr>
          <w:highlight w:val="darkGray"/>
        </w:rPr>
      </w:pPr>
      <w:r w:rsidRPr="00B9629C">
        <w:rPr>
          <w:highlight w:val="darkGray"/>
        </w:rPr>
        <w:t>TB and HIV are often comorbid conditions. Exclude TB in all patients before starting ART. See Section 17.4.2: Pulmonary tuberculosis, in children.</w:t>
      </w:r>
    </w:p>
    <w:p w14:paraId="20BB0EFD" w14:textId="77777777" w:rsidR="00E5138C" w:rsidRPr="00B9629C" w:rsidRDefault="00E5138C" w:rsidP="002336C8">
      <w:pPr>
        <w:rPr>
          <w:highlight w:val="darkGray"/>
        </w:rPr>
      </w:pPr>
      <w:r w:rsidRPr="00B9629C">
        <w:rPr>
          <w:highlight w:val="darkGray"/>
        </w:rPr>
        <w:t xml:space="preserve">Re-evaluate the risk for TB and TB contact at each visit on history (including contact history) and clinical examination. </w:t>
      </w:r>
    </w:p>
    <w:p w14:paraId="3DAF2800" w14:textId="48AD360D" w:rsidR="00E5138C" w:rsidRPr="00B9629C" w:rsidRDefault="00E5138C" w:rsidP="002336C8">
      <w:pPr>
        <w:rPr>
          <w:highlight w:val="darkGray"/>
        </w:rPr>
      </w:pPr>
      <w:r w:rsidRPr="00B9629C">
        <w:rPr>
          <w:highlight w:val="darkGray"/>
        </w:rPr>
        <w:t>TB should be considered early in non-resolving pneumonias.</w:t>
      </w:r>
      <w:r w:rsidR="00776665" w:rsidRPr="00B9629C">
        <w:rPr>
          <w:highlight w:val="darkGray"/>
        </w:rPr>
        <w:t xml:space="preserve"> At every follow up visit, ask about symptoms of cough, night sweats, fever, TB contacts and check for failure to thrive.</w:t>
      </w:r>
      <w:r w:rsidR="002336C8" w:rsidRPr="00B9629C">
        <w:rPr>
          <w:highlight w:val="darkGray"/>
        </w:rPr>
        <w:br/>
      </w:r>
      <w:r w:rsidR="002336C8" w:rsidRPr="00B9629C">
        <w:rPr>
          <w:highlight w:val="darkGray"/>
        </w:rPr>
        <w:br/>
      </w:r>
      <w:r w:rsidR="00C05492" w:rsidRPr="00B9629C">
        <w:rPr>
          <w:highlight w:val="darkGray"/>
        </w:rPr>
        <w:t>R</w:t>
      </w:r>
      <w:r w:rsidRPr="00B9629C">
        <w:rPr>
          <w:highlight w:val="darkGray"/>
        </w:rPr>
        <w:t>efer early for diagnostic evaluation.</w:t>
      </w:r>
      <w:r w:rsidR="00D337A2" w:rsidRPr="00B9629C">
        <w:rPr>
          <w:highlight w:val="darkGray"/>
        </w:rPr>
        <w:t xml:space="preserve"> </w:t>
      </w:r>
      <w:r w:rsidR="005E0EB1" w:rsidRPr="00B9629C">
        <w:rPr>
          <w:highlight w:val="darkGray"/>
        </w:rPr>
        <w:t>If TB is suspected:</w:t>
      </w:r>
    </w:p>
    <w:p w14:paraId="70EF2935" w14:textId="5BBB19C2" w:rsidR="00C05492" w:rsidRPr="00B9629C" w:rsidRDefault="00C05492" w:rsidP="00C05492">
      <w:pPr>
        <w:pStyle w:val="ListParagraph"/>
        <w:rPr>
          <w:highlight w:val="darkGray"/>
        </w:rPr>
      </w:pPr>
      <w:r w:rsidRPr="00B9629C">
        <w:rPr>
          <w:highlight w:val="darkGray"/>
        </w:rPr>
        <w:t>Chest radiograph (CXR)</w:t>
      </w:r>
      <w:r w:rsidR="00985A1C" w:rsidRPr="00B9629C">
        <w:rPr>
          <w:highlight w:val="darkGray"/>
        </w:rPr>
        <w:t>.</w:t>
      </w:r>
    </w:p>
    <w:p w14:paraId="65CAD753" w14:textId="2F6F6A27" w:rsidR="00C05492" w:rsidRPr="00B9629C" w:rsidRDefault="00C05492" w:rsidP="00383C11">
      <w:pPr>
        <w:pStyle w:val="ListParagraph"/>
        <w:rPr>
          <w:highlight w:val="darkGray"/>
        </w:rPr>
      </w:pPr>
      <w:r w:rsidRPr="00B9629C">
        <w:rPr>
          <w:highlight w:val="darkGray"/>
        </w:rPr>
        <w:t>Gen</w:t>
      </w:r>
      <w:r w:rsidR="00D337A2" w:rsidRPr="00B9629C">
        <w:rPr>
          <w:highlight w:val="darkGray"/>
        </w:rPr>
        <w:t>e</w:t>
      </w:r>
      <w:r w:rsidRPr="00B9629C">
        <w:rPr>
          <w:highlight w:val="darkGray"/>
        </w:rPr>
        <w:t>Xpert on any relevant specimen including stool</w:t>
      </w:r>
      <w:r w:rsidR="00985A1C" w:rsidRPr="00B9629C">
        <w:rPr>
          <w:highlight w:val="darkGray"/>
        </w:rPr>
        <w:t>.</w:t>
      </w:r>
    </w:p>
    <w:p w14:paraId="6B35A031" w14:textId="26CB089E" w:rsidR="00C05492" w:rsidRPr="00B9629C" w:rsidRDefault="00C05492" w:rsidP="00383C11">
      <w:pPr>
        <w:pStyle w:val="ListParagraph"/>
        <w:rPr>
          <w:highlight w:val="darkGray"/>
        </w:rPr>
      </w:pPr>
      <w:r w:rsidRPr="00B9629C">
        <w:rPr>
          <w:highlight w:val="darkGray"/>
        </w:rPr>
        <w:t>Culture on respiratory or appropriate specimen</w:t>
      </w:r>
      <w:r w:rsidR="00985A1C" w:rsidRPr="00B9629C">
        <w:rPr>
          <w:highlight w:val="darkGray"/>
        </w:rPr>
        <w:t>.</w:t>
      </w:r>
    </w:p>
    <w:p w14:paraId="625B4931" w14:textId="01EC146E" w:rsidR="005E0EB1" w:rsidRPr="00B9629C" w:rsidRDefault="00C05492" w:rsidP="00840AAC">
      <w:pPr>
        <w:pStyle w:val="ListParagraph"/>
        <w:rPr>
          <w:highlight w:val="darkGray"/>
        </w:rPr>
      </w:pPr>
      <w:r w:rsidRPr="00B9629C">
        <w:rPr>
          <w:highlight w:val="darkGray"/>
        </w:rPr>
        <w:t>Urine-LAM</w:t>
      </w:r>
      <w:r w:rsidR="00D337A2" w:rsidRPr="00B9629C">
        <w:rPr>
          <w:highlight w:val="darkGray"/>
        </w:rPr>
        <w:t xml:space="preserve">. </w:t>
      </w:r>
      <w:r w:rsidRPr="00B9629C">
        <w:rPr>
          <w:highlight w:val="darkGray"/>
        </w:rPr>
        <w:t>If no sample obtained, continue evaluation</w:t>
      </w:r>
      <w:r w:rsidR="00985A1C" w:rsidRPr="00B9629C">
        <w:rPr>
          <w:highlight w:val="darkGray"/>
        </w:rPr>
        <w:t>.</w:t>
      </w:r>
    </w:p>
    <w:p w14:paraId="6A56B60C" w14:textId="77777777" w:rsidR="00840AAC" w:rsidRPr="00B9629C" w:rsidRDefault="00840AAC" w:rsidP="00840AAC">
      <w:pPr>
        <w:pStyle w:val="Heading5"/>
        <w:spacing w:before="0"/>
        <w:rPr>
          <w:highlight w:val="darkGray"/>
        </w:rPr>
      </w:pPr>
    </w:p>
    <w:p w14:paraId="6D13D2AC" w14:textId="77777777" w:rsidR="00E5138C" w:rsidRPr="00B9629C" w:rsidRDefault="00E5138C" w:rsidP="00840AAC">
      <w:pPr>
        <w:pStyle w:val="Heading5"/>
        <w:spacing w:before="0"/>
        <w:rPr>
          <w:highlight w:val="darkGray"/>
        </w:rPr>
      </w:pPr>
      <w:r w:rsidRPr="00B9629C">
        <w:rPr>
          <w:highlight w:val="darkGray"/>
        </w:rPr>
        <w:t>MEDICINE TREATMENT</w:t>
      </w:r>
    </w:p>
    <w:p w14:paraId="2C860BBE" w14:textId="77777777" w:rsidR="00E5138C" w:rsidRPr="00B9629C" w:rsidRDefault="00E5138C" w:rsidP="00E5138C">
      <w:pPr>
        <w:rPr>
          <w:highlight w:val="darkGray"/>
        </w:rPr>
      </w:pPr>
      <w:r w:rsidRPr="00B9629C">
        <w:rPr>
          <w:rStyle w:val="Strong"/>
          <w:highlight w:val="darkGray"/>
        </w:rPr>
        <w:t xml:space="preserve">TB prophylaxis </w:t>
      </w:r>
      <w:r w:rsidRPr="00B9629C">
        <w:rPr>
          <w:highlight w:val="darkGray"/>
        </w:rPr>
        <w:t>Z29.2 + (B24)</w:t>
      </w:r>
    </w:p>
    <w:p w14:paraId="2D7D4A39" w14:textId="77777777" w:rsidR="00E5138C" w:rsidRPr="00B9629C" w:rsidRDefault="00E5138C" w:rsidP="002336C8">
      <w:pPr>
        <w:pStyle w:val="NoSpacing"/>
        <w:rPr>
          <w:highlight w:val="darkGray"/>
        </w:rPr>
      </w:pPr>
      <w:r w:rsidRPr="00B9629C">
        <w:rPr>
          <w:highlight w:val="darkGray"/>
        </w:rPr>
        <w:t>Give TB prophylaxis to all HIV-infected children in whom no evidence of TB disease is present and who are:</w:t>
      </w:r>
    </w:p>
    <w:p w14:paraId="3A952A26" w14:textId="16EA889B" w:rsidR="00E5138C" w:rsidRPr="00B9629C" w:rsidRDefault="00E5138C" w:rsidP="00424607">
      <w:pPr>
        <w:pStyle w:val="BulletMedicine"/>
        <w:rPr>
          <w:highlight w:val="darkGray"/>
        </w:rPr>
      </w:pPr>
      <w:r w:rsidRPr="00B9629C">
        <w:rPr>
          <w:highlight w:val="darkGray"/>
        </w:rPr>
        <w:t>Exposed to a close contact with infectious pulmonary TB</w:t>
      </w:r>
      <w:r w:rsidR="00985A1C" w:rsidRPr="00B9629C">
        <w:rPr>
          <w:highlight w:val="darkGray"/>
        </w:rPr>
        <w:t>,</w:t>
      </w:r>
      <w:r w:rsidRPr="00B9629C">
        <w:rPr>
          <w:highlight w:val="darkGray"/>
        </w:rPr>
        <w:t xml:space="preserve"> or</w:t>
      </w:r>
    </w:p>
    <w:p w14:paraId="077ECB8D" w14:textId="304FFFDB" w:rsidR="00E5138C" w:rsidRPr="00B9629C" w:rsidRDefault="00E5138C" w:rsidP="00424607">
      <w:pPr>
        <w:pStyle w:val="BulletMedicine"/>
        <w:rPr>
          <w:highlight w:val="darkGray"/>
        </w:rPr>
      </w:pPr>
      <w:r w:rsidRPr="00B9629C">
        <w:rPr>
          <w:highlight w:val="darkGray"/>
        </w:rPr>
        <w:t>TST-positive (</w:t>
      </w:r>
      <w:r w:rsidR="000C7CAB" w:rsidRPr="00B9629C">
        <w:rPr>
          <w:highlight w:val="darkGray"/>
        </w:rPr>
        <w:t xml:space="preserve">this </w:t>
      </w:r>
      <w:r w:rsidR="001C271C" w:rsidRPr="00B9629C">
        <w:rPr>
          <w:highlight w:val="darkGray"/>
        </w:rPr>
        <w:t xml:space="preserve">test </w:t>
      </w:r>
      <w:r w:rsidR="000C7CAB" w:rsidRPr="00B9629C">
        <w:rPr>
          <w:highlight w:val="darkGray"/>
        </w:rPr>
        <w:t xml:space="preserve"> is only reliable the first time TPT is given</w:t>
      </w:r>
      <w:r w:rsidRPr="00B9629C">
        <w:rPr>
          <w:highlight w:val="darkGray"/>
        </w:rPr>
        <w:t>).</w:t>
      </w:r>
    </w:p>
    <w:p w14:paraId="6D9E3F7C" w14:textId="3D2D0394" w:rsidR="00E5138C" w:rsidRPr="00B9629C" w:rsidRDefault="00E5138C" w:rsidP="002336C8">
      <w:pPr>
        <w:pStyle w:val="BulletMedicine"/>
        <w:rPr>
          <w:highlight w:val="darkGray"/>
        </w:rPr>
      </w:pPr>
      <w:r w:rsidRPr="00B9629C">
        <w:rPr>
          <w:highlight w:val="darkGray"/>
        </w:rPr>
        <w:t>Isoniazid, oral</w:t>
      </w:r>
      <w:r w:rsidR="00042E17" w:rsidRPr="00B9629C">
        <w:rPr>
          <w:highlight w:val="darkGray"/>
        </w:rPr>
        <w:fldChar w:fldCharType="begin"/>
      </w:r>
      <w:r w:rsidR="00042E17" w:rsidRPr="00B9629C">
        <w:rPr>
          <w:highlight w:val="darkGray"/>
        </w:rPr>
        <w:instrText xml:space="preserve"> XE "Isoniazid, oral" \f "m" </w:instrText>
      </w:r>
      <w:r w:rsidR="00042E17" w:rsidRPr="00B9629C">
        <w:rPr>
          <w:highlight w:val="darkGray"/>
        </w:rPr>
        <w:fldChar w:fldCharType="end"/>
      </w:r>
      <w:r w:rsidRPr="00B9629C">
        <w:rPr>
          <w:highlight w:val="darkGray"/>
        </w:rPr>
        <w:t xml:space="preserve">, 10 mg/kg/dose once daily for 6 months. </w:t>
      </w:r>
    </w:p>
    <w:p w14:paraId="6AF66225" w14:textId="017CEA03" w:rsidR="00E5138C" w:rsidRPr="00B9629C" w:rsidRDefault="00E5138C" w:rsidP="00F17EEF">
      <w:pPr>
        <w:pStyle w:val="BulletDirectionsInstructions"/>
        <w:rPr>
          <w:highlight w:val="darkGray"/>
        </w:rPr>
      </w:pPr>
      <w:r w:rsidRPr="00B9629C">
        <w:rPr>
          <w:highlight w:val="darkGray"/>
        </w:rPr>
        <w:t>Maximum dose</w:t>
      </w:r>
      <w:r w:rsidR="00C1566C" w:rsidRPr="00B9629C">
        <w:rPr>
          <w:highlight w:val="darkGray"/>
        </w:rPr>
        <w:t>:</w:t>
      </w:r>
      <w:r w:rsidRPr="00B9629C">
        <w:rPr>
          <w:highlight w:val="darkGray"/>
        </w:rPr>
        <w:t xml:space="preserve"> 300 mg daily.</w:t>
      </w:r>
    </w:p>
    <w:p w14:paraId="09200714" w14:textId="56FAA858" w:rsidR="00E5138C" w:rsidRPr="00B9629C" w:rsidRDefault="00E5138C" w:rsidP="00F17EEF">
      <w:pPr>
        <w:pStyle w:val="BulletDirectionsInstructions"/>
        <w:rPr>
          <w:highlight w:val="darkGray"/>
        </w:rPr>
      </w:pPr>
      <w:r w:rsidRPr="00B9629C">
        <w:rPr>
          <w:highlight w:val="darkGray"/>
        </w:rPr>
        <w:t>See Section 17.4.2.1: TB chemoprophylaxis/Isoniazid preventive therapy (IPT) in children.</w:t>
      </w:r>
    </w:p>
    <w:p w14:paraId="4AC208E8" w14:textId="77777777" w:rsidR="00E5138C" w:rsidRPr="00B9629C" w:rsidRDefault="00E5138C" w:rsidP="00F17EEF">
      <w:pPr>
        <w:rPr>
          <w:highlight w:val="darkGray"/>
        </w:rPr>
      </w:pPr>
      <w:r w:rsidRPr="00B9629C">
        <w:rPr>
          <w:highlight w:val="darkGray"/>
        </w:rPr>
        <w:t>Repeat course if an HIV-infected patient, irrespective of age, is re-exposed to a TB contact at any point after completing TB treatment or prophylaxis.</w:t>
      </w:r>
    </w:p>
    <w:p w14:paraId="74CD7F0E" w14:textId="3B04B8CA" w:rsidR="00E5138C" w:rsidRPr="00B9629C" w:rsidRDefault="005F1A2A" w:rsidP="00F17EEF">
      <w:pPr>
        <w:rPr>
          <w:highlight w:val="darkGray"/>
        </w:rPr>
      </w:pPr>
      <w:r w:rsidRPr="00B9629C">
        <w:rPr>
          <w:highlight w:val="darkGray"/>
        </w:rPr>
        <w:t>Refer i</w:t>
      </w:r>
      <w:r w:rsidR="00E5138C" w:rsidRPr="00B9629C">
        <w:rPr>
          <w:highlight w:val="darkGray"/>
        </w:rPr>
        <w:t>f patient has been exposed to a known MDR or XDR-TB source case or the contact case has failed standard TB treatment</w:t>
      </w:r>
      <w:r w:rsidRPr="00B9629C">
        <w:rPr>
          <w:highlight w:val="darkGray"/>
        </w:rPr>
        <w:t>.</w:t>
      </w:r>
    </w:p>
    <w:p w14:paraId="5899C952" w14:textId="4253BF07" w:rsidR="00E5138C" w:rsidRPr="00B9629C" w:rsidRDefault="00E5138C" w:rsidP="00F17EEF">
      <w:pPr>
        <w:pStyle w:val="Heading6"/>
        <w:rPr>
          <w:highlight w:val="darkGray"/>
        </w:rPr>
      </w:pPr>
      <w:r w:rsidRPr="00B9629C">
        <w:rPr>
          <w:highlight w:val="darkGray"/>
        </w:rPr>
        <w:t>TB treatment</w:t>
      </w:r>
      <w:r w:rsidR="004A6630" w:rsidRPr="00B9629C">
        <w:rPr>
          <w:highlight w:val="darkGray"/>
        </w:rPr>
        <w:t xml:space="preserve"> </w:t>
      </w:r>
    </w:p>
    <w:p w14:paraId="1ECD3658" w14:textId="77777777" w:rsidR="00E5138C" w:rsidRPr="00B9629C" w:rsidRDefault="00E5138C" w:rsidP="007F35AF">
      <w:pPr>
        <w:rPr>
          <w:highlight w:val="darkGray"/>
        </w:rPr>
      </w:pPr>
      <w:r w:rsidRPr="00B9629C">
        <w:rPr>
          <w:highlight w:val="darkGray"/>
        </w:rPr>
        <w:t>If the child is not yet on ART:</w:t>
      </w:r>
    </w:p>
    <w:p w14:paraId="54F83E1D" w14:textId="13F7452E" w:rsidR="001B2A17" w:rsidRPr="00B9629C" w:rsidRDefault="001B2A17" w:rsidP="009750A0">
      <w:pPr>
        <w:pStyle w:val="ListParagraph"/>
        <w:numPr>
          <w:ilvl w:val="0"/>
          <w:numId w:val="28"/>
        </w:numPr>
        <w:rPr>
          <w:highlight w:val="darkGray"/>
        </w:rPr>
      </w:pPr>
      <w:r w:rsidRPr="00B9629C">
        <w:rPr>
          <w:highlight w:val="darkGray"/>
        </w:rPr>
        <w:t xml:space="preserve">TB treatment and ART can be started at the same time, with the exception of children with TB meningitis – start ART at 4 weeks regardless of CD4 count to avoid IRIS. </w:t>
      </w:r>
    </w:p>
    <w:p w14:paraId="5273CAE1" w14:textId="708DABE1" w:rsidR="001B2A17" w:rsidRPr="00B9629C" w:rsidRDefault="001B2A17" w:rsidP="009750A0">
      <w:pPr>
        <w:pStyle w:val="ListParagraph"/>
        <w:numPr>
          <w:ilvl w:val="0"/>
          <w:numId w:val="28"/>
        </w:numPr>
        <w:rPr>
          <w:highlight w:val="darkGray"/>
        </w:rPr>
      </w:pPr>
      <w:r w:rsidRPr="00B9629C">
        <w:rPr>
          <w:highlight w:val="darkGray"/>
        </w:rPr>
        <w:t xml:space="preserve">Assess the child for possible disseminated TB disease. </w:t>
      </w:r>
    </w:p>
    <w:p w14:paraId="575F5B3E" w14:textId="71EB1A0B" w:rsidR="001B2A17" w:rsidRPr="00B9629C" w:rsidRDefault="001B2A17" w:rsidP="009750A0">
      <w:pPr>
        <w:pStyle w:val="ListParagraph"/>
        <w:numPr>
          <w:ilvl w:val="0"/>
          <w:numId w:val="28"/>
        </w:numPr>
        <w:rPr>
          <w:highlight w:val="darkGray"/>
        </w:rPr>
      </w:pPr>
      <w:r w:rsidRPr="00B9629C">
        <w:rPr>
          <w:highlight w:val="darkGray"/>
        </w:rPr>
        <w:t xml:space="preserve">Be aware of the possibility of Immune Reconstitution Inflammatory Syndrome (IRIS). </w:t>
      </w:r>
    </w:p>
    <w:p w14:paraId="7202CE8A" w14:textId="77777777" w:rsidR="00E5138C" w:rsidRPr="00B9629C" w:rsidRDefault="00E5138C" w:rsidP="007F35AF">
      <w:pPr>
        <w:rPr>
          <w:highlight w:val="darkGray"/>
        </w:rPr>
      </w:pPr>
      <w:r w:rsidRPr="00B9629C">
        <w:rPr>
          <w:highlight w:val="darkGray"/>
        </w:rPr>
        <w:t>If the child is already on ART:</w:t>
      </w:r>
    </w:p>
    <w:p w14:paraId="5425ABB6" w14:textId="3790D7D3" w:rsidR="001B2A17" w:rsidRPr="00B9629C" w:rsidRDefault="001B2A17" w:rsidP="009750A0">
      <w:pPr>
        <w:pStyle w:val="ListParagraph"/>
        <w:numPr>
          <w:ilvl w:val="0"/>
          <w:numId w:val="28"/>
        </w:numPr>
        <w:rPr>
          <w:highlight w:val="darkGray"/>
        </w:rPr>
      </w:pPr>
      <w:r w:rsidRPr="00B9629C">
        <w:rPr>
          <w:highlight w:val="darkGray"/>
        </w:rPr>
        <w:t xml:space="preserve">Commence TB treatment, considering possible drug interactions and the need for ART dosage adaptations. </w:t>
      </w:r>
    </w:p>
    <w:p w14:paraId="78AC27CF" w14:textId="7BEAE65E" w:rsidR="00E5138C" w:rsidRPr="00B9629C" w:rsidRDefault="00E5138C" w:rsidP="007F35AF">
      <w:pPr>
        <w:rPr>
          <w:highlight w:val="darkGray"/>
        </w:rPr>
      </w:pPr>
      <w:r w:rsidRPr="00B9629C">
        <w:rPr>
          <w:highlight w:val="darkGray"/>
        </w:rPr>
        <w:lastRenderedPageBreak/>
        <w:t>If the child needs to take concomitant ART and rifampicin</w:t>
      </w:r>
      <w:r w:rsidR="001B2A17" w:rsidRPr="00B9629C">
        <w:rPr>
          <w:highlight w:val="darkGray"/>
        </w:rPr>
        <w:t>-containing treatment</w:t>
      </w:r>
      <w:r w:rsidRPr="00B9629C">
        <w:rPr>
          <w:highlight w:val="darkGray"/>
        </w:rPr>
        <w:t>:</w:t>
      </w:r>
    </w:p>
    <w:p w14:paraId="03AD66CD" w14:textId="77777777" w:rsidR="001B2A17" w:rsidRPr="00B9629C" w:rsidRDefault="001B2A17" w:rsidP="009750A0">
      <w:pPr>
        <w:pStyle w:val="ListParagraph"/>
        <w:numPr>
          <w:ilvl w:val="0"/>
          <w:numId w:val="29"/>
        </w:numPr>
        <w:rPr>
          <w:highlight w:val="darkGray"/>
        </w:rPr>
      </w:pPr>
      <w:r w:rsidRPr="00B9629C">
        <w:rPr>
          <w:highlight w:val="darkGray"/>
        </w:rPr>
        <w:t xml:space="preserve">Dolutegravir: use dolutegravir twice daily. </w:t>
      </w:r>
    </w:p>
    <w:p w14:paraId="2E4D8BC8" w14:textId="2F1E22CB" w:rsidR="001B2A17" w:rsidRPr="00B9629C" w:rsidRDefault="001B2A17" w:rsidP="009750A0">
      <w:pPr>
        <w:pStyle w:val="ListParagraph"/>
        <w:numPr>
          <w:ilvl w:val="0"/>
          <w:numId w:val="29"/>
        </w:numPr>
        <w:rPr>
          <w:highlight w:val="darkGray"/>
        </w:rPr>
      </w:pPr>
      <w:r w:rsidRPr="00B9629C">
        <w:rPr>
          <w:highlight w:val="darkGray"/>
        </w:rPr>
        <w:t xml:space="preserve">Efavirenz: use the normal recommended dosage as per the dosing table. </w:t>
      </w:r>
    </w:p>
    <w:p w14:paraId="6FF8522B" w14:textId="02352B29" w:rsidR="001B2A17" w:rsidRPr="00B9629C" w:rsidRDefault="001B2A17" w:rsidP="009750A0">
      <w:pPr>
        <w:pStyle w:val="ListParagraph"/>
        <w:numPr>
          <w:ilvl w:val="0"/>
          <w:numId w:val="29"/>
        </w:numPr>
        <w:rPr>
          <w:highlight w:val="darkGray"/>
        </w:rPr>
      </w:pPr>
      <w:r w:rsidRPr="00B9629C">
        <w:rPr>
          <w:highlight w:val="darkGray"/>
        </w:rPr>
        <w:t xml:space="preserve">Abacavir and lamivudine: no adjustment of dosages. </w:t>
      </w:r>
    </w:p>
    <w:p w14:paraId="3D3205AE" w14:textId="7A6FBF1D" w:rsidR="001B2A17" w:rsidRPr="00B9629C" w:rsidRDefault="001B2A17" w:rsidP="009750A0">
      <w:pPr>
        <w:pStyle w:val="ListParagraph"/>
        <w:numPr>
          <w:ilvl w:val="0"/>
          <w:numId w:val="29"/>
        </w:numPr>
        <w:rPr>
          <w:highlight w:val="darkGray"/>
        </w:rPr>
      </w:pPr>
      <w:r w:rsidRPr="00B9629C">
        <w:rPr>
          <w:highlight w:val="darkGray"/>
        </w:rPr>
        <w:t xml:space="preserve">Lopinavir/ritonavir: refer to the dosage table for the ritonavir boosting doses. </w:t>
      </w:r>
    </w:p>
    <w:p w14:paraId="49B0048B" w14:textId="1EF8D9AC" w:rsidR="001B2A17" w:rsidRPr="00B9629C" w:rsidRDefault="001B2A17" w:rsidP="009750A0">
      <w:pPr>
        <w:pStyle w:val="ListParagraph"/>
        <w:numPr>
          <w:ilvl w:val="0"/>
          <w:numId w:val="30"/>
        </w:numPr>
        <w:rPr>
          <w:highlight w:val="darkGray"/>
        </w:rPr>
      </w:pPr>
      <w:r w:rsidRPr="00B9629C">
        <w:rPr>
          <w:highlight w:val="darkGray"/>
        </w:rPr>
        <w:t xml:space="preserve">Avoid using double-dose lopinavir/ritonavir solution in young children. If ritonavir powder is not available, consult an expert. </w:t>
      </w:r>
    </w:p>
    <w:p w14:paraId="0FD30912" w14:textId="2D8FE009" w:rsidR="00E5138C" w:rsidRPr="00B9629C" w:rsidRDefault="00E5138C" w:rsidP="009750A0">
      <w:pPr>
        <w:pStyle w:val="ListParagraph"/>
        <w:numPr>
          <w:ilvl w:val="0"/>
          <w:numId w:val="29"/>
        </w:numPr>
        <w:rPr>
          <w:highlight w:val="darkGray"/>
        </w:rPr>
      </w:pPr>
      <w:r w:rsidRPr="00B9629C">
        <w:rPr>
          <w:highlight w:val="darkGray"/>
        </w:rPr>
        <w:t xml:space="preserve">Give pyridoxine (vitamin B6) to all children on TB </w:t>
      </w:r>
      <w:r w:rsidR="00C96C45" w:rsidRPr="00B9629C">
        <w:rPr>
          <w:highlight w:val="darkGray"/>
        </w:rPr>
        <w:t xml:space="preserve">treatment </w:t>
      </w:r>
      <w:r w:rsidRPr="00B9629C">
        <w:rPr>
          <w:highlight w:val="darkGray"/>
        </w:rPr>
        <w:t>and ART, to avoid development of peripheral neuropathy.</w:t>
      </w:r>
    </w:p>
    <w:p w14:paraId="2E0FA5C5" w14:textId="77777777" w:rsidR="00E5138C" w:rsidRPr="00B9629C" w:rsidRDefault="00E5138C" w:rsidP="00E5138C">
      <w:pPr>
        <w:pStyle w:val="NoSpacing"/>
        <w:rPr>
          <w:highlight w:val="darkGray"/>
        </w:rPr>
      </w:pPr>
    </w:p>
    <w:p w14:paraId="2957532E" w14:textId="2D9AACCD" w:rsidR="00E5138C" w:rsidRPr="00B9629C" w:rsidRDefault="00C70ABC" w:rsidP="00FE74E1">
      <w:pPr>
        <w:pStyle w:val="Heading2"/>
        <w:rPr>
          <w:highlight w:val="darkGray"/>
        </w:rPr>
      </w:pPr>
      <w:bookmarkStart w:id="79" w:name="_Toc57132073"/>
      <w:bookmarkStart w:id="80" w:name="_Toc177151122"/>
      <w:r w:rsidRPr="00B9629C">
        <w:rPr>
          <w:highlight w:val="darkGray"/>
        </w:rPr>
        <w:t>Developmental delay or deterioration</w:t>
      </w:r>
      <w:bookmarkEnd w:id="79"/>
      <w:bookmarkEnd w:id="80"/>
      <w:r w:rsidR="006D4857" w:rsidRPr="00B9629C">
        <w:rPr>
          <w:highlight w:val="darkGray"/>
        </w:rPr>
        <w:fldChar w:fldCharType="begin"/>
      </w:r>
      <w:r w:rsidR="006D4857" w:rsidRPr="00B9629C">
        <w:rPr>
          <w:highlight w:val="darkGray"/>
        </w:rPr>
        <w:instrText xml:space="preserve"> XE "Developmental delay or deterioration" \f “c”</w:instrText>
      </w:r>
      <w:r w:rsidR="006D4857" w:rsidRPr="00B9629C">
        <w:rPr>
          <w:highlight w:val="darkGray"/>
        </w:rPr>
        <w:fldChar w:fldCharType="end"/>
      </w:r>
      <w:r w:rsidRPr="00B9629C">
        <w:rPr>
          <w:highlight w:val="darkGray"/>
        </w:rPr>
        <w:t xml:space="preserve"> </w:t>
      </w:r>
    </w:p>
    <w:p w14:paraId="745DC644" w14:textId="77777777" w:rsidR="005E1AF9" w:rsidRPr="00B9629C" w:rsidRDefault="005E1AF9" w:rsidP="007F35AF">
      <w:pPr>
        <w:pStyle w:val="NoSpacing"/>
        <w:rPr>
          <w:highlight w:val="darkGray"/>
        </w:rPr>
      </w:pPr>
    </w:p>
    <w:p w14:paraId="4E37761C" w14:textId="1A538626" w:rsidR="005E1AF9" w:rsidRPr="00B9629C" w:rsidRDefault="005E1AF9" w:rsidP="00424607">
      <w:pPr>
        <w:pStyle w:val="Heading5"/>
        <w:rPr>
          <w:highlight w:val="darkGray"/>
        </w:rPr>
      </w:pPr>
      <w:r w:rsidRPr="00B9629C">
        <w:rPr>
          <w:highlight w:val="darkGray"/>
        </w:rPr>
        <w:t>General Measures</w:t>
      </w:r>
    </w:p>
    <w:p w14:paraId="161ED2AC" w14:textId="72063CF7" w:rsidR="00E5138C" w:rsidRPr="00B9629C" w:rsidRDefault="00A956DE" w:rsidP="007F35AF">
      <w:pPr>
        <w:pStyle w:val="NoSpacing"/>
        <w:rPr>
          <w:highlight w:val="darkGray"/>
        </w:rPr>
      </w:pPr>
      <w:r w:rsidRPr="00B9629C">
        <w:rPr>
          <w:highlight w:val="darkGray"/>
        </w:rPr>
        <w:t>Refer children with cognitive (learning problems) and motor delays for assesment and neurodevelopmental rehabilitation.</w:t>
      </w:r>
    </w:p>
    <w:p w14:paraId="3784C47C" w14:textId="77777777" w:rsidR="00E5138C" w:rsidRPr="00B9629C" w:rsidRDefault="00E5138C" w:rsidP="00F17EEF">
      <w:pPr>
        <w:pStyle w:val="NoSpacing"/>
        <w:rPr>
          <w:highlight w:val="darkGray"/>
        </w:rPr>
      </w:pPr>
    </w:p>
    <w:p w14:paraId="7B72A521" w14:textId="42CF2141" w:rsidR="00E5138C" w:rsidRPr="00B9629C" w:rsidRDefault="00C70ABC" w:rsidP="00424607">
      <w:pPr>
        <w:pStyle w:val="Heading2"/>
        <w:ind w:left="567"/>
        <w:rPr>
          <w:highlight w:val="darkGray"/>
        </w:rPr>
      </w:pPr>
      <w:bookmarkStart w:id="81" w:name="_Toc57132074"/>
      <w:bookmarkStart w:id="82" w:name="_Toc177151123"/>
      <w:r w:rsidRPr="00B9629C">
        <w:rPr>
          <w:highlight w:val="darkGray"/>
        </w:rPr>
        <w:t>Anaemia</w:t>
      </w:r>
      <w:bookmarkEnd w:id="81"/>
      <w:bookmarkEnd w:id="82"/>
      <w:r w:rsidR="006D4857" w:rsidRPr="00B9629C">
        <w:rPr>
          <w:highlight w:val="darkGray"/>
        </w:rPr>
        <w:fldChar w:fldCharType="begin"/>
      </w:r>
      <w:r w:rsidR="006D4857" w:rsidRPr="00B9629C">
        <w:rPr>
          <w:highlight w:val="darkGray"/>
        </w:rPr>
        <w:instrText xml:space="preserve"> XE "Anaemia" \f “c”</w:instrText>
      </w:r>
      <w:r w:rsidR="006D4857" w:rsidRPr="00B9629C">
        <w:rPr>
          <w:highlight w:val="darkGray"/>
        </w:rPr>
        <w:fldChar w:fldCharType="end"/>
      </w:r>
    </w:p>
    <w:p w14:paraId="7835EC41" w14:textId="320F0661" w:rsidR="00E5138C" w:rsidRPr="00367F15" w:rsidRDefault="00E5138C" w:rsidP="00F17EEF">
      <w:pPr>
        <w:pStyle w:val="NoSpacing"/>
      </w:pPr>
      <w:r w:rsidRPr="00B9629C">
        <w:rPr>
          <w:highlight w:val="darkGray"/>
        </w:rPr>
        <w:t>See Section 3.1: Anaemia</w:t>
      </w:r>
      <w:r w:rsidR="00560071" w:rsidRPr="00B9629C">
        <w:rPr>
          <w:highlight w:val="darkGray"/>
        </w:rPr>
        <w:t>.</w:t>
      </w:r>
    </w:p>
    <w:p w14:paraId="0F4BD818" w14:textId="77777777" w:rsidR="007F35AF" w:rsidRPr="00367F15" w:rsidRDefault="007F35AF" w:rsidP="00F17EEF">
      <w:pPr>
        <w:pStyle w:val="NoSpacing"/>
      </w:pPr>
    </w:p>
    <w:p w14:paraId="0E2E58B5" w14:textId="5C13D62C" w:rsidR="00E5138C" w:rsidRPr="00367F15" w:rsidRDefault="00C70ABC" w:rsidP="00C70ABC">
      <w:pPr>
        <w:pStyle w:val="Heading1A"/>
      </w:pPr>
      <w:bookmarkStart w:id="83" w:name="_Toc57132075"/>
      <w:bookmarkStart w:id="84" w:name="_Toc177151124"/>
      <w:r w:rsidRPr="00367F15">
        <w:lastRenderedPageBreak/>
        <w:t>HIV prevention</w:t>
      </w:r>
      <w:bookmarkEnd w:id="83"/>
      <w:bookmarkEnd w:id="84"/>
      <w:r w:rsidR="006D4857" w:rsidRPr="00367F15">
        <w:fldChar w:fldCharType="begin"/>
      </w:r>
      <w:r w:rsidR="006D4857" w:rsidRPr="00367F15">
        <w:instrText xml:space="preserve"> XE "HIV prevention" \f “c”</w:instrText>
      </w:r>
      <w:r w:rsidR="006D4857" w:rsidRPr="00367F15">
        <w:fldChar w:fldCharType="end"/>
      </w:r>
    </w:p>
    <w:p w14:paraId="230DCB3B" w14:textId="77777777" w:rsidR="00E5138C" w:rsidRPr="00367F15" w:rsidRDefault="00E5138C" w:rsidP="0052290D">
      <w:pPr>
        <w:pStyle w:val="NoSpacing"/>
      </w:pPr>
    </w:p>
    <w:p w14:paraId="633A681B" w14:textId="1A472B10" w:rsidR="00E5138C" w:rsidRPr="00367F15" w:rsidRDefault="00C70ABC" w:rsidP="00FE74E1">
      <w:pPr>
        <w:pStyle w:val="Heading2"/>
      </w:pPr>
      <w:bookmarkStart w:id="85" w:name="_Toc57132076"/>
      <w:bookmarkStart w:id="86" w:name="_Toc177151125"/>
      <w:r w:rsidRPr="00367F15">
        <w:t>Pre-exposure prophylaxis</w:t>
      </w:r>
      <w:r w:rsidR="00F20225" w:rsidRPr="00367F15">
        <w:t xml:space="preserve"> (PrEP)</w:t>
      </w:r>
      <w:bookmarkEnd w:id="85"/>
      <w:bookmarkEnd w:id="86"/>
      <w:r w:rsidR="006D4857" w:rsidRPr="00367F15">
        <w:fldChar w:fldCharType="begin"/>
      </w:r>
      <w:r w:rsidR="006D4857" w:rsidRPr="00367F15">
        <w:instrText xml:space="preserve"> XE "Pre-exposure prophylaxis (PrEP)" \f “c”</w:instrText>
      </w:r>
      <w:r w:rsidR="006D4857" w:rsidRPr="00367F15">
        <w:fldChar w:fldCharType="end"/>
      </w:r>
    </w:p>
    <w:p w14:paraId="52B8AD32" w14:textId="67BA047D" w:rsidR="00E5138C" w:rsidRPr="00367F15" w:rsidRDefault="00694B37" w:rsidP="00F7195A">
      <w:pPr>
        <w:pStyle w:val="ICD10"/>
        <w:shd w:val="clear" w:color="auto" w:fill="F2F2F2" w:themeFill="background1" w:themeFillShade="F2"/>
        <w:tabs>
          <w:tab w:val="left" w:pos="2753"/>
        </w:tabs>
        <w:jc w:val="both"/>
      </w:pPr>
      <w:r>
        <w:t xml:space="preserve">Z20.6 + </w:t>
      </w:r>
      <w:r w:rsidR="00E5138C" w:rsidRPr="00367F15">
        <w:t>Z29.2</w:t>
      </w:r>
    </w:p>
    <w:p w14:paraId="2DFFABE8" w14:textId="779E44EC" w:rsidR="0052290D" w:rsidRPr="00367F15" w:rsidRDefault="0052290D" w:rsidP="00FE74E1">
      <w:pPr>
        <w:pStyle w:val="Centeredbox"/>
        <w:pBdr>
          <w:left w:val="double" w:sz="4" w:space="0" w:color="auto"/>
        </w:pBdr>
      </w:pPr>
      <w:r w:rsidRPr="00367F15">
        <w:t>Consult the most recent National Department of Health Guideline for PrEP eligibility criteria.</w:t>
      </w:r>
    </w:p>
    <w:p w14:paraId="2D3CA70A" w14:textId="77777777" w:rsidR="00E5138C" w:rsidRPr="00367F15" w:rsidRDefault="00E5138C" w:rsidP="002C223F">
      <w:pPr>
        <w:pStyle w:val="Heading5"/>
      </w:pPr>
      <w:r w:rsidRPr="00367F15">
        <w:t>DESCRIPTION</w:t>
      </w:r>
    </w:p>
    <w:p w14:paraId="0AE0E3E2" w14:textId="77777777" w:rsidR="00E5138C" w:rsidRPr="00367F15" w:rsidRDefault="00E5138C" w:rsidP="00197ED2">
      <w:pPr>
        <w:pStyle w:val="NoSpacing"/>
        <w:jc w:val="both"/>
      </w:pPr>
      <w:r w:rsidRPr="00367F15">
        <w:t xml:space="preserve">Pre-exposure prophylaxis (PrEP) is the use of antiretroviral medicines by HIV-negative individuals before potential exposure to HIV to prevent them from acquiring HIV infection. </w:t>
      </w:r>
    </w:p>
    <w:p w14:paraId="7092FFE2" w14:textId="77777777" w:rsidR="00E5138C" w:rsidRPr="00367F15" w:rsidRDefault="00E5138C" w:rsidP="00197ED2">
      <w:pPr>
        <w:pStyle w:val="NoSpacing"/>
        <w:jc w:val="both"/>
      </w:pPr>
      <w:r w:rsidRPr="00367F15">
        <w:t>PrEP only protects against HIV infection; it does not offer protection against other STIs or pregnancy.</w:t>
      </w:r>
    </w:p>
    <w:p w14:paraId="526F7670" w14:textId="67DD46A6" w:rsidR="00E5138C" w:rsidRPr="00367F15" w:rsidRDefault="00E5138C" w:rsidP="00197ED2">
      <w:pPr>
        <w:pStyle w:val="NoSpacing"/>
        <w:jc w:val="both"/>
      </w:pPr>
      <w:r w:rsidRPr="00367F15">
        <w:t>PrEP should be used as part of a</w:t>
      </w:r>
      <w:r w:rsidR="007E2C88">
        <w:t xml:space="preserve"> </w:t>
      </w:r>
      <w:r w:rsidRPr="00367F15">
        <w:t xml:space="preserve">package </w:t>
      </w:r>
      <w:r w:rsidR="004F1C79">
        <w:t xml:space="preserve">that </w:t>
      </w:r>
      <w:r w:rsidR="0037258C">
        <w:t xml:space="preserve">also </w:t>
      </w:r>
      <w:r w:rsidR="004F1C79">
        <w:t xml:space="preserve">includes </w:t>
      </w:r>
      <w:r w:rsidRPr="00367F15">
        <w:t>condoms</w:t>
      </w:r>
      <w:r w:rsidR="004F1C79">
        <w:t>;</w:t>
      </w:r>
      <w:r w:rsidRPr="00367F15">
        <w:t xml:space="preserve"> lubricants for anal sex</w:t>
      </w:r>
      <w:r w:rsidR="004F1C79">
        <w:t>;</w:t>
      </w:r>
      <w:r w:rsidRPr="00367F15">
        <w:t xml:space="preserve"> STI management</w:t>
      </w:r>
      <w:r w:rsidR="004F1C79">
        <w:t>;</w:t>
      </w:r>
      <w:r w:rsidRPr="00367F15">
        <w:t xml:space="preserve"> screening and management of intimate partner violence</w:t>
      </w:r>
      <w:r w:rsidR="004F1C79">
        <w:t>;</w:t>
      </w:r>
      <w:r w:rsidRPr="00367F15">
        <w:t xml:space="preserve"> sexual and reproductive health services</w:t>
      </w:r>
      <w:r w:rsidR="004F1C79">
        <w:t>;</w:t>
      </w:r>
      <w:r w:rsidRPr="00367F15">
        <w:t xml:space="preserve"> medical male circumcision</w:t>
      </w:r>
      <w:r w:rsidR="004F1C79">
        <w:t xml:space="preserve">; </w:t>
      </w:r>
      <w:r w:rsidRPr="00367F15">
        <w:t>and HIV services, including counse</w:t>
      </w:r>
      <w:r w:rsidR="00434A8A">
        <w:t>l</w:t>
      </w:r>
      <w:r w:rsidRPr="00367F15">
        <w:t xml:space="preserve">ling and testing, HIV management, ART, </w:t>
      </w:r>
      <w:r w:rsidR="00F8238D">
        <w:t xml:space="preserve">and </w:t>
      </w:r>
      <w:r w:rsidRPr="00367F15">
        <w:t>PEP.</w:t>
      </w:r>
    </w:p>
    <w:p w14:paraId="586EB828" w14:textId="1B4B88CE" w:rsidR="00197ED2" w:rsidRDefault="00197ED2" w:rsidP="00197ED2">
      <w:pPr>
        <w:pStyle w:val="NoSpacing"/>
        <w:jc w:val="both"/>
      </w:pPr>
      <w:r w:rsidRPr="00367F15">
        <w:t xml:space="preserve">All individuals requesting PrEP should </w:t>
      </w:r>
      <w:r w:rsidR="00FE59CA" w:rsidRPr="00367F15">
        <w:t xml:space="preserve">be </w:t>
      </w:r>
      <w:r w:rsidRPr="00367F15">
        <w:t>assessed and initiated if elgible.</w:t>
      </w:r>
    </w:p>
    <w:p w14:paraId="0FD43F7E" w14:textId="77777777" w:rsidR="0087673E" w:rsidRPr="00367F15" w:rsidRDefault="0087673E" w:rsidP="00197ED2">
      <w:pPr>
        <w:pStyle w:val="NoSpacing"/>
        <w:jc w:val="both"/>
      </w:pPr>
    </w:p>
    <w:p w14:paraId="6B2D6EB5" w14:textId="5E7E33A5" w:rsidR="00E5138C" w:rsidRPr="00367F15" w:rsidRDefault="00E5138C" w:rsidP="00BE252B">
      <w:pPr>
        <w:pStyle w:val="Heading6"/>
      </w:pPr>
      <w:r w:rsidRPr="00367F15">
        <w:t xml:space="preserve">Individuals initiated on PrEP must </w:t>
      </w:r>
      <w:r w:rsidR="009747A1">
        <w:t>meet the following criteria</w:t>
      </w:r>
      <w:r w:rsidRPr="00367F15">
        <w:t>:</w:t>
      </w:r>
    </w:p>
    <w:p w14:paraId="48FD1881" w14:textId="77777777" w:rsidR="00E5138C" w:rsidRPr="00367F15" w:rsidRDefault="00E5138C" w:rsidP="00BE252B">
      <w:pPr>
        <w:pStyle w:val="ListParagraph"/>
      </w:pPr>
      <w:r w:rsidRPr="00367F15">
        <w:t>HIV-negative.</w:t>
      </w:r>
    </w:p>
    <w:p w14:paraId="4DE89B64" w14:textId="77777777" w:rsidR="00E5138C" w:rsidRPr="00367F15" w:rsidRDefault="00E5138C" w:rsidP="00BE252B">
      <w:pPr>
        <w:pStyle w:val="ListParagraph"/>
      </w:pPr>
      <w:r w:rsidRPr="00367F15">
        <w:t>Willing and able to adhere to PrEP.</w:t>
      </w:r>
    </w:p>
    <w:p w14:paraId="6F9E222B" w14:textId="0498E1AC" w:rsidR="00E5138C" w:rsidRPr="00367F15" w:rsidRDefault="00E5138C" w:rsidP="00BE252B">
      <w:pPr>
        <w:pStyle w:val="ListParagraph"/>
      </w:pPr>
      <w:r w:rsidRPr="00367F15">
        <w:t>Prepared to come for repeat HIV testing every 3 months</w:t>
      </w:r>
      <w:r w:rsidR="008E4759">
        <w:t xml:space="preserve"> </w:t>
      </w:r>
      <w:r w:rsidR="008E4759" w:rsidRPr="00982700">
        <w:t>if on oral PrEP or every 6 months if on injectable PrEP</w:t>
      </w:r>
      <w:r w:rsidRPr="00367F15">
        <w:t>.</w:t>
      </w:r>
    </w:p>
    <w:p w14:paraId="2091B978" w14:textId="395910BD" w:rsidR="00E5138C" w:rsidRPr="00367F15" w:rsidRDefault="00E5138C" w:rsidP="00BE252B">
      <w:pPr>
        <w:pStyle w:val="ListParagraph"/>
      </w:pPr>
      <w:r w:rsidRPr="00367F15">
        <w:t>No contra-indications to</w:t>
      </w:r>
      <w:r w:rsidR="00434A8A">
        <w:t>,</w:t>
      </w:r>
      <w:r w:rsidRPr="00367F15">
        <w:t xml:space="preserve"> </w:t>
      </w:r>
      <w:r w:rsidR="008E4759" w:rsidRPr="00982700">
        <w:t>or drug interactions with available PrEP options</w:t>
      </w:r>
      <w:r w:rsidR="008E4759">
        <w:t>.</w:t>
      </w:r>
    </w:p>
    <w:p w14:paraId="1184EF29" w14:textId="77777777" w:rsidR="00E5138C" w:rsidRPr="00367F15" w:rsidRDefault="00E5138C" w:rsidP="00BE252B">
      <w:pPr>
        <w:pStyle w:val="ListParagraph"/>
      </w:pPr>
      <w:r w:rsidRPr="00367F15">
        <w:t>No suspicion of acute HIV-infection (see clinical features, below).</w:t>
      </w:r>
    </w:p>
    <w:p w14:paraId="77B020D2" w14:textId="77777777" w:rsidR="00E5138C" w:rsidRPr="00367F15" w:rsidRDefault="00E5138C" w:rsidP="00BE252B">
      <w:pPr>
        <w:pStyle w:val="Heading6"/>
      </w:pPr>
      <w:r w:rsidRPr="00367F15">
        <w:t>Clinical features of acute HIV infection</w:t>
      </w:r>
    </w:p>
    <w:tbl>
      <w:tblPr>
        <w:tblStyle w:val="SamplePHCTable"/>
        <w:tblW w:w="0" w:type="auto"/>
        <w:tblLook w:val="04A0" w:firstRow="1" w:lastRow="0" w:firstColumn="1" w:lastColumn="0" w:noHBand="0" w:noVBand="1"/>
      </w:tblPr>
      <w:tblGrid>
        <w:gridCol w:w="1988"/>
        <w:gridCol w:w="4693"/>
      </w:tblGrid>
      <w:tr w:rsidR="00E5138C" w:rsidRPr="00367F15" w14:paraId="58750503" w14:textId="77777777" w:rsidTr="001643E1">
        <w:trPr>
          <w:cnfStyle w:val="100000000000" w:firstRow="1" w:lastRow="0" w:firstColumn="0" w:lastColumn="0" w:oddVBand="0" w:evenVBand="0" w:oddHBand="0" w:evenHBand="0" w:firstRowFirstColumn="0" w:firstRowLastColumn="0" w:lastRowFirstColumn="0" w:lastRowLastColumn="0"/>
        </w:trPr>
        <w:tc>
          <w:tcPr>
            <w:tcW w:w="0" w:type="auto"/>
          </w:tcPr>
          <w:p w14:paraId="75D24200" w14:textId="77777777" w:rsidR="00E5138C" w:rsidRPr="00367F15" w:rsidRDefault="00E5138C" w:rsidP="00352DAD">
            <w:pPr>
              <w:pStyle w:val="NoSpacing"/>
            </w:pPr>
            <w:r w:rsidRPr="00367F15">
              <w:t>Symptoms</w:t>
            </w:r>
          </w:p>
        </w:tc>
        <w:tc>
          <w:tcPr>
            <w:tcW w:w="0" w:type="auto"/>
          </w:tcPr>
          <w:p w14:paraId="1E3AFFD3" w14:textId="77777777" w:rsidR="00E5138C" w:rsidRPr="00367F15" w:rsidRDefault="00E5138C" w:rsidP="00352DAD">
            <w:pPr>
              <w:pStyle w:val="NoSpacing"/>
            </w:pPr>
            <w:r w:rsidRPr="00367F15">
              <w:t>Signs</w:t>
            </w:r>
          </w:p>
        </w:tc>
      </w:tr>
      <w:tr w:rsidR="00E5138C" w:rsidRPr="00367F15" w14:paraId="415D383B" w14:textId="77777777" w:rsidTr="001643E1">
        <w:tc>
          <w:tcPr>
            <w:tcW w:w="0" w:type="auto"/>
          </w:tcPr>
          <w:p w14:paraId="1C4E293F" w14:textId="77777777" w:rsidR="00E5138C" w:rsidRPr="00367F15" w:rsidRDefault="00E5138C" w:rsidP="00793265">
            <w:pPr>
              <w:pStyle w:val="NoSpacing"/>
              <w:jc w:val="left"/>
            </w:pPr>
            <w:r w:rsidRPr="00367F15">
              <w:t xml:space="preserve">Malaise, anorexia, myalgia, headache, sore throat, sore glands, rash </w:t>
            </w:r>
          </w:p>
        </w:tc>
        <w:tc>
          <w:tcPr>
            <w:tcW w:w="0" w:type="auto"/>
          </w:tcPr>
          <w:p w14:paraId="7D91119A" w14:textId="77777777" w:rsidR="00E5138C" w:rsidRPr="00367F15" w:rsidRDefault="00E5138C" w:rsidP="00793265">
            <w:pPr>
              <w:pStyle w:val="NoSpacing"/>
              <w:jc w:val="left"/>
            </w:pPr>
            <w:r w:rsidRPr="00367F15">
              <w:t xml:space="preserve">Fever, sweating, viral meningitis, generalised lymphadenopathy, hepatosplenomegaly, pharyngitis, truncal rash, orogenital herpetiform ulceration, oral/oesophageal candidiasis, cervical adenopathy </w:t>
            </w:r>
          </w:p>
        </w:tc>
      </w:tr>
    </w:tbl>
    <w:p w14:paraId="56A1F686" w14:textId="77777777" w:rsidR="00754562" w:rsidRDefault="00754562" w:rsidP="00754562"/>
    <w:p w14:paraId="17C488B9" w14:textId="3CAB1D50" w:rsidR="00E5138C" w:rsidRPr="00CA37EB" w:rsidRDefault="00E5138C" w:rsidP="00424607">
      <w:r w:rsidRPr="00424607">
        <w:rPr>
          <w:b/>
          <w:bCs/>
          <w:sz w:val="20"/>
          <w:szCs w:val="20"/>
        </w:rPr>
        <w:t>CONTRAINDICATIONS TO P</w:t>
      </w:r>
      <w:r w:rsidR="002E1A25" w:rsidRPr="00424607">
        <w:rPr>
          <w:b/>
          <w:bCs/>
          <w:sz w:val="20"/>
          <w:szCs w:val="20"/>
        </w:rPr>
        <w:t>r</w:t>
      </w:r>
      <w:r w:rsidRPr="00424607">
        <w:rPr>
          <w:b/>
          <w:bCs/>
          <w:sz w:val="20"/>
          <w:szCs w:val="20"/>
        </w:rPr>
        <w:t>EP</w:t>
      </w:r>
    </w:p>
    <w:p w14:paraId="69BDE936" w14:textId="355BA27D" w:rsidR="00E5138C" w:rsidRPr="00367F15" w:rsidRDefault="008E4759" w:rsidP="001643E1">
      <w:pPr>
        <w:pStyle w:val="ListParagraph"/>
      </w:pPr>
      <w:r>
        <w:t xml:space="preserve">Pre-existing HIV infection </w:t>
      </w:r>
      <w:r w:rsidRPr="00982700">
        <w:t>or unknown HIV status</w:t>
      </w:r>
      <w:r>
        <w:t>.</w:t>
      </w:r>
    </w:p>
    <w:p w14:paraId="3CF5F294" w14:textId="0C5BD6E4" w:rsidR="00E5138C" w:rsidRPr="00367F15" w:rsidRDefault="00E5138C" w:rsidP="001643E1">
      <w:pPr>
        <w:pStyle w:val="ListParagraph"/>
      </w:pPr>
      <w:r w:rsidRPr="00367F15">
        <w:t xml:space="preserve">Young women/men </w:t>
      </w:r>
      <w:r w:rsidR="00724290">
        <w:t>&lt;</w:t>
      </w:r>
      <w:r w:rsidRPr="00367F15">
        <w:t xml:space="preserve">35 kg or </w:t>
      </w:r>
      <w:r w:rsidR="00724290">
        <w:t>&lt;</w:t>
      </w:r>
      <w:r w:rsidRPr="00367F15">
        <w:t>15 years of age who are not Tanner stage 3 (sexual maturity) or greater.</w:t>
      </w:r>
    </w:p>
    <w:p w14:paraId="6E328568" w14:textId="77777777" w:rsidR="008E4759" w:rsidRDefault="008E4759" w:rsidP="008E4759">
      <w:pPr>
        <w:rPr>
          <w:b/>
          <w:bCs/>
          <w:sz w:val="20"/>
          <w:szCs w:val="20"/>
        </w:rPr>
      </w:pPr>
    </w:p>
    <w:p w14:paraId="2334EA6F" w14:textId="77777777" w:rsidR="008E4759" w:rsidRDefault="008E4759" w:rsidP="008E4759">
      <w:pPr>
        <w:rPr>
          <w:b/>
          <w:bCs/>
          <w:sz w:val="20"/>
          <w:szCs w:val="20"/>
        </w:rPr>
      </w:pPr>
    </w:p>
    <w:p w14:paraId="40125D58" w14:textId="77777777" w:rsidR="008E4759" w:rsidRDefault="008E4759" w:rsidP="008E4759">
      <w:pPr>
        <w:rPr>
          <w:b/>
          <w:bCs/>
          <w:sz w:val="20"/>
          <w:szCs w:val="20"/>
        </w:rPr>
      </w:pPr>
    </w:p>
    <w:p w14:paraId="1B93DB94" w14:textId="77777777" w:rsidR="008E4759" w:rsidRDefault="008E4759" w:rsidP="008E4759">
      <w:pPr>
        <w:rPr>
          <w:b/>
          <w:bCs/>
          <w:sz w:val="20"/>
          <w:szCs w:val="20"/>
        </w:rPr>
      </w:pPr>
    </w:p>
    <w:p w14:paraId="125B71BE" w14:textId="77777777" w:rsidR="008E4759" w:rsidRDefault="008E4759" w:rsidP="008E4759">
      <w:pPr>
        <w:rPr>
          <w:b/>
          <w:bCs/>
          <w:sz w:val="20"/>
          <w:szCs w:val="20"/>
        </w:rPr>
      </w:pPr>
    </w:p>
    <w:p w14:paraId="2A514DDE" w14:textId="77777777" w:rsidR="008E4759" w:rsidRPr="00C146A3" w:rsidRDefault="008E4759" w:rsidP="008E4759">
      <w:pPr>
        <w:rPr>
          <w:b/>
          <w:bCs/>
        </w:rPr>
      </w:pPr>
      <w:r w:rsidRPr="00C146A3">
        <w:rPr>
          <w:b/>
          <w:bCs/>
        </w:rPr>
        <w:lastRenderedPageBreak/>
        <w:t>Contraindications specific to PrEP options</w:t>
      </w:r>
    </w:p>
    <w:tbl>
      <w:tblPr>
        <w:tblStyle w:val="TableGrid"/>
        <w:tblW w:w="0" w:type="auto"/>
        <w:tblLook w:val="04A0" w:firstRow="1" w:lastRow="0" w:firstColumn="1" w:lastColumn="0" w:noHBand="0" w:noVBand="1"/>
      </w:tblPr>
      <w:tblGrid>
        <w:gridCol w:w="3347"/>
        <w:gridCol w:w="3334"/>
      </w:tblGrid>
      <w:tr w:rsidR="008E4759" w14:paraId="2B3B48C0" w14:textId="77777777" w:rsidTr="006360D0">
        <w:tc>
          <w:tcPr>
            <w:tcW w:w="3374" w:type="dxa"/>
          </w:tcPr>
          <w:p w14:paraId="0C24F9D2" w14:textId="77777777" w:rsidR="008E4759" w:rsidRPr="0083649E" w:rsidRDefault="008E4759" w:rsidP="008E4759">
            <w:pPr>
              <w:rPr>
                <w:b/>
                <w:lang w:val="en-US"/>
              </w:rPr>
            </w:pPr>
            <w:r w:rsidRPr="0083649E">
              <w:rPr>
                <w:b/>
                <w:lang w:val="en-US"/>
              </w:rPr>
              <w:t>Oral PrEP (tenofovir/emtricitabine</w:t>
            </w:r>
            <w:r>
              <w:rPr>
                <w:b/>
                <w:lang w:val="en-US"/>
              </w:rPr>
              <w:t xml:space="preserve"> (TDF+FTC)</w:t>
            </w:r>
            <w:r w:rsidRPr="0083649E">
              <w:rPr>
                <w:b/>
                <w:lang w:val="en-US"/>
              </w:rPr>
              <w:t>)</w:t>
            </w:r>
          </w:p>
        </w:tc>
        <w:tc>
          <w:tcPr>
            <w:tcW w:w="3374" w:type="dxa"/>
          </w:tcPr>
          <w:p w14:paraId="01909B4D" w14:textId="77777777" w:rsidR="008E4759" w:rsidRPr="00982700" w:rsidRDefault="008E4759" w:rsidP="008E4759">
            <w:pPr>
              <w:rPr>
                <w:b/>
                <w:lang w:val="en-US"/>
              </w:rPr>
            </w:pPr>
            <w:r w:rsidRPr="00982700">
              <w:rPr>
                <w:b/>
                <w:lang w:val="en-US"/>
              </w:rPr>
              <w:t xml:space="preserve">Injectable PrEP </w:t>
            </w:r>
          </w:p>
          <w:p w14:paraId="23A27A51" w14:textId="77777777" w:rsidR="008E4759" w:rsidRPr="00982700" w:rsidRDefault="008E4759" w:rsidP="008E4759">
            <w:pPr>
              <w:rPr>
                <w:b/>
                <w:lang w:val="en-US"/>
              </w:rPr>
            </w:pPr>
            <w:r w:rsidRPr="00982700">
              <w:rPr>
                <w:b/>
                <w:lang w:val="en-US"/>
              </w:rPr>
              <w:t xml:space="preserve">(lenacapavir (LEN)) </w:t>
            </w:r>
          </w:p>
        </w:tc>
      </w:tr>
      <w:tr w:rsidR="008E4759" w14:paraId="03E11D6D" w14:textId="77777777" w:rsidTr="006360D0">
        <w:tc>
          <w:tcPr>
            <w:tcW w:w="3374" w:type="dxa"/>
          </w:tcPr>
          <w:p w14:paraId="1C62AC21" w14:textId="77777777" w:rsidR="008E4759" w:rsidRPr="00367F15" w:rsidRDefault="008E4759" w:rsidP="008E4759">
            <w:pPr>
              <w:pStyle w:val="ListParagraph"/>
            </w:pPr>
            <w:r w:rsidRPr="00367F15">
              <w:t xml:space="preserve">Estimated creatinine clearance or eGFR </w:t>
            </w:r>
            <w:r w:rsidRPr="00AC4803">
              <w:t xml:space="preserve">&lt;60 </w:t>
            </w:r>
            <w:r w:rsidRPr="00367F15">
              <w:t>mL/min.</w:t>
            </w:r>
          </w:p>
          <w:p w14:paraId="10723CEE" w14:textId="77777777" w:rsidR="008E4759" w:rsidRPr="00367F15" w:rsidRDefault="008E4759" w:rsidP="008E4759">
            <w:pPr>
              <w:pStyle w:val="ListParagraph"/>
            </w:pPr>
            <w:r w:rsidRPr="00367F15">
              <w:t>Use of nephrotoxic medicines e.g. aminoglycosides.</w:t>
            </w:r>
          </w:p>
          <w:p w14:paraId="09982482" w14:textId="77777777" w:rsidR="008E4759" w:rsidRDefault="008E4759" w:rsidP="008E4759">
            <w:pPr>
              <w:pStyle w:val="ListParagraph"/>
              <w:rPr>
                <w:lang w:val="en-US"/>
              </w:rPr>
            </w:pPr>
            <w:r w:rsidRPr="00367F15">
              <w:t>Unwilling or unable to adhere to daily</w:t>
            </w:r>
            <w:r>
              <w:t xml:space="preserve"> oral</w:t>
            </w:r>
            <w:r w:rsidRPr="00367F15">
              <w:t xml:space="preserve"> PrEP.</w:t>
            </w:r>
          </w:p>
        </w:tc>
        <w:tc>
          <w:tcPr>
            <w:tcW w:w="3374" w:type="dxa"/>
          </w:tcPr>
          <w:p w14:paraId="2CBD473D" w14:textId="77777777" w:rsidR="008E4759" w:rsidRPr="00982700" w:rsidRDefault="008E4759" w:rsidP="008E4759">
            <w:pPr>
              <w:pStyle w:val="ListParagraph"/>
            </w:pPr>
            <w:r w:rsidRPr="00982700">
              <w:t>Estimated creatinine clearance or eGFR &lt;15 mL/min or on renal replacement therapy.</w:t>
            </w:r>
          </w:p>
          <w:p w14:paraId="7462AD3C" w14:textId="77777777" w:rsidR="008E4759" w:rsidRPr="00982700" w:rsidRDefault="008E4759" w:rsidP="008E4759">
            <w:pPr>
              <w:pStyle w:val="ListParagraph"/>
              <w:rPr>
                <w:lang w:val="en-US"/>
              </w:rPr>
            </w:pPr>
            <w:r w:rsidRPr="00982700">
              <w:t>Severe hepatic impairment (Child-Pugh Class C).</w:t>
            </w:r>
          </w:p>
          <w:p w14:paraId="089CD697" w14:textId="77777777" w:rsidR="008E4759" w:rsidRPr="00982700" w:rsidRDefault="008E4759" w:rsidP="008E4759">
            <w:pPr>
              <w:pStyle w:val="ListParagraph"/>
              <w:rPr>
                <w:lang w:val="en-US"/>
              </w:rPr>
            </w:pPr>
            <w:r w:rsidRPr="00982700">
              <w:t>Unwilling or unable to adhere to 6 monthly injectable PrEP.</w:t>
            </w:r>
          </w:p>
        </w:tc>
      </w:tr>
    </w:tbl>
    <w:p w14:paraId="5652155A" w14:textId="77777777" w:rsidR="00FE74E1" w:rsidRDefault="00FE74E1" w:rsidP="002C223F">
      <w:pPr>
        <w:pStyle w:val="Heading5"/>
      </w:pPr>
    </w:p>
    <w:p w14:paraId="27271B6F" w14:textId="1E18B3FE" w:rsidR="00C146A3" w:rsidRDefault="00C146A3" w:rsidP="00C146A3">
      <w:pPr>
        <w:pStyle w:val="Heading6"/>
      </w:pPr>
      <w:r w:rsidRPr="00367F15">
        <w:t>S</w:t>
      </w:r>
      <w:r>
        <w:t>CREENING INVESTIGATIONS BEFORE STARTING</w:t>
      </w:r>
      <w:r w:rsidRPr="00367F15">
        <w:t xml:space="preserve"> PrEP</w:t>
      </w:r>
    </w:p>
    <w:p w14:paraId="22544A1E" w14:textId="77777777" w:rsidR="00C146A3" w:rsidRPr="00367F15" w:rsidRDefault="00C146A3" w:rsidP="00C146A3">
      <w:pPr>
        <w:pStyle w:val="NoSpacing"/>
        <w:rPr>
          <w:sz w:val="8"/>
          <w:szCs w:val="8"/>
        </w:rPr>
      </w:pPr>
    </w:p>
    <w:tbl>
      <w:tblPr>
        <w:tblStyle w:val="SamplePHCTable"/>
        <w:tblW w:w="5000" w:type="pct"/>
        <w:tblLook w:val="04A0" w:firstRow="1" w:lastRow="0" w:firstColumn="1" w:lastColumn="0" w:noHBand="0" w:noVBand="1"/>
      </w:tblPr>
      <w:tblGrid>
        <w:gridCol w:w="1255"/>
        <w:gridCol w:w="677"/>
        <w:gridCol w:w="1052"/>
        <w:gridCol w:w="1791"/>
        <w:gridCol w:w="1906"/>
      </w:tblGrid>
      <w:tr w:rsidR="00C146A3" w:rsidRPr="00367F15" w14:paraId="578CBA32" w14:textId="77777777" w:rsidTr="006360D0">
        <w:trPr>
          <w:cnfStyle w:val="100000000000" w:firstRow="1" w:lastRow="0" w:firstColumn="0" w:lastColumn="0" w:oddVBand="0" w:evenVBand="0" w:oddHBand="0" w:evenHBand="0" w:firstRowFirstColumn="0" w:firstRowLastColumn="0" w:lastRowFirstColumn="0" w:lastRowLastColumn="0"/>
        </w:trPr>
        <w:tc>
          <w:tcPr>
            <w:tcW w:w="945" w:type="pct"/>
            <w:vMerge w:val="restart"/>
          </w:tcPr>
          <w:p w14:paraId="16AC1DBE" w14:textId="77777777" w:rsidR="00C146A3" w:rsidRPr="00367F15" w:rsidRDefault="00C146A3" w:rsidP="00C146A3">
            <w:pPr>
              <w:pStyle w:val="NoSpacing"/>
              <w:jc w:val="center"/>
            </w:pPr>
            <w:r w:rsidRPr="00367F15">
              <w:t>Investigation</w:t>
            </w:r>
          </w:p>
        </w:tc>
        <w:tc>
          <w:tcPr>
            <w:tcW w:w="1277" w:type="pct"/>
            <w:gridSpan w:val="2"/>
          </w:tcPr>
          <w:p w14:paraId="63FDC861" w14:textId="77777777" w:rsidR="00C146A3" w:rsidRPr="00982700" w:rsidRDefault="00C146A3" w:rsidP="00C146A3">
            <w:pPr>
              <w:pStyle w:val="NoSpacing"/>
              <w:jc w:val="center"/>
            </w:pPr>
            <w:r w:rsidRPr="00982700">
              <w:t xml:space="preserve">Screen applicable </w:t>
            </w:r>
          </w:p>
        </w:tc>
        <w:tc>
          <w:tcPr>
            <w:tcW w:w="1346" w:type="pct"/>
            <w:vMerge w:val="restart"/>
          </w:tcPr>
          <w:p w14:paraId="19FD2096" w14:textId="77777777" w:rsidR="00C146A3" w:rsidRPr="00982700" w:rsidRDefault="00C146A3" w:rsidP="00C146A3">
            <w:pPr>
              <w:pStyle w:val="NoSpacing"/>
              <w:jc w:val="center"/>
            </w:pPr>
            <w:r w:rsidRPr="00982700">
              <w:t>Purpose</w:t>
            </w:r>
          </w:p>
        </w:tc>
        <w:tc>
          <w:tcPr>
            <w:tcW w:w="1432" w:type="pct"/>
            <w:vMerge w:val="restart"/>
          </w:tcPr>
          <w:p w14:paraId="1ED7CAD3" w14:textId="77777777" w:rsidR="00C146A3" w:rsidRPr="00982700" w:rsidRDefault="00C146A3" w:rsidP="00C146A3">
            <w:pPr>
              <w:pStyle w:val="NoSpacing"/>
              <w:jc w:val="center"/>
            </w:pPr>
            <w:r w:rsidRPr="00982700">
              <w:t>Action</w:t>
            </w:r>
          </w:p>
        </w:tc>
      </w:tr>
      <w:tr w:rsidR="00C146A3" w:rsidRPr="00367F15" w14:paraId="0D89B9D5" w14:textId="77777777" w:rsidTr="006360D0">
        <w:tc>
          <w:tcPr>
            <w:tcW w:w="945" w:type="pct"/>
            <w:vMerge/>
          </w:tcPr>
          <w:p w14:paraId="4CCFFD2F" w14:textId="77777777" w:rsidR="00C146A3" w:rsidRPr="00367F15" w:rsidRDefault="00C146A3" w:rsidP="00C146A3">
            <w:pPr>
              <w:pStyle w:val="NoSpacing"/>
            </w:pPr>
          </w:p>
        </w:tc>
        <w:tc>
          <w:tcPr>
            <w:tcW w:w="513" w:type="pct"/>
            <w:shd w:val="clear" w:color="auto" w:fill="D0CECE" w:themeFill="background2" w:themeFillShade="E6"/>
          </w:tcPr>
          <w:p w14:paraId="6230D8ED" w14:textId="77777777" w:rsidR="00C146A3" w:rsidRPr="00982700" w:rsidRDefault="00C146A3" w:rsidP="00C146A3">
            <w:pPr>
              <w:pStyle w:val="NoSpacing"/>
              <w:rPr>
                <w:b/>
                <w:szCs w:val="16"/>
              </w:rPr>
            </w:pPr>
            <w:r w:rsidRPr="00982700">
              <w:rPr>
                <w:b/>
                <w:szCs w:val="16"/>
              </w:rPr>
              <w:t>Oral PrEP</w:t>
            </w:r>
          </w:p>
        </w:tc>
        <w:tc>
          <w:tcPr>
            <w:tcW w:w="764" w:type="pct"/>
            <w:shd w:val="clear" w:color="auto" w:fill="D0CECE" w:themeFill="background2" w:themeFillShade="E6"/>
          </w:tcPr>
          <w:p w14:paraId="06FEE8AC" w14:textId="77777777" w:rsidR="00C146A3" w:rsidRPr="00982700" w:rsidRDefault="00C146A3" w:rsidP="00C146A3">
            <w:pPr>
              <w:pStyle w:val="NoSpacing"/>
              <w:rPr>
                <w:b/>
                <w:szCs w:val="16"/>
              </w:rPr>
            </w:pPr>
            <w:r w:rsidRPr="00982700">
              <w:rPr>
                <w:b/>
                <w:szCs w:val="16"/>
              </w:rPr>
              <w:t>Injectable</w:t>
            </w:r>
          </w:p>
          <w:p w14:paraId="7C30C986" w14:textId="77777777" w:rsidR="00C146A3" w:rsidRPr="00982700" w:rsidRDefault="00C146A3" w:rsidP="00C146A3">
            <w:pPr>
              <w:pStyle w:val="NoSpacing"/>
              <w:rPr>
                <w:b/>
                <w:szCs w:val="16"/>
              </w:rPr>
            </w:pPr>
            <w:r w:rsidRPr="00982700">
              <w:rPr>
                <w:b/>
                <w:szCs w:val="16"/>
              </w:rPr>
              <w:t>PrEP</w:t>
            </w:r>
          </w:p>
        </w:tc>
        <w:tc>
          <w:tcPr>
            <w:tcW w:w="1346" w:type="pct"/>
            <w:vMerge/>
          </w:tcPr>
          <w:p w14:paraId="76B01EF9" w14:textId="77777777" w:rsidR="00C146A3" w:rsidRPr="00982700" w:rsidRDefault="00C146A3" w:rsidP="00C146A3">
            <w:pPr>
              <w:pStyle w:val="NoSpacing"/>
            </w:pPr>
          </w:p>
        </w:tc>
        <w:tc>
          <w:tcPr>
            <w:tcW w:w="1432" w:type="pct"/>
            <w:vMerge/>
          </w:tcPr>
          <w:p w14:paraId="5DA13C0D" w14:textId="77777777" w:rsidR="00C146A3" w:rsidRPr="00982700" w:rsidRDefault="00C146A3" w:rsidP="00C146A3">
            <w:pPr>
              <w:pStyle w:val="NoSpacing"/>
            </w:pPr>
          </w:p>
        </w:tc>
      </w:tr>
      <w:tr w:rsidR="00C146A3" w:rsidRPr="00367F15" w14:paraId="1482DF80" w14:textId="77777777" w:rsidTr="006360D0">
        <w:tc>
          <w:tcPr>
            <w:tcW w:w="945" w:type="pct"/>
          </w:tcPr>
          <w:p w14:paraId="77AAE490" w14:textId="77777777" w:rsidR="00C146A3" w:rsidRPr="00367F15" w:rsidRDefault="00C146A3" w:rsidP="00C146A3">
            <w:pPr>
              <w:pStyle w:val="NoSpacing"/>
              <w:jc w:val="left"/>
            </w:pPr>
            <w:r w:rsidRPr="00367F15">
              <w:t>HIV test</w:t>
            </w:r>
          </w:p>
          <w:p w14:paraId="720F4D63" w14:textId="77777777" w:rsidR="00C146A3" w:rsidRPr="00367F15" w:rsidRDefault="00C146A3" w:rsidP="00C146A3">
            <w:pPr>
              <w:pStyle w:val="NoSpacing"/>
              <w:jc w:val="left"/>
            </w:pPr>
            <w:r w:rsidRPr="00367F15">
              <w:t>(using algorithm in the HTS guidelines</w:t>
            </w:r>
            <w:r>
              <w:t>*</w:t>
            </w:r>
            <w:r w:rsidRPr="00367F15">
              <w:t>)</w:t>
            </w:r>
          </w:p>
        </w:tc>
        <w:tc>
          <w:tcPr>
            <w:tcW w:w="513" w:type="pct"/>
          </w:tcPr>
          <w:p w14:paraId="5018D084" w14:textId="77777777" w:rsidR="00C146A3" w:rsidRPr="00982700" w:rsidRDefault="00C146A3" w:rsidP="00C146A3">
            <w:pPr>
              <w:pStyle w:val="NoSpacing"/>
            </w:pPr>
            <w:r w:rsidRPr="00982700">
              <w:t>Yes</w:t>
            </w:r>
          </w:p>
        </w:tc>
        <w:tc>
          <w:tcPr>
            <w:tcW w:w="764" w:type="pct"/>
          </w:tcPr>
          <w:p w14:paraId="6304340A" w14:textId="77777777" w:rsidR="00C146A3" w:rsidRPr="00982700" w:rsidRDefault="00C146A3" w:rsidP="00C146A3">
            <w:pPr>
              <w:pStyle w:val="NoSpacing"/>
            </w:pPr>
            <w:r w:rsidRPr="00982700">
              <w:t>Yes</w:t>
            </w:r>
          </w:p>
        </w:tc>
        <w:tc>
          <w:tcPr>
            <w:tcW w:w="1346" w:type="pct"/>
          </w:tcPr>
          <w:p w14:paraId="334D468A" w14:textId="77777777" w:rsidR="00C146A3" w:rsidRPr="00982700" w:rsidRDefault="00C146A3" w:rsidP="00C146A3">
            <w:pPr>
              <w:pStyle w:val="NoSpacing"/>
              <w:jc w:val="left"/>
            </w:pPr>
            <w:r w:rsidRPr="00982700">
              <w:t>Assessment of HIV status.</w:t>
            </w:r>
          </w:p>
        </w:tc>
        <w:tc>
          <w:tcPr>
            <w:tcW w:w="1432" w:type="pct"/>
          </w:tcPr>
          <w:p w14:paraId="3697ECFB" w14:textId="7EDCB058" w:rsidR="00C146A3" w:rsidRPr="00982700" w:rsidRDefault="00434A8A" w:rsidP="00C146A3">
            <w:pPr>
              <w:pStyle w:val="NoSpacing"/>
              <w:jc w:val="left"/>
            </w:pPr>
            <w:r>
              <w:t>If HIV-negative:</w:t>
            </w:r>
            <w:r w:rsidR="00C146A3" w:rsidRPr="00982700">
              <w:t xml:space="preserve"> consider PrEP</w:t>
            </w:r>
          </w:p>
          <w:p w14:paraId="7D6B32A5" w14:textId="77777777" w:rsidR="00C146A3" w:rsidRPr="00982700" w:rsidRDefault="00C146A3" w:rsidP="00C146A3">
            <w:pPr>
              <w:pStyle w:val="NoSpacing"/>
              <w:jc w:val="left"/>
            </w:pPr>
            <w:r w:rsidRPr="00982700">
              <w:t>If HIV-positive: Link to treatment and care services.</w:t>
            </w:r>
          </w:p>
        </w:tc>
      </w:tr>
      <w:tr w:rsidR="00C146A3" w:rsidRPr="00367F15" w14:paraId="39DD39E7" w14:textId="77777777" w:rsidTr="006360D0">
        <w:tc>
          <w:tcPr>
            <w:tcW w:w="945" w:type="pct"/>
          </w:tcPr>
          <w:p w14:paraId="7BC4F934" w14:textId="77777777" w:rsidR="00C146A3" w:rsidRDefault="00C146A3" w:rsidP="00C146A3">
            <w:pPr>
              <w:pStyle w:val="NoSpacing"/>
              <w:jc w:val="left"/>
            </w:pPr>
            <w:r w:rsidRPr="00367F15">
              <w:t>Estimated creatinine clearance</w:t>
            </w:r>
            <w:r>
              <w:t xml:space="preserve"> </w:t>
            </w:r>
          </w:p>
          <w:p w14:paraId="4E993993" w14:textId="77777777" w:rsidR="00C146A3" w:rsidRPr="00367F15" w:rsidRDefault="00C146A3" w:rsidP="00C146A3">
            <w:pPr>
              <w:pStyle w:val="NoSpacing"/>
              <w:jc w:val="left"/>
            </w:pPr>
            <w:r>
              <w:t>(</w:t>
            </w:r>
            <w:r w:rsidRPr="00367F15">
              <w:t>eGFR</w:t>
            </w:r>
            <w:r>
              <w:t>)</w:t>
            </w:r>
          </w:p>
        </w:tc>
        <w:tc>
          <w:tcPr>
            <w:tcW w:w="513" w:type="pct"/>
          </w:tcPr>
          <w:p w14:paraId="674295A4" w14:textId="77777777" w:rsidR="00C146A3" w:rsidRPr="00982700" w:rsidRDefault="00C146A3" w:rsidP="00C146A3">
            <w:pPr>
              <w:pStyle w:val="NoSpacing"/>
            </w:pPr>
            <w:r w:rsidRPr="00982700">
              <w:t>Yes</w:t>
            </w:r>
          </w:p>
        </w:tc>
        <w:tc>
          <w:tcPr>
            <w:tcW w:w="764" w:type="pct"/>
          </w:tcPr>
          <w:p w14:paraId="00739B3C" w14:textId="77777777" w:rsidR="00C146A3" w:rsidRPr="00982700" w:rsidRDefault="00C146A3" w:rsidP="00C146A3">
            <w:pPr>
              <w:pStyle w:val="NoSpacing"/>
            </w:pPr>
            <w:r w:rsidRPr="00982700">
              <w:t>No</w:t>
            </w:r>
          </w:p>
        </w:tc>
        <w:tc>
          <w:tcPr>
            <w:tcW w:w="1346" w:type="pct"/>
          </w:tcPr>
          <w:p w14:paraId="6E16FA6D" w14:textId="77777777" w:rsidR="00C146A3" w:rsidRPr="00982700" w:rsidRDefault="00C146A3" w:rsidP="00C146A3">
            <w:pPr>
              <w:pStyle w:val="NoSpacing"/>
              <w:jc w:val="left"/>
            </w:pPr>
            <w:r w:rsidRPr="00982700">
              <w:t>To identify pre-existing renal disease.</w:t>
            </w:r>
          </w:p>
        </w:tc>
        <w:tc>
          <w:tcPr>
            <w:tcW w:w="1432" w:type="pct"/>
          </w:tcPr>
          <w:p w14:paraId="02921932" w14:textId="5302553E" w:rsidR="00C146A3" w:rsidRPr="00982700" w:rsidRDefault="00C146A3" w:rsidP="00C146A3">
            <w:pPr>
              <w:pStyle w:val="NoSpacing"/>
              <w:jc w:val="left"/>
            </w:pPr>
            <w:r w:rsidRPr="00982700">
              <w:rPr>
                <w:b/>
                <w:noProof/>
                <w:lang w:eastAsia="en-ZA"/>
              </w:rPr>
              <mc:AlternateContent>
                <mc:Choice Requires="wps">
                  <w:drawing>
                    <wp:anchor distT="36576" distB="36576" distL="36576" distR="36576" simplePos="0" relativeHeight="251659264" behindDoc="0" locked="0" layoutInCell="1" allowOverlap="1" wp14:anchorId="3B8A3ED4" wp14:editId="41991DE3">
                      <wp:simplePos x="0" y="0"/>
                      <wp:positionH relativeFrom="column">
                        <wp:posOffset>11098530</wp:posOffset>
                      </wp:positionH>
                      <wp:positionV relativeFrom="paragraph">
                        <wp:posOffset>5350510</wp:posOffset>
                      </wp:positionV>
                      <wp:extent cx="1627505" cy="301625"/>
                      <wp:effectExtent l="20955" t="16510" r="18415" b="152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301625"/>
                              </a:xfrm>
                              <a:prstGeom prst="rect">
                                <a:avLst/>
                              </a:prstGeom>
                              <a:solidFill>
                                <a:srgbClr val="D7AEC2"/>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14:paraId="7D3CBA83" w14:textId="77777777" w:rsidR="00C146A3" w:rsidRDefault="00C146A3" w:rsidP="00C146A3">
                                  <w:pPr>
                                    <w:widowControl w:val="0"/>
                                    <w:rPr>
                                      <w:lang w:val="en-US"/>
                                    </w:rPr>
                                  </w:pPr>
                                  <w:r>
                                    <w:rPr>
                                      <w:lang w:val="en-US"/>
                                    </w:rPr>
                                    <w:t xml:space="preserve"> 60mL/min&gt;eGFR &gt;15mL/min</w:t>
                                  </w:r>
                                </w:p>
                                <w:p w14:paraId="1DCC1FB7" w14:textId="77777777" w:rsidR="00C146A3" w:rsidRDefault="00C146A3" w:rsidP="00C146A3">
                                  <w:pPr>
                                    <w:widowControl w:val="0"/>
                                    <w:rPr>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A3ED4" id="_x0000_t202" coordsize="21600,21600" o:spt="202" path="m,l,21600r21600,l21600,xe">
                      <v:stroke joinstyle="miter"/>
                      <v:path gradientshapeok="t" o:connecttype="rect"/>
                    </v:shapetype>
                    <v:shape id="Text Box 18" o:spid="_x0000_s1026" type="#_x0000_t202" style="position:absolute;margin-left:873.9pt;margin-top:421.3pt;width:128.15pt;height:23.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" fillcolor="#d7aec2" strokeweight="2pt">
                      <v:shadow color="black"/>
                      <v:textbox inset="2.88pt,2.88pt,2.88pt,2.88pt">
                        <w:txbxContent>
                          <w:p w14:paraId="7D3CBA83" w14:textId="77777777" w:rsidR="00C146A3" w:rsidRDefault="00C146A3" w:rsidP="00C146A3">
                            <w:pPr>
                              <w:widowControl w:val="0"/>
                              <w:rPr>
                                <w:lang w:val="en-US"/>
                              </w:rPr>
                            </w:pPr>
                            <w:r>
                              <w:rPr>
                                <w:lang w:val="en-US"/>
                              </w:rPr>
                              <w:t xml:space="preserve"> 60mL/min&gt;eGFR &gt;15mL/min</w:t>
                            </w:r>
                          </w:p>
                          <w:p w14:paraId="1DCC1FB7" w14:textId="77777777" w:rsidR="00C146A3" w:rsidRDefault="00C146A3" w:rsidP="00C146A3">
                            <w:pPr>
                              <w:widowControl w:val="0"/>
                              <w:rPr>
                                <w:lang w:val="en-US"/>
                              </w:rPr>
                            </w:pPr>
                          </w:p>
                        </w:txbxContent>
                      </v:textbox>
                    </v:shape>
                  </w:pict>
                </mc:Fallback>
              </mc:AlternateContent>
            </w:r>
            <w:r w:rsidRPr="00982700">
              <w:t xml:space="preserve">Do not initiate oral PrEP if creatinine clearance/eGFR &lt;60 mL/min. Repeat creatinine clearance two weeks after baseline screen if baseline eGFR &lt; 60mL/min. If renal function returns to normal and other PrEP criteria are met, oral PrEP may be initiated. Refer for further investigation if renal function remains abnormal - injectable </w:t>
            </w:r>
            <w:r w:rsidR="00434A8A">
              <w:t xml:space="preserve">PrEP may be considered if eGFR </w:t>
            </w:r>
            <w:r w:rsidR="00434A8A">
              <w:rPr>
                <w:rFonts w:cs="Arial"/>
              </w:rPr>
              <w:t>≥</w:t>
            </w:r>
            <w:r w:rsidRPr="00982700">
              <w:t xml:space="preserve"> 15mL/min. </w:t>
            </w:r>
          </w:p>
        </w:tc>
      </w:tr>
      <w:tr w:rsidR="00C146A3" w:rsidRPr="00367F15" w14:paraId="032749CA" w14:textId="77777777" w:rsidTr="006360D0">
        <w:tc>
          <w:tcPr>
            <w:tcW w:w="945" w:type="pct"/>
          </w:tcPr>
          <w:p w14:paraId="7703293C" w14:textId="77777777" w:rsidR="00C146A3" w:rsidRPr="00367F15" w:rsidRDefault="00C146A3" w:rsidP="00C146A3">
            <w:pPr>
              <w:pStyle w:val="NoSpacing"/>
              <w:jc w:val="left"/>
            </w:pPr>
            <w:r w:rsidRPr="00367F15">
              <w:t>Hepatitis B surface antigen (HBsAg)</w:t>
            </w:r>
          </w:p>
        </w:tc>
        <w:tc>
          <w:tcPr>
            <w:tcW w:w="513" w:type="pct"/>
          </w:tcPr>
          <w:p w14:paraId="4F51DD3B" w14:textId="77777777" w:rsidR="00C146A3" w:rsidRPr="00982700" w:rsidRDefault="00C146A3" w:rsidP="00C146A3">
            <w:pPr>
              <w:pStyle w:val="NoSpacing"/>
            </w:pPr>
            <w:r w:rsidRPr="00982700">
              <w:t>Yes</w:t>
            </w:r>
          </w:p>
        </w:tc>
        <w:tc>
          <w:tcPr>
            <w:tcW w:w="764" w:type="pct"/>
          </w:tcPr>
          <w:p w14:paraId="12A0F2C8" w14:textId="77777777" w:rsidR="00C146A3" w:rsidRPr="00982700" w:rsidRDefault="00C146A3" w:rsidP="00C146A3">
            <w:pPr>
              <w:pStyle w:val="NoSpacing"/>
            </w:pPr>
            <w:r w:rsidRPr="00982700">
              <w:t>No but may screen for hepatitis B once injectable PrEP commenced</w:t>
            </w:r>
          </w:p>
        </w:tc>
        <w:tc>
          <w:tcPr>
            <w:tcW w:w="1346" w:type="pct"/>
          </w:tcPr>
          <w:p w14:paraId="438EAE09" w14:textId="77777777" w:rsidR="00C146A3" w:rsidRPr="00982700" w:rsidRDefault="00C146A3" w:rsidP="00C146A3">
            <w:pPr>
              <w:pStyle w:val="NoSpacing"/>
              <w:jc w:val="left"/>
            </w:pPr>
            <w:r w:rsidRPr="00982700">
              <w:t>To caution those with hepatitis B infection of risk of hepatitis flare upon discontinuation of oral PrEP.</w:t>
            </w:r>
          </w:p>
          <w:p w14:paraId="53B75EC4" w14:textId="77777777" w:rsidR="00C146A3" w:rsidRPr="00982700" w:rsidRDefault="00C146A3" w:rsidP="00C146A3">
            <w:pPr>
              <w:pStyle w:val="NoSpacing"/>
              <w:jc w:val="left"/>
            </w:pPr>
            <w:r w:rsidRPr="00982700">
              <w:t>Hepatitis flare not identified as a risk with lenacapavir.</w:t>
            </w:r>
          </w:p>
          <w:p w14:paraId="3CBB7AB1" w14:textId="77777777" w:rsidR="00C146A3" w:rsidRPr="00982700" w:rsidRDefault="00C146A3" w:rsidP="00C146A3">
            <w:pPr>
              <w:pStyle w:val="NoSpacing"/>
              <w:jc w:val="left"/>
            </w:pPr>
          </w:p>
        </w:tc>
        <w:tc>
          <w:tcPr>
            <w:tcW w:w="1432" w:type="pct"/>
          </w:tcPr>
          <w:p w14:paraId="7F5EAAF1" w14:textId="77777777" w:rsidR="00C146A3" w:rsidRPr="00982700" w:rsidRDefault="00C146A3" w:rsidP="00C146A3">
            <w:pPr>
              <w:pStyle w:val="NoSpacing"/>
              <w:jc w:val="left"/>
            </w:pPr>
            <w:r w:rsidRPr="00982700">
              <w:t xml:space="preserve">Assess eligibility for vaccination if available (see table below). </w:t>
            </w:r>
          </w:p>
          <w:p w14:paraId="6DD0ED2A" w14:textId="77777777" w:rsidR="00C146A3" w:rsidRPr="00982700" w:rsidRDefault="00C146A3" w:rsidP="00C146A3">
            <w:pPr>
              <w:pStyle w:val="NoSpacing"/>
              <w:jc w:val="left"/>
            </w:pPr>
            <w:r w:rsidRPr="00982700">
              <w:t>If HBsAg-positive, refer to specialist.</w:t>
            </w:r>
          </w:p>
        </w:tc>
      </w:tr>
      <w:tr w:rsidR="00C146A3" w:rsidRPr="00367F15" w14:paraId="49A8F1F0" w14:textId="77777777" w:rsidTr="006360D0">
        <w:tc>
          <w:tcPr>
            <w:tcW w:w="945" w:type="pct"/>
          </w:tcPr>
          <w:p w14:paraId="154682A8" w14:textId="77777777" w:rsidR="00C146A3" w:rsidRPr="00367F15" w:rsidRDefault="00C146A3" w:rsidP="00C146A3">
            <w:pPr>
              <w:pStyle w:val="NoSpacing"/>
              <w:jc w:val="left"/>
            </w:pPr>
            <w:r w:rsidRPr="00367F15">
              <w:lastRenderedPageBreak/>
              <w:t>Urine pregnancy test</w:t>
            </w:r>
          </w:p>
        </w:tc>
        <w:tc>
          <w:tcPr>
            <w:tcW w:w="513" w:type="pct"/>
          </w:tcPr>
          <w:p w14:paraId="4D0F2A52" w14:textId="77777777" w:rsidR="00C146A3" w:rsidRPr="00982700" w:rsidRDefault="00C146A3" w:rsidP="00C146A3">
            <w:pPr>
              <w:pStyle w:val="NoSpacing"/>
            </w:pPr>
            <w:r w:rsidRPr="00982700">
              <w:t>Yes</w:t>
            </w:r>
          </w:p>
        </w:tc>
        <w:tc>
          <w:tcPr>
            <w:tcW w:w="764" w:type="pct"/>
          </w:tcPr>
          <w:p w14:paraId="59D75A9D" w14:textId="77777777" w:rsidR="00C146A3" w:rsidRPr="00982700" w:rsidRDefault="00C146A3" w:rsidP="00C146A3">
            <w:pPr>
              <w:pStyle w:val="NoSpacing"/>
            </w:pPr>
            <w:r w:rsidRPr="00982700">
              <w:t>Yes</w:t>
            </w:r>
          </w:p>
        </w:tc>
        <w:tc>
          <w:tcPr>
            <w:tcW w:w="1346" w:type="pct"/>
          </w:tcPr>
          <w:p w14:paraId="35BC162C" w14:textId="77777777" w:rsidR="00C146A3" w:rsidRPr="00982700" w:rsidRDefault="00C146A3" w:rsidP="00C146A3">
            <w:pPr>
              <w:pStyle w:val="NoSpacing"/>
              <w:jc w:val="left"/>
            </w:pPr>
            <w:r w:rsidRPr="00982700">
              <w:t>To identify if pregnant.</w:t>
            </w:r>
          </w:p>
        </w:tc>
        <w:tc>
          <w:tcPr>
            <w:tcW w:w="1432" w:type="pct"/>
          </w:tcPr>
          <w:p w14:paraId="0BAB675C" w14:textId="77777777" w:rsidR="00C146A3" w:rsidRPr="00982700" w:rsidRDefault="00C146A3" w:rsidP="00C146A3">
            <w:pPr>
              <w:pStyle w:val="NoSpacing"/>
              <w:jc w:val="left"/>
            </w:pPr>
            <w:r w:rsidRPr="00982700">
              <w:t>Provide counselling covering risk of HIV infection during pregnancy and benefits of taking PrEP.</w:t>
            </w:r>
          </w:p>
        </w:tc>
      </w:tr>
      <w:tr w:rsidR="00C146A3" w:rsidRPr="00367F15" w14:paraId="4C63729B" w14:textId="77777777" w:rsidTr="006360D0">
        <w:trPr>
          <w:trHeight w:val="423"/>
        </w:trPr>
        <w:tc>
          <w:tcPr>
            <w:tcW w:w="945" w:type="pct"/>
          </w:tcPr>
          <w:p w14:paraId="715662E5" w14:textId="77777777" w:rsidR="00C146A3" w:rsidRPr="00367F15" w:rsidRDefault="00C146A3" w:rsidP="00C146A3">
            <w:pPr>
              <w:pStyle w:val="NoSpacing"/>
              <w:jc w:val="left"/>
            </w:pPr>
            <w:r w:rsidRPr="00367F15">
              <w:t>RPR</w:t>
            </w:r>
          </w:p>
        </w:tc>
        <w:tc>
          <w:tcPr>
            <w:tcW w:w="513" w:type="pct"/>
          </w:tcPr>
          <w:p w14:paraId="1A1CDBD0" w14:textId="77777777" w:rsidR="00C146A3" w:rsidRPr="00982700" w:rsidRDefault="00C146A3" w:rsidP="00C146A3">
            <w:pPr>
              <w:pStyle w:val="NoSpacing"/>
            </w:pPr>
            <w:r w:rsidRPr="00982700">
              <w:t>Yes</w:t>
            </w:r>
          </w:p>
        </w:tc>
        <w:tc>
          <w:tcPr>
            <w:tcW w:w="764" w:type="pct"/>
          </w:tcPr>
          <w:p w14:paraId="60296E56" w14:textId="77777777" w:rsidR="00C146A3" w:rsidRPr="00982700" w:rsidRDefault="00C146A3" w:rsidP="00C146A3">
            <w:pPr>
              <w:pStyle w:val="NoSpacing"/>
            </w:pPr>
            <w:r w:rsidRPr="00982700">
              <w:t>Yes</w:t>
            </w:r>
          </w:p>
        </w:tc>
        <w:tc>
          <w:tcPr>
            <w:tcW w:w="1346" w:type="pct"/>
          </w:tcPr>
          <w:p w14:paraId="307AC6CA" w14:textId="77777777" w:rsidR="00C146A3" w:rsidRPr="00982700" w:rsidRDefault="00C146A3" w:rsidP="00C146A3">
            <w:pPr>
              <w:pStyle w:val="NoSpacing"/>
              <w:jc w:val="left"/>
            </w:pPr>
            <w:r w:rsidRPr="00982700">
              <w:t>To diagnose syphilis infection for treatment.</w:t>
            </w:r>
          </w:p>
        </w:tc>
        <w:tc>
          <w:tcPr>
            <w:tcW w:w="1432" w:type="pct"/>
          </w:tcPr>
          <w:p w14:paraId="7128FC49" w14:textId="77777777" w:rsidR="00C146A3" w:rsidRPr="00982700" w:rsidRDefault="00C146A3" w:rsidP="00C146A3">
            <w:pPr>
              <w:pStyle w:val="NoSpacing"/>
              <w:jc w:val="left"/>
            </w:pPr>
            <w:r w:rsidRPr="00982700">
              <w:t>Manage according to STI guidelines.</w:t>
            </w:r>
          </w:p>
        </w:tc>
      </w:tr>
      <w:tr w:rsidR="00C146A3" w:rsidRPr="00367F15" w14:paraId="470C3176" w14:textId="77777777" w:rsidTr="006360D0">
        <w:tc>
          <w:tcPr>
            <w:tcW w:w="945" w:type="pct"/>
          </w:tcPr>
          <w:p w14:paraId="1E308857" w14:textId="77777777" w:rsidR="00C146A3" w:rsidRPr="00367F15" w:rsidRDefault="00C146A3" w:rsidP="00C146A3">
            <w:pPr>
              <w:pStyle w:val="NoSpacing"/>
              <w:jc w:val="left"/>
            </w:pPr>
            <w:r w:rsidRPr="00367F15">
              <w:t>Syndromic STI screening</w:t>
            </w:r>
          </w:p>
        </w:tc>
        <w:tc>
          <w:tcPr>
            <w:tcW w:w="513" w:type="pct"/>
          </w:tcPr>
          <w:p w14:paraId="46EB37E3" w14:textId="77777777" w:rsidR="00C146A3" w:rsidRPr="00982700" w:rsidRDefault="00C146A3" w:rsidP="00C146A3">
            <w:pPr>
              <w:pStyle w:val="NoSpacing"/>
            </w:pPr>
            <w:r w:rsidRPr="00982700">
              <w:t>Yes</w:t>
            </w:r>
          </w:p>
        </w:tc>
        <w:tc>
          <w:tcPr>
            <w:tcW w:w="764" w:type="pct"/>
          </w:tcPr>
          <w:p w14:paraId="48CBE7D7" w14:textId="77777777" w:rsidR="00C146A3" w:rsidRPr="00982700" w:rsidRDefault="00C146A3" w:rsidP="00C146A3">
            <w:pPr>
              <w:pStyle w:val="NoSpacing"/>
            </w:pPr>
            <w:r w:rsidRPr="00982700">
              <w:t>Yes</w:t>
            </w:r>
          </w:p>
        </w:tc>
        <w:tc>
          <w:tcPr>
            <w:tcW w:w="1346" w:type="pct"/>
          </w:tcPr>
          <w:p w14:paraId="5189FDEB" w14:textId="77777777" w:rsidR="00C146A3" w:rsidRPr="00982700" w:rsidRDefault="00C146A3" w:rsidP="00C146A3">
            <w:pPr>
              <w:pStyle w:val="NoSpacing"/>
              <w:jc w:val="left"/>
            </w:pPr>
            <w:r w:rsidRPr="00982700">
              <w:t>To diagnose and treat STI.</w:t>
            </w:r>
          </w:p>
        </w:tc>
        <w:tc>
          <w:tcPr>
            <w:tcW w:w="1432" w:type="pct"/>
          </w:tcPr>
          <w:p w14:paraId="35DEFFE8" w14:textId="77777777" w:rsidR="00C146A3" w:rsidRPr="00982700" w:rsidRDefault="00C146A3" w:rsidP="00C146A3">
            <w:pPr>
              <w:pStyle w:val="NoSpacing"/>
              <w:jc w:val="left"/>
            </w:pPr>
            <w:r w:rsidRPr="00982700">
              <w:t>Manage according to STI guidelines.</w:t>
            </w:r>
          </w:p>
        </w:tc>
      </w:tr>
    </w:tbl>
    <w:p w14:paraId="39D24EF7" w14:textId="77777777" w:rsidR="00C146A3" w:rsidRDefault="00C146A3" w:rsidP="00C146A3">
      <w:pPr>
        <w:spacing w:before="0" w:after="0"/>
        <w:rPr>
          <w:rStyle w:val="Strong"/>
          <w:b w:val="0"/>
          <w:sz w:val="16"/>
        </w:rPr>
      </w:pPr>
      <w:r w:rsidRPr="004A6630">
        <w:rPr>
          <w:rStyle w:val="Strong"/>
          <w:sz w:val="16"/>
        </w:rPr>
        <w:t>Table 11.13</w:t>
      </w:r>
      <w:r w:rsidRPr="00367F15">
        <w:rPr>
          <w:rStyle w:val="Strong"/>
          <w:sz w:val="16"/>
        </w:rPr>
        <w:t>: Screening investigations before starting PrEP</w:t>
      </w:r>
    </w:p>
    <w:p w14:paraId="542C1E10" w14:textId="77777777" w:rsidR="00C146A3" w:rsidRPr="00E11ADC" w:rsidRDefault="00C146A3" w:rsidP="00C146A3">
      <w:pPr>
        <w:pStyle w:val="BulletMedicine"/>
        <w:numPr>
          <w:ilvl w:val="0"/>
          <w:numId w:val="0"/>
        </w:numPr>
        <w:ind w:left="284" w:hanging="284"/>
        <w:rPr>
          <w:rStyle w:val="Strong"/>
          <w:b w:val="0"/>
          <w:sz w:val="16"/>
          <w:szCs w:val="16"/>
        </w:rPr>
      </w:pPr>
      <w:r w:rsidRPr="00E11ADC">
        <w:rPr>
          <w:sz w:val="16"/>
          <w:szCs w:val="16"/>
        </w:rPr>
        <w:t>*HIV Testing Services guidelines</w:t>
      </w:r>
    </w:p>
    <w:p w14:paraId="27AF724B" w14:textId="77777777" w:rsidR="00C146A3" w:rsidRPr="00367F15" w:rsidRDefault="00C146A3" w:rsidP="00C146A3">
      <w:pPr>
        <w:rPr>
          <w:rStyle w:val="Strong"/>
        </w:rPr>
      </w:pPr>
      <w:r w:rsidRPr="00367F15">
        <w:rPr>
          <w:rStyle w:val="Strong"/>
        </w:rPr>
        <w:t>Note:</w:t>
      </w:r>
    </w:p>
    <w:p w14:paraId="10C07147" w14:textId="37BD0469" w:rsidR="00C146A3" w:rsidRPr="00982700" w:rsidRDefault="00C146A3" w:rsidP="005B11CE">
      <w:pPr>
        <w:pStyle w:val="ListParagraph"/>
        <w:numPr>
          <w:ilvl w:val="0"/>
          <w:numId w:val="41"/>
        </w:numPr>
        <w:jc w:val="both"/>
      </w:pPr>
      <w:r w:rsidRPr="00367F15">
        <w:t>If symptoms or signs of acute HIV infection are present, PrEP should be postponed until symptoms subside</w:t>
      </w:r>
      <w:r w:rsidR="00ED453B">
        <w:t>,</w:t>
      </w:r>
      <w:r w:rsidRPr="00367F15">
        <w:t xml:space="preserve"> and a repeat rapid HIV test after 4 weeks remains negative.</w:t>
      </w:r>
    </w:p>
    <w:p w14:paraId="41C675F4" w14:textId="77777777" w:rsidR="00C146A3" w:rsidRPr="00982700" w:rsidRDefault="00C146A3" w:rsidP="005B11CE">
      <w:pPr>
        <w:pStyle w:val="ListParagraph"/>
        <w:numPr>
          <w:ilvl w:val="0"/>
          <w:numId w:val="41"/>
        </w:numPr>
        <w:jc w:val="both"/>
      </w:pPr>
      <w:r w:rsidRPr="00982700">
        <w:t>TDF + FTC is active against hepatitis B (HBV) infection. HBV infection is not a contra-indication to PrEP, but will require LFT monitoring in patients on oral PrEP. Discontinuation of TDF + FTC in patients with HBV requires referral to a specialist because of a risk of a hepatitis flare.</w:t>
      </w:r>
    </w:p>
    <w:p w14:paraId="695F11A0" w14:textId="77777777" w:rsidR="00ED453B" w:rsidRDefault="00ED453B" w:rsidP="00C146A3">
      <w:pPr>
        <w:pStyle w:val="Heading6"/>
      </w:pPr>
    </w:p>
    <w:p w14:paraId="419E5BC8" w14:textId="77777777" w:rsidR="00C146A3" w:rsidRPr="00982700" w:rsidRDefault="00C146A3" w:rsidP="00C146A3">
      <w:pPr>
        <w:pStyle w:val="Heading6"/>
      </w:pPr>
      <w:r w:rsidRPr="00982700">
        <w:t>Hepatitis B immune status and PrEP eligibility</w:t>
      </w:r>
    </w:p>
    <w:tbl>
      <w:tblPr>
        <w:tblStyle w:val="SamplePHCTable"/>
        <w:tblW w:w="0" w:type="auto"/>
        <w:tblLook w:val="04A0" w:firstRow="1" w:lastRow="0" w:firstColumn="1" w:lastColumn="0" w:noHBand="0" w:noVBand="1"/>
      </w:tblPr>
      <w:tblGrid>
        <w:gridCol w:w="1839"/>
        <w:gridCol w:w="1842"/>
        <w:gridCol w:w="2998"/>
      </w:tblGrid>
      <w:tr w:rsidR="00C146A3" w:rsidRPr="00982700" w14:paraId="2370F61B" w14:textId="77777777" w:rsidTr="006360D0">
        <w:trPr>
          <w:cnfStyle w:val="100000000000" w:firstRow="1" w:lastRow="0" w:firstColumn="0" w:lastColumn="0" w:oddVBand="0" w:evenVBand="0" w:oddHBand="0" w:evenHBand="0" w:firstRowFirstColumn="0" w:firstRowLastColumn="0" w:lastRowFirstColumn="0" w:lastRowLastColumn="0"/>
        </w:trPr>
        <w:tc>
          <w:tcPr>
            <w:tcW w:w="1839" w:type="dxa"/>
          </w:tcPr>
          <w:p w14:paraId="7333E59D" w14:textId="77777777" w:rsidR="00C146A3" w:rsidRPr="00982700" w:rsidRDefault="00C146A3" w:rsidP="00C146A3">
            <w:pPr>
              <w:pStyle w:val="NoSpacing"/>
              <w:jc w:val="center"/>
            </w:pPr>
            <w:r w:rsidRPr="00982700">
              <w:t>Hepatitis B surface antigen (HBsAg)</w:t>
            </w:r>
          </w:p>
        </w:tc>
        <w:tc>
          <w:tcPr>
            <w:tcW w:w="1842" w:type="dxa"/>
          </w:tcPr>
          <w:p w14:paraId="28FCAFB3" w14:textId="77777777" w:rsidR="00C146A3" w:rsidRPr="00982700" w:rsidRDefault="00C146A3" w:rsidP="00C146A3">
            <w:pPr>
              <w:pStyle w:val="NoSpacing"/>
              <w:jc w:val="center"/>
            </w:pPr>
            <w:r w:rsidRPr="00982700">
              <w:t>Hepatitis B surface antibody (HBsAb)</w:t>
            </w:r>
          </w:p>
        </w:tc>
        <w:tc>
          <w:tcPr>
            <w:tcW w:w="2998" w:type="dxa"/>
          </w:tcPr>
          <w:p w14:paraId="00ED1CA7" w14:textId="77777777" w:rsidR="00C146A3" w:rsidRPr="00982700" w:rsidRDefault="00C146A3" w:rsidP="00C146A3">
            <w:pPr>
              <w:pStyle w:val="NoSpacing"/>
              <w:jc w:val="center"/>
            </w:pPr>
            <w:r w:rsidRPr="00982700">
              <w:t>Action</w:t>
            </w:r>
          </w:p>
        </w:tc>
      </w:tr>
      <w:tr w:rsidR="00C146A3" w:rsidRPr="00982700" w14:paraId="283EBE83" w14:textId="77777777" w:rsidTr="006360D0">
        <w:tc>
          <w:tcPr>
            <w:tcW w:w="1839" w:type="dxa"/>
          </w:tcPr>
          <w:p w14:paraId="3F9E2F91" w14:textId="77777777" w:rsidR="00C146A3" w:rsidRPr="00982700" w:rsidRDefault="00C146A3" w:rsidP="00C146A3">
            <w:pPr>
              <w:pStyle w:val="NoSpacing"/>
              <w:jc w:val="left"/>
            </w:pPr>
            <w:r w:rsidRPr="00982700">
              <w:t>Negative (-)</w:t>
            </w:r>
          </w:p>
        </w:tc>
        <w:tc>
          <w:tcPr>
            <w:tcW w:w="1842" w:type="dxa"/>
          </w:tcPr>
          <w:p w14:paraId="3293B723" w14:textId="77777777" w:rsidR="00C146A3" w:rsidRPr="00982700" w:rsidRDefault="00C146A3" w:rsidP="00C146A3">
            <w:pPr>
              <w:pStyle w:val="NoSpacing"/>
              <w:jc w:val="left"/>
            </w:pPr>
            <w:r w:rsidRPr="00982700">
              <w:t>Negative (-)</w:t>
            </w:r>
          </w:p>
        </w:tc>
        <w:tc>
          <w:tcPr>
            <w:tcW w:w="2998" w:type="dxa"/>
          </w:tcPr>
          <w:p w14:paraId="67E5999F" w14:textId="77777777" w:rsidR="00C146A3" w:rsidRPr="00982700" w:rsidRDefault="00C146A3" w:rsidP="00C146A3">
            <w:pPr>
              <w:pStyle w:val="NoSpacing"/>
              <w:jc w:val="left"/>
            </w:pPr>
            <w:r w:rsidRPr="00982700">
              <w:t>Start PrEP: TDF+FTC or lenacapavir may be offered</w:t>
            </w:r>
          </w:p>
          <w:p w14:paraId="6E4355C8" w14:textId="77777777" w:rsidR="00C146A3" w:rsidRPr="00982700" w:rsidRDefault="00C146A3" w:rsidP="00C146A3">
            <w:pPr>
              <w:pStyle w:val="NoSpacing"/>
              <w:jc w:val="left"/>
            </w:pPr>
            <w:r w:rsidRPr="00982700">
              <w:t>Vaccinate with Hep B vaccine concurrently if available.</w:t>
            </w:r>
          </w:p>
        </w:tc>
      </w:tr>
      <w:tr w:rsidR="00C146A3" w:rsidRPr="00982700" w14:paraId="0A885F70" w14:textId="77777777" w:rsidTr="006360D0">
        <w:tc>
          <w:tcPr>
            <w:tcW w:w="1839" w:type="dxa"/>
          </w:tcPr>
          <w:p w14:paraId="0A1F6DF3" w14:textId="77777777" w:rsidR="00C146A3" w:rsidRPr="00982700" w:rsidRDefault="00C146A3" w:rsidP="00C146A3">
            <w:pPr>
              <w:pStyle w:val="NoSpacing"/>
              <w:jc w:val="left"/>
            </w:pPr>
            <w:r w:rsidRPr="00982700">
              <w:t>Negative (-)</w:t>
            </w:r>
          </w:p>
        </w:tc>
        <w:tc>
          <w:tcPr>
            <w:tcW w:w="1842" w:type="dxa"/>
          </w:tcPr>
          <w:p w14:paraId="72C9CC41" w14:textId="77777777" w:rsidR="00C146A3" w:rsidRPr="00982700" w:rsidRDefault="00C146A3" w:rsidP="00C146A3">
            <w:pPr>
              <w:pStyle w:val="NoSpacing"/>
              <w:jc w:val="left"/>
            </w:pPr>
            <w:r w:rsidRPr="00982700">
              <w:t>Positive (+)</w:t>
            </w:r>
          </w:p>
        </w:tc>
        <w:tc>
          <w:tcPr>
            <w:tcW w:w="2998" w:type="dxa"/>
          </w:tcPr>
          <w:p w14:paraId="42ADD6AB" w14:textId="77777777" w:rsidR="00C146A3" w:rsidRPr="00982700" w:rsidRDefault="00C146A3" w:rsidP="00C146A3">
            <w:pPr>
              <w:pStyle w:val="NoSpacing"/>
              <w:jc w:val="left"/>
            </w:pPr>
            <w:r w:rsidRPr="00982700">
              <w:t>Start PrEP: TDF+FTC or lenacapavir may be offered</w:t>
            </w:r>
          </w:p>
          <w:p w14:paraId="22113E1B" w14:textId="77777777" w:rsidR="00C146A3" w:rsidRPr="00982700" w:rsidRDefault="00C146A3" w:rsidP="00C146A3">
            <w:pPr>
              <w:pStyle w:val="NoSpacing"/>
              <w:jc w:val="left"/>
            </w:pPr>
            <w:r w:rsidRPr="00982700">
              <w:t>No Hep B vaccine needed</w:t>
            </w:r>
          </w:p>
        </w:tc>
      </w:tr>
      <w:tr w:rsidR="00C146A3" w:rsidRPr="00982700" w14:paraId="61A41247" w14:textId="77777777" w:rsidTr="006360D0">
        <w:tc>
          <w:tcPr>
            <w:tcW w:w="1839" w:type="dxa"/>
          </w:tcPr>
          <w:p w14:paraId="2CC2060F" w14:textId="77777777" w:rsidR="00C146A3" w:rsidRPr="00982700" w:rsidRDefault="00C146A3" w:rsidP="00C146A3">
            <w:pPr>
              <w:pStyle w:val="NoSpacing"/>
              <w:jc w:val="left"/>
            </w:pPr>
            <w:r w:rsidRPr="00982700">
              <w:t>Positive (+)</w:t>
            </w:r>
          </w:p>
        </w:tc>
        <w:tc>
          <w:tcPr>
            <w:tcW w:w="1842" w:type="dxa"/>
          </w:tcPr>
          <w:p w14:paraId="2A6F3409" w14:textId="77777777" w:rsidR="00C146A3" w:rsidRPr="00982700" w:rsidRDefault="00C146A3" w:rsidP="00C146A3">
            <w:pPr>
              <w:pStyle w:val="NoSpacing"/>
              <w:jc w:val="left"/>
            </w:pPr>
            <w:r w:rsidRPr="00982700">
              <w:t>N/A</w:t>
            </w:r>
          </w:p>
        </w:tc>
        <w:tc>
          <w:tcPr>
            <w:tcW w:w="2998" w:type="dxa"/>
          </w:tcPr>
          <w:p w14:paraId="072BF4CC" w14:textId="77777777" w:rsidR="00C146A3" w:rsidRPr="00982700" w:rsidRDefault="00C146A3" w:rsidP="00C146A3">
            <w:pPr>
              <w:pStyle w:val="NoSpacing"/>
              <w:jc w:val="left"/>
            </w:pPr>
            <w:r w:rsidRPr="00982700">
              <w:t>Start PrEP: TDF+FTC or lenacapavir may be offered.</w:t>
            </w:r>
          </w:p>
          <w:p w14:paraId="3C5ADA13" w14:textId="77777777" w:rsidR="00C146A3" w:rsidRPr="00982700" w:rsidRDefault="00C146A3" w:rsidP="00C146A3">
            <w:pPr>
              <w:pStyle w:val="NoSpacing"/>
              <w:jc w:val="left"/>
            </w:pPr>
            <w:r w:rsidRPr="00982700">
              <w:t xml:space="preserve">Refer for HBV evaluation and monitoring of liver function. </w:t>
            </w:r>
          </w:p>
          <w:p w14:paraId="046CEBF0" w14:textId="77777777" w:rsidR="00C146A3" w:rsidRPr="00982700" w:rsidRDefault="00C146A3" w:rsidP="00C146A3">
            <w:pPr>
              <w:pStyle w:val="NoSpacing"/>
              <w:jc w:val="left"/>
            </w:pPr>
          </w:p>
        </w:tc>
      </w:tr>
    </w:tbl>
    <w:p w14:paraId="6E5E218E" w14:textId="77777777" w:rsidR="00C146A3" w:rsidRPr="00367F15" w:rsidRDefault="00C146A3" w:rsidP="00C146A3">
      <w:pPr>
        <w:rPr>
          <w:rStyle w:val="Strong"/>
          <w:b w:val="0"/>
          <w:sz w:val="16"/>
        </w:rPr>
      </w:pPr>
      <w:r w:rsidRPr="004A6630">
        <w:rPr>
          <w:rStyle w:val="Strong"/>
          <w:sz w:val="16"/>
        </w:rPr>
        <w:t>Table 11.14:</w:t>
      </w:r>
      <w:r w:rsidRPr="00367F15">
        <w:rPr>
          <w:rStyle w:val="Strong"/>
          <w:sz w:val="16"/>
        </w:rPr>
        <w:t xml:space="preserve"> PrEP eligibility determined by hepatitis B immune status</w:t>
      </w:r>
    </w:p>
    <w:p w14:paraId="7ACDCDA0" w14:textId="77777777" w:rsidR="00C146A3" w:rsidRPr="00367F15" w:rsidRDefault="00C146A3" w:rsidP="00C146A3">
      <w:pPr>
        <w:pStyle w:val="NoSpacing"/>
        <w:rPr>
          <w:rStyle w:val="Strong"/>
        </w:rPr>
      </w:pPr>
      <w:r w:rsidRPr="00367F15">
        <w:rPr>
          <w:rStyle w:val="Strong"/>
        </w:rPr>
        <w:t>Note:</w:t>
      </w:r>
    </w:p>
    <w:p w14:paraId="44566B9C" w14:textId="77777777" w:rsidR="00C146A3" w:rsidRDefault="00C146A3" w:rsidP="005B11CE">
      <w:pPr>
        <w:pStyle w:val="ListParagraph"/>
        <w:numPr>
          <w:ilvl w:val="0"/>
          <w:numId w:val="41"/>
        </w:numPr>
      </w:pPr>
      <w:r w:rsidRPr="00367F15">
        <w:t>PrEP users with chronic hepatitis B infection who develop abnormal liver function tests should be referred for assessment.</w:t>
      </w:r>
    </w:p>
    <w:p w14:paraId="4BA457EC" w14:textId="77777777" w:rsidR="00C146A3" w:rsidRDefault="00C146A3" w:rsidP="00C146A3"/>
    <w:p w14:paraId="7F340D06" w14:textId="77777777" w:rsidR="00ED453B" w:rsidRDefault="00ED453B" w:rsidP="00C146A3"/>
    <w:p w14:paraId="0AE4A096" w14:textId="77777777" w:rsidR="00ED453B" w:rsidRDefault="00ED453B" w:rsidP="00C146A3"/>
    <w:p w14:paraId="7FF14247" w14:textId="77777777" w:rsidR="00ED453B" w:rsidRDefault="00ED453B" w:rsidP="00C146A3"/>
    <w:p w14:paraId="658888F0" w14:textId="77777777" w:rsidR="00ED453B" w:rsidRDefault="00ED453B" w:rsidP="00C146A3"/>
    <w:p w14:paraId="41FA55CD" w14:textId="77777777" w:rsidR="00ED453B" w:rsidRDefault="00ED453B" w:rsidP="00C146A3"/>
    <w:p w14:paraId="1DF9A0CD" w14:textId="77777777" w:rsidR="00C146A3" w:rsidRPr="00367F15" w:rsidRDefault="00C146A3" w:rsidP="00C146A3">
      <w:pPr>
        <w:pStyle w:val="Heading6"/>
      </w:pPr>
      <w:r w:rsidRPr="00367F15">
        <w:lastRenderedPageBreak/>
        <w:t>PrEP follow up and monitoring</w:t>
      </w:r>
    </w:p>
    <w:tbl>
      <w:tblPr>
        <w:tblStyle w:val="SamplePHCTable"/>
        <w:tblW w:w="0" w:type="auto"/>
        <w:tblLook w:val="04A0" w:firstRow="1" w:lastRow="0" w:firstColumn="1" w:lastColumn="0" w:noHBand="0" w:noVBand="1"/>
      </w:tblPr>
      <w:tblGrid>
        <w:gridCol w:w="2122"/>
        <w:gridCol w:w="4557"/>
      </w:tblGrid>
      <w:tr w:rsidR="00C146A3" w:rsidRPr="00367F15" w14:paraId="6092284D" w14:textId="77777777" w:rsidTr="00C146A3">
        <w:trPr>
          <w:cnfStyle w:val="100000000000" w:firstRow="1" w:lastRow="0" w:firstColumn="0" w:lastColumn="0" w:oddVBand="0" w:evenVBand="0" w:oddHBand="0" w:evenHBand="0" w:firstRowFirstColumn="0" w:firstRowLastColumn="0" w:lastRowFirstColumn="0" w:lastRowLastColumn="0"/>
        </w:trPr>
        <w:tc>
          <w:tcPr>
            <w:tcW w:w="2122" w:type="dxa"/>
          </w:tcPr>
          <w:p w14:paraId="5E94C0D1" w14:textId="77777777" w:rsidR="00C146A3" w:rsidRPr="00367F15" w:rsidRDefault="00C146A3" w:rsidP="00C146A3">
            <w:pPr>
              <w:pStyle w:val="NoSpacing"/>
              <w:jc w:val="center"/>
            </w:pPr>
            <w:r w:rsidRPr="00367F15">
              <w:t>Activity</w:t>
            </w:r>
          </w:p>
        </w:tc>
        <w:tc>
          <w:tcPr>
            <w:tcW w:w="4557" w:type="dxa"/>
          </w:tcPr>
          <w:p w14:paraId="0BB602B2" w14:textId="77777777" w:rsidR="00C146A3" w:rsidRPr="00367F15" w:rsidRDefault="00C146A3" w:rsidP="00C146A3">
            <w:pPr>
              <w:pStyle w:val="NoSpacing"/>
              <w:jc w:val="center"/>
            </w:pPr>
            <w:r w:rsidRPr="00367F15">
              <w:t>Frequency</w:t>
            </w:r>
          </w:p>
        </w:tc>
      </w:tr>
      <w:tr w:rsidR="00C146A3" w:rsidRPr="00367F15" w14:paraId="5B5F22D4" w14:textId="77777777" w:rsidTr="00C146A3">
        <w:tc>
          <w:tcPr>
            <w:tcW w:w="2122" w:type="dxa"/>
          </w:tcPr>
          <w:p w14:paraId="6220F04E" w14:textId="77777777" w:rsidR="00C146A3" w:rsidRPr="00367F15" w:rsidRDefault="00C146A3" w:rsidP="00C146A3">
            <w:pPr>
              <w:pStyle w:val="NoSpacing"/>
              <w:jc w:val="left"/>
            </w:pPr>
            <w:r w:rsidRPr="00367F15">
              <w:t>Confirmation of HIV-negative status</w:t>
            </w:r>
          </w:p>
        </w:tc>
        <w:tc>
          <w:tcPr>
            <w:tcW w:w="4557" w:type="dxa"/>
          </w:tcPr>
          <w:p w14:paraId="24AFD47A" w14:textId="77777777" w:rsidR="00C146A3" w:rsidRDefault="00C146A3" w:rsidP="00C146A3">
            <w:pPr>
              <w:pStyle w:val="NoSpacing"/>
              <w:jc w:val="left"/>
            </w:pPr>
            <w:r>
              <w:t xml:space="preserve">Oral Prep: </w:t>
            </w:r>
            <w:r w:rsidRPr="00367F15">
              <w:t>At 1 month, then every 3 months</w:t>
            </w:r>
            <w:r>
              <w:t>.</w:t>
            </w:r>
          </w:p>
          <w:p w14:paraId="087714A1" w14:textId="77777777" w:rsidR="00C146A3" w:rsidRPr="00367F15" w:rsidRDefault="00C146A3" w:rsidP="00C146A3">
            <w:pPr>
              <w:pStyle w:val="NoSpacing"/>
              <w:jc w:val="left"/>
            </w:pPr>
            <w:r w:rsidRPr="00E25D58">
              <w:t>Injectable PrEP: At 1 month then every 6 months</w:t>
            </w:r>
          </w:p>
        </w:tc>
      </w:tr>
      <w:tr w:rsidR="00C146A3" w:rsidRPr="00367F15" w14:paraId="1C9018FA" w14:textId="77777777" w:rsidTr="00C146A3">
        <w:tc>
          <w:tcPr>
            <w:tcW w:w="2122" w:type="dxa"/>
          </w:tcPr>
          <w:p w14:paraId="6BC7FDA6" w14:textId="77777777" w:rsidR="00C146A3" w:rsidRPr="00367F15" w:rsidRDefault="00C146A3" w:rsidP="00C146A3">
            <w:pPr>
              <w:pStyle w:val="NoSpacing"/>
              <w:jc w:val="left"/>
            </w:pPr>
            <w:r w:rsidRPr="00367F15">
              <w:t>Address side effects</w:t>
            </w:r>
          </w:p>
        </w:tc>
        <w:tc>
          <w:tcPr>
            <w:tcW w:w="4557" w:type="dxa"/>
          </w:tcPr>
          <w:p w14:paraId="725AB2F3" w14:textId="77777777" w:rsidR="00C146A3" w:rsidRPr="00367F15" w:rsidRDefault="00C146A3" w:rsidP="00C146A3">
            <w:pPr>
              <w:pStyle w:val="NoSpacing"/>
              <w:jc w:val="left"/>
            </w:pPr>
            <w:r w:rsidRPr="00367F15">
              <w:t>Every visit</w:t>
            </w:r>
            <w:r>
              <w:t>.</w:t>
            </w:r>
          </w:p>
        </w:tc>
      </w:tr>
      <w:tr w:rsidR="00C146A3" w:rsidRPr="00367F15" w14:paraId="4E87F00F" w14:textId="77777777" w:rsidTr="00C146A3">
        <w:tc>
          <w:tcPr>
            <w:tcW w:w="2122" w:type="dxa"/>
          </w:tcPr>
          <w:p w14:paraId="5F1AFCAB" w14:textId="77777777" w:rsidR="00C146A3" w:rsidRPr="00367F15" w:rsidRDefault="00C146A3" w:rsidP="00C146A3">
            <w:pPr>
              <w:pStyle w:val="NoSpacing"/>
              <w:jc w:val="left"/>
            </w:pPr>
            <w:r w:rsidRPr="00367F15">
              <w:t>Adherence counsel</w:t>
            </w:r>
            <w:r>
              <w:t>l</w:t>
            </w:r>
            <w:r w:rsidRPr="00367F15">
              <w:t>ing</w:t>
            </w:r>
          </w:p>
        </w:tc>
        <w:tc>
          <w:tcPr>
            <w:tcW w:w="4557" w:type="dxa"/>
          </w:tcPr>
          <w:p w14:paraId="295C21C3" w14:textId="77777777" w:rsidR="00C146A3" w:rsidRPr="00367F15" w:rsidRDefault="00C146A3" w:rsidP="00C146A3">
            <w:pPr>
              <w:pStyle w:val="NoSpacing"/>
              <w:jc w:val="left"/>
            </w:pPr>
            <w:r w:rsidRPr="00367F15">
              <w:t>Every visit</w:t>
            </w:r>
            <w:r>
              <w:t>.</w:t>
            </w:r>
          </w:p>
        </w:tc>
      </w:tr>
      <w:tr w:rsidR="00C146A3" w:rsidRPr="00367F15" w14:paraId="761A0C67" w14:textId="77777777" w:rsidTr="00ED453B">
        <w:trPr>
          <w:trHeight w:val="1841"/>
        </w:trPr>
        <w:tc>
          <w:tcPr>
            <w:tcW w:w="2122" w:type="dxa"/>
          </w:tcPr>
          <w:p w14:paraId="50114E75" w14:textId="77777777" w:rsidR="00C146A3" w:rsidRPr="00982700" w:rsidRDefault="00C146A3" w:rsidP="00C146A3">
            <w:pPr>
              <w:pStyle w:val="NoSpacing"/>
              <w:jc w:val="left"/>
            </w:pPr>
            <w:r w:rsidRPr="00982700">
              <w:t>Estimated creatinine clearance</w:t>
            </w:r>
          </w:p>
        </w:tc>
        <w:tc>
          <w:tcPr>
            <w:tcW w:w="4557" w:type="dxa"/>
          </w:tcPr>
          <w:p w14:paraId="42FBC4A2" w14:textId="77777777" w:rsidR="00C146A3" w:rsidRPr="00982700" w:rsidRDefault="00C146A3" w:rsidP="00C146A3">
            <w:pPr>
              <w:pStyle w:val="NoSpacing"/>
              <w:jc w:val="left"/>
              <w:rPr>
                <w:szCs w:val="16"/>
              </w:rPr>
            </w:pPr>
            <w:r w:rsidRPr="00982700">
              <w:rPr>
                <w:szCs w:val="16"/>
              </w:rPr>
              <w:t>Frequency dependant on pregnancy status, age and co-morbidity:</w:t>
            </w:r>
          </w:p>
          <w:tbl>
            <w:tblPr>
              <w:tblStyle w:val="TableGrid"/>
              <w:tblW w:w="5000" w:type="pct"/>
              <w:tblLook w:val="04A0" w:firstRow="1" w:lastRow="0" w:firstColumn="1" w:lastColumn="0" w:noHBand="0" w:noVBand="1"/>
            </w:tblPr>
            <w:tblGrid>
              <w:gridCol w:w="1021"/>
              <w:gridCol w:w="1701"/>
              <w:gridCol w:w="1609"/>
            </w:tblGrid>
            <w:tr w:rsidR="00C146A3" w:rsidRPr="00982700" w14:paraId="41191B34" w14:textId="77777777" w:rsidTr="006360D0">
              <w:tc>
                <w:tcPr>
                  <w:tcW w:w="1179" w:type="pct"/>
                  <w:shd w:val="clear" w:color="auto" w:fill="F2F2F2" w:themeFill="background1" w:themeFillShade="F2"/>
                </w:tcPr>
                <w:p w14:paraId="4FB3446E" w14:textId="77777777" w:rsidR="00C146A3" w:rsidRPr="00982700" w:rsidRDefault="00C146A3" w:rsidP="00C146A3">
                  <w:pPr>
                    <w:pStyle w:val="NoSpacing"/>
                    <w:rPr>
                      <w:b/>
                      <w:sz w:val="14"/>
                      <w:szCs w:val="16"/>
                    </w:rPr>
                  </w:pPr>
                  <w:r w:rsidRPr="00982700">
                    <w:rPr>
                      <w:b/>
                      <w:sz w:val="14"/>
                      <w:szCs w:val="16"/>
                    </w:rPr>
                    <w:t xml:space="preserve">Age/ </w:t>
                  </w:r>
                </w:p>
                <w:p w14:paraId="2B55180A" w14:textId="77777777" w:rsidR="00C146A3" w:rsidRPr="00982700" w:rsidRDefault="00C146A3" w:rsidP="00C146A3">
                  <w:pPr>
                    <w:pStyle w:val="NoSpacing"/>
                    <w:rPr>
                      <w:b/>
                      <w:sz w:val="14"/>
                      <w:szCs w:val="16"/>
                    </w:rPr>
                  </w:pPr>
                  <w:r w:rsidRPr="00982700">
                    <w:rPr>
                      <w:b/>
                      <w:sz w:val="14"/>
                      <w:szCs w:val="16"/>
                    </w:rPr>
                    <w:t>pregnant</w:t>
                  </w:r>
                </w:p>
              </w:tc>
              <w:tc>
                <w:tcPr>
                  <w:tcW w:w="1964" w:type="pct"/>
                  <w:shd w:val="clear" w:color="auto" w:fill="F2F2F2" w:themeFill="background1" w:themeFillShade="F2"/>
                </w:tcPr>
                <w:p w14:paraId="7A87F692" w14:textId="77777777" w:rsidR="00C146A3" w:rsidRPr="00982700" w:rsidRDefault="00C146A3" w:rsidP="00C146A3">
                  <w:pPr>
                    <w:pStyle w:val="NoSpacing"/>
                    <w:rPr>
                      <w:b/>
                      <w:sz w:val="14"/>
                      <w:szCs w:val="16"/>
                    </w:rPr>
                  </w:pPr>
                  <w:r w:rsidRPr="00982700">
                    <w:rPr>
                      <w:b/>
                      <w:sz w:val="14"/>
                      <w:szCs w:val="16"/>
                    </w:rPr>
                    <w:t>Co-morbidity</w:t>
                  </w:r>
                </w:p>
              </w:tc>
              <w:tc>
                <w:tcPr>
                  <w:tcW w:w="1858" w:type="pct"/>
                  <w:shd w:val="clear" w:color="auto" w:fill="F2F2F2" w:themeFill="background1" w:themeFillShade="F2"/>
                </w:tcPr>
                <w:p w14:paraId="4D0B2F0E" w14:textId="77777777" w:rsidR="00C146A3" w:rsidRPr="00982700" w:rsidRDefault="00C146A3" w:rsidP="00C146A3">
                  <w:pPr>
                    <w:pStyle w:val="NoSpacing"/>
                    <w:rPr>
                      <w:b/>
                      <w:sz w:val="14"/>
                      <w:szCs w:val="16"/>
                    </w:rPr>
                  </w:pPr>
                  <w:r w:rsidRPr="00982700">
                    <w:rPr>
                      <w:b/>
                      <w:sz w:val="14"/>
                      <w:szCs w:val="16"/>
                    </w:rPr>
                    <w:t>Creatinine</w:t>
                  </w:r>
                </w:p>
              </w:tc>
            </w:tr>
            <w:tr w:rsidR="00C146A3" w:rsidRPr="00982700" w14:paraId="1DB64CDB" w14:textId="77777777" w:rsidTr="006360D0">
              <w:tc>
                <w:tcPr>
                  <w:tcW w:w="1179" w:type="pct"/>
                </w:tcPr>
                <w:p w14:paraId="7B35820A" w14:textId="77777777" w:rsidR="00C146A3" w:rsidRPr="00982700" w:rsidRDefault="00C146A3" w:rsidP="00C146A3">
                  <w:pPr>
                    <w:pStyle w:val="NoSpacing"/>
                    <w:rPr>
                      <w:sz w:val="14"/>
                      <w:szCs w:val="16"/>
                    </w:rPr>
                  </w:pPr>
                  <w:r w:rsidRPr="00982700">
                    <w:rPr>
                      <w:sz w:val="14"/>
                      <w:szCs w:val="16"/>
                    </w:rPr>
                    <w:t>&lt;30 years</w:t>
                  </w:r>
                </w:p>
              </w:tc>
              <w:tc>
                <w:tcPr>
                  <w:tcW w:w="1964" w:type="pct"/>
                </w:tcPr>
                <w:p w14:paraId="4ECAA5E7" w14:textId="77777777" w:rsidR="00C146A3" w:rsidRPr="00982700" w:rsidRDefault="00C146A3" w:rsidP="00C146A3">
                  <w:pPr>
                    <w:pStyle w:val="NoSpacing"/>
                    <w:rPr>
                      <w:sz w:val="14"/>
                      <w:szCs w:val="16"/>
                    </w:rPr>
                  </w:pPr>
                  <w:r w:rsidRPr="00982700">
                    <w:rPr>
                      <w:sz w:val="14"/>
                      <w:szCs w:val="16"/>
                    </w:rPr>
                    <w:t>None</w:t>
                  </w:r>
                </w:p>
              </w:tc>
              <w:tc>
                <w:tcPr>
                  <w:tcW w:w="1858" w:type="pct"/>
                </w:tcPr>
                <w:p w14:paraId="4F4B7AE4" w14:textId="77777777" w:rsidR="00C146A3" w:rsidRPr="00982700" w:rsidRDefault="00C146A3" w:rsidP="00C146A3">
                  <w:pPr>
                    <w:pStyle w:val="NoSpacing"/>
                    <w:rPr>
                      <w:sz w:val="14"/>
                      <w:szCs w:val="16"/>
                    </w:rPr>
                  </w:pPr>
                  <w:r w:rsidRPr="00982700">
                    <w:rPr>
                      <w:sz w:val="14"/>
                      <w:szCs w:val="16"/>
                    </w:rPr>
                    <w:t>n/a</w:t>
                  </w:r>
                </w:p>
              </w:tc>
            </w:tr>
            <w:tr w:rsidR="00C146A3" w:rsidRPr="00982700" w14:paraId="0DA767B6" w14:textId="77777777" w:rsidTr="006360D0">
              <w:tc>
                <w:tcPr>
                  <w:tcW w:w="1179" w:type="pct"/>
                </w:tcPr>
                <w:p w14:paraId="75AF20BB" w14:textId="77777777" w:rsidR="00C146A3" w:rsidRPr="00982700" w:rsidRDefault="00C146A3" w:rsidP="00C146A3">
                  <w:pPr>
                    <w:pStyle w:val="NoSpacing"/>
                    <w:rPr>
                      <w:sz w:val="14"/>
                      <w:szCs w:val="16"/>
                    </w:rPr>
                  </w:pPr>
                  <w:r w:rsidRPr="00982700">
                    <w:rPr>
                      <w:sz w:val="14"/>
                      <w:szCs w:val="16"/>
                    </w:rPr>
                    <w:t>30–49 years</w:t>
                  </w:r>
                </w:p>
              </w:tc>
              <w:tc>
                <w:tcPr>
                  <w:tcW w:w="1964" w:type="pct"/>
                </w:tcPr>
                <w:p w14:paraId="5A87A875" w14:textId="77777777" w:rsidR="00C146A3" w:rsidRPr="00982700" w:rsidRDefault="00C146A3" w:rsidP="00C146A3">
                  <w:pPr>
                    <w:pStyle w:val="NoSpacing"/>
                    <w:rPr>
                      <w:sz w:val="14"/>
                      <w:szCs w:val="16"/>
                    </w:rPr>
                  </w:pPr>
                  <w:r w:rsidRPr="00982700">
                    <w:rPr>
                      <w:sz w:val="14"/>
                      <w:szCs w:val="16"/>
                    </w:rPr>
                    <w:t>None</w:t>
                  </w:r>
                </w:p>
              </w:tc>
              <w:tc>
                <w:tcPr>
                  <w:tcW w:w="1858" w:type="pct"/>
                </w:tcPr>
                <w:p w14:paraId="21567A88" w14:textId="77777777" w:rsidR="00C146A3" w:rsidRPr="00982700" w:rsidRDefault="00C146A3" w:rsidP="00C146A3">
                  <w:pPr>
                    <w:pStyle w:val="NoSpacing"/>
                    <w:rPr>
                      <w:sz w:val="14"/>
                      <w:szCs w:val="16"/>
                    </w:rPr>
                  </w:pPr>
                  <w:r w:rsidRPr="00982700">
                    <w:rPr>
                      <w:sz w:val="14"/>
                      <w:szCs w:val="16"/>
                    </w:rPr>
                    <w:t>Baseline</w:t>
                  </w:r>
                </w:p>
              </w:tc>
            </w:tr>
            <w:tr w:rsidR="00C146A3" w:rsidRPr="00982700" w14:paraId="668D7C43" w14:textId="77777777" w:rsidTr="006360D0">
              <w:tc>
                <w:tcPr>
                  <w:tcW w:w="1179" w:type="pct"/>
                </w:tcPr>
                <w:p w14:paraId="6A425C59" w14:textId="77777777" w:rsidR="00C146A3" w:rsidRPr="00982700" w:rsidRDefault="00C146A3" w:rsidP="00C146A3">
                  <w:pPr>
                    <w:pStyle w:val="NoSpacing"/>
                    <w:rPr>
                      <w:sz w:val="14"/>
                      <w:szCs w:val="16"/>
                    </w:rPr>
                  </w:pPr>
                  <w:r w:rsidRPr="00982700">
                    <w:rPr>
                      <w:sz w:val="14"/>
                      <w:szCs w:val="16"/>
                    </w:rPr>
                    <w:t>&lt;50 years</w:t>
                  </w:r>
                </w:p>
              </w:tc>
              <w:tc>
                <w:tcPr>
                  <w:tcW w:w="1964" w:type="pct"/>
                </w:tcPr>
                <w:p w14:paraId="0EDDBB1F" w14:textId="77777777" w:rsidR="00C146A3" w:rsidRPr="00982700" w:rsidRDefault="00C146A3" w:rsidP="00C146A3">
                  <w:pPr>
                    <w:pStyle w:val="NoSpacing"/>
                    <w:rPr>
                      <w:sz w:val="14"/>
                      <w:szCs w:val="16"/>
                    </w:rPr>
                  </w:pPr>
                  <w:r w:rsidRPr="00982700">
                    <w:rPr>
                      <w:sz w:val="14"/>
                      <w:szCs w:val="16"/>
                    </w:rPr>
                    <w:t>Diabetes/ hypertension</w:t>
                  </w:r>
                </w:p>
              </w:tc>
              <w:tc>
                <w:tcPr>
                  <w:tcW w:w="1858" w:type="pct"/>
                </w:tcPr>
                <w:p w14:paraId="6B60403E" w14:textId="77777777" w:rsidR="00C146A3" w:rsidRPr="00982700" w:rsidRDefault="00C146A3" w:rsidP="00C146A3">
                  <w:pPr>
                    <w:pStyle w:val="NoSpacing"/>
                    <w:rPr>
                      <w:sz w:val="14"/>
                      <w:szCs w:val="16"/>
                    </w:rPr>
                  </w:pPr>
                  <w:r w:rsidRPr="00982700">
                    <w:rPr>
                      <w:sz w:val="14"/>
                      <w:szCs w:val="16"/>
                    </w:rPr>
                    <w:t>Baseline, annually</w:t>
                  </w:r>
                </w:p>
              </w:tc>
            </w:tr>
            <w:tr w:rsidR="00C146A3" w:rsidRPr="00982700" w14:paraId="7849A8BC" w14:textId="77777777" w:rsidTr="006360D0">
              <w:tc>
                <w:tcPr>
                  <w:tcW w:w="1179" w:type="pct"/>
                </w:tcPr>
                <w:p w14:paraId="5CE50C5A" w14:textId="77777777" w:rsidR="00C146A3" w:rsidRPr="00982700" w:rsidRDefault="00C146A3" w:rsidP="00C146A3">
                  <w:pPr>
                    <w:pStyle w:val="NoSpacing"/>
                    <w:rPr>
                      <w:sz w:val="14"/>
                      <w:szCs w:val="16"/>
                    </w:rPr>
                  </w:pPr>
                  <w:r w:rsidRPr="00982700">
                    <w:rPr>
                      <w:rFonts w:cs="Arial"/>
                      <w:sz w:val="14"/>
                      <w:szCs w:val="16"/>
                    </w:rPr>
                    <w:t>≥</w:t>
                  </w:r>
                  <w:r w:rsidRPr="00982700">
                    <w:rPr>
                      <w:sz w:val="14"/>
                      <w:szCs w:val="16"/>
                    </w:rPr>
                    <w:t xml:space="preserve"> 50 years</w:t>
                  </w:r>
                </w:p>
              </w:tc>
              <w:tc>
                <w:tcPr>
                  <w:tcW w:w="1964" w:type="pct"/>
                </w:tcPr>
                <w:p w14:paraId="5A17B5C1" w14:textId="77777777" w:rsidR="00C146A3" w:rsidRPr="00982700" w:rsidRDefault="00C146A3" w:rsidP="00C146A3">
                  <w:pPr>
                    <w:pStyle w:val="NoSpacing"/>
                    <w:rPr>
                      <w:sz w:val="14"/>
                      <w:szCs w:val="16"/>
                    </w:rPr>
                  </w:pPr>
                  <w:r w:rsidRPr="00982700">
                    <w:rPr>
                      <w:sz w:val="14"/>
                      <w:szCs w:val="16"/>
                    </w:rPr>
                    <w:t>None</w:t>
                  </w:r>
                </w:p>
              </w:tc>
              <w:tc>
                <w:tcPr>
                  <w:tcW w:w="1858" w:type="pct"/>
                </w:tcPr>
                <w:p w14:paraId="5AA49DE1" w14:textId="77777777" w:rsidR="00C146A3" w:rsidRPr="00982700" w:rsidRDefault="00C146A3" w:rsidP="00C146A3">
                  <w:pPr>
                    <w:pStyle w:val="NoSpacing"/>
                    <w:rPr>
                      <w:sz w:val="14"/>
                      <w:szCs w:val="16"/>
                    </w:rPr>
                  </w:pPr>
                  <w:r w:rsidRPr="00982700">
                    <w:rPr>
                      <w:sz w:val="14"/>
                      <w:szCs w:val="16"/>
                    </w:rPr>
                    <w:t>Baseline</w:t>
                  </w:r>
                </w:p>
              </w:tc>
            </w:tr>
            <w:tr w:rsidR="00C146A3" w:rsidRPr="00982700" w14:paraId="41227828" w14:textId="77777777" w:rsidTr="006360D0">
              <w:tc>
                <w:tcPr>
                  <w:tcW w:w="1179" w:type="pct"/>
                </w:tcPr>
                <w:p w14:paraId="3CDB38FF" w14:textId="77777777" w:rsidR="00C146A3" w:rsidRPr="00982700" w:rsidRDefault="00C146A3" w:rsidP="00C146A3">
                  <w:pPr>
                    <w:pStyle w:val="NoSpacing"/>
                    <w:rPr>
                      <w:sz w:val="14"/>
                      <w:szCs w:val="16"/>
                    </w:rPr>
                  </w:pPr>
                  <w:r w:rsidRPr="00982700">
                    <w:rPr>
                      <w:rFonts w:cs="Arial"/>
                      <w:sz w:val="14"/>
                      <w:szCs w:val="16"/>
                    </w:rPr>
                    <w:t>≥</w:t>
                  </w:r>
                  <w:r w:rsidRPr="00982700">
                    <w:rPr>
                      <w:sz w:val="14"/>
                      <w:szCs w:val="16"/>
                    </w:rPr>
                    <w:t xml:space="preserve"> 50 years</w:t>
                  </w:r>
                </w:p>
              </w:tc>
              <w:tc>
                <w:tcPr>
                  <w:tcW w:w="1964" w:type="pct"/>
                </w:tcPr>
                <w:p w14:paraId="41265C7D" w14:textId="77777777" w:rsidR="00C146A3" w:rsidRPr="00982700" w:rsidRDefault="00C146A3" w:rsidP="00C146A3">
                  <w:pPr>
                    <w:pStyle w:val="NoSpacing"/>
                    <w:rPr>
                      <w:sz w:val="14"/>
                      <w:szCs w:val="16"/>
                    </w:rPr>
                  </w:pPr>
                  <w:r w:rsidRPr="00982700">
                    <w:rPr>
                      <w:sz w:val="14"/>
                      <w:szCs w:val="16"/>
                    </w:rPr>
                    <w:t>Diabetes/ hypertension</w:t>
                  </w:r>
                </w:p>
              </w:tc>
              <w:tc>
                <w:tcPr>
                  <w:tcW w:w="1858" w:type="pct"/>
                </w:tcPr>
                <w:p w14:paraId="77B6F6AE" w14:textId="77777777" w:rsidR="00C146A3" w:rsidRPr="00982700" w:rsidRDefault="00C146A3" w:rsidP="00C146A3">
                  <w:pPr>
                    <w:pStyle w:val="NoSpacing"/>
                    <w:rPr>
                      <w:sz w:val="14"/>
                      <w:szCs w:val="16"/>
                    </w:rPr>
                  </w:pPr>
                  <w:r w:rsidRPr="00982700">
                    <w:rPr>
                      <w:sz w:val="14"/>
                      <w:szCs w:val="16"/>
                    </w:rPr>
                    <w:t>Baseline, annually</w:t>
                  </w:r>
                </w:p>
              </w:tc>
            </w:tr>
            <w:tr w:rsidR="00C146A3" w:rsidRPr="00982700" w14:paraId="532C93A6" w14:textId="77777777" w:rsidTr="006360D0">
              <w:tc>
                <w:tcPr>
                  <w:tcW w:w="1179" w:type="pct"/>
                </w:tcPr>
                <w:p w14:paraId="6268759D" w14:textId="77777777" w:rsidR="00C146A3" w:rsidRPr="00982700" w:rsidRDefault="00C146A3" w:rsidP="00C146A3">
                  <w:pPr>
                    <w:pStyle w:val="NoSpacing"/>
                    <w:rPr>
                      <w:sz w:val="14"/>
                      <w:szCs w:val="16"/>
                    </w:rPr>
                  </w:pPr>
                  <w:r w:rsidRPr="00982700">
                    <w:rPr>
                      <w:sz w:val="14"/>
                      <w:szCs w:val="16"/>
                    </w:rPr>
                    <w:t>Pregnant</w:t>
                  </w:r>
                </w:p>
              </w:tc>
              <w:tc>
                <w:tcPr>
                  <w:tcW w:w="1964" w:type="pct"/>
                </w:tcPr>
                <w:p w14:paraId="5C74F521" w14:textId="77777777" w:rsidR="00C146A3" w:rsidRPr="00982700" w:rsidRDefault="00C146A3" w:rsidP="00C146A3">
                  <w:pPr>
                    <w:pStyle w:val="NoSpacing"/>
                    <w:rPr>
                      <w:sz w:val="14"/>
                      <w:szCs w:val="16"/>
                    </w:rPr>
                  </w:pPr>
                  <w:r w:rsidRPr="00982700">
                    <w:rPr>
                      <w:sz w:val="14"/>
                      <w:szCs w:val="16"/>
                    </w:rPr>
                    <w:t>n/a</w:t>
                  </w:r>
                </w:p>
              </w:tc>
              <w:tc>
                <w:tcPr>
                  <w:tcW w:w="1858" w:type="pct"/>
                </w:tcPr>
                <w:p w14:paraId="0DECDED0" w14:textId="77777777" w:rsidR="00C146A3" w:rsidRPr="00982700" w:rsidRDefault="00C146A3" w:rsidP="00C146A3">
                  <w:pPr>
                    <w:pStyle w:val="NoSpacing"/>
                    <w:rPr>
                      <w:sz w:val="14"/>
                      <w:szCs w:val="16"/>
                    </w:rPr>
                  </w:pPr>
                  <w:r w:rsidRPr="00982700">
                    <w:rPr>
                      <w:sz w:val="14"/>
                      <w:szCs w:val="16"/>
                    </w:rPr>
                    <w:t>Baseline, 3 &amp; 6 months</w:t>
                  </w:r>
                </w:p>
              </w:tc>
            </w:tr>
          </w:tbl>
          <w:p w14:paraId="70292915" w14:textId="77777777" w:rsidR="00C146A3" w:rsidRPr="00982700" w:rsidRDefault="00C146A3" w:rsidP="00C146A3">
            <w:pPr>
              <w:pStyle w:val="NoSpacing"/>
              <w:jc w:val="left"/>
              <w:rPr>
                <w:sz w:val="8"/>
              </w:rPr>
            </w:pPr>
          </w:p>
        </w:tc>
      </w:tr>
      <w:tr w:rsidR="00C146A3" w:rsidRPr="00367F15" w14:paraId="2BFA4DE4" w14:textId="77777777" w:rsidTr="00C146A3">
        <w:tc>
          <w:tcPr>
            <w:tcW w:w="2122" w:type="dxa"/>
          </w:tcPr>
          <w:p w14:paraId="605ABC55" w14:textId="77777777" w:rsidR="00C146A3" w:rsidRPr="00982700" w:rsidRDefault="00C146A3" w:rsidP="00C146A3">
            <w:pPr>
              <w:pStyle w:val="NoSpacing"/>
              <w:jc w:val="left"/>
            </w:pPr>
            <w:r w:rsidRPr="00982700">
              <w:t>STI screening and treatment</w:t>
            </w:r>
          </w:p>
        </w:tc>
        <w:tc>
          <w:tcPr>
            <w:tcW w:w="4557" w:type="dxa"/>
          </w:tcPr>
          <w:p w14:paraId="13F7FEE5" w14:textId="77777777" w:rsidR="00C146A3" w:rsidRPr="00982700" w:rsidRDefault="00C146A3" w:rsidP="00C146A3">
            <w:pPr>
              <w:pStyle w:val="NoSpacing"/>
              <w:jc w:val="left"/>
            </w:pPr>
            <w:r w:rsidRPr="00982700">
              <w:t>Every visit.</w:t>
            </w:r>
          </w:p>
        </w:tc>
      </w:tr>
      <w:tr w:rsidR="00C146A3" w:rsidRPr="00367F15" w14:paraId="0B9A3E2C" w14:textId="77777777" w:rsidTr="00C146A3">
        <w:tc>
          <w:tcPr>
            <w:tcW w:w="2122" w:type="dxa"/>
          </w:tcPr>
          <w:p w14:paraId="3C8AEE3C" w14:textId="77777777" w:rsidR="00C146A3" w:rsidRPr="00982700" w:rsidRDefault="00C146A3" w:rsidP="00C146A3">
            <w:pPr>
              <w:pStyle w:val="NoSpacing"/>
              <w:jc w:val="left"/>
            </w:pPr>
            <w:r w:rsidRPr="00982700">
              <w:t>PrEP supply</w:t>
            </w:r>
          </w:p>
        </w:tc>
        <w:tc>
          <w:tcPr>
            <w:tcW w:w="4557" w:type="dxa"/>
          </w:tcPr>
          <w:p w14:paraId="38E2356F" w14:textId="77777777" w:rsidR="00C146A3" w:rsidRPr="00982700" w:rsidRDefault="00C146A3" w:rsidP="00C146A3">
            <w:pPr>
              <w:pStyle w:val="NoSpacing"/>
              <w:jc w:val="left"/>
            </w:pPr>
            <w:r w:rsidRPr="00982700">
              <w:t>TDF+FTC: 1 month supply, then 3 monthly supply.</w:t>
            </w:r>
          </w:p>
          <w:p w14:paraId="5928C1A8" w14:textId="77777777" w:rsidR="00C146A3" w:rsidRPr="00982700" w:rsidRDefault="00C146A3" w:rsidP="00C146A3">
            <w:pPr>
              <w:pStyle w:val="NoSpacing"/>
              <w:jc w:val="left"/>
            </w:pPr>
            <w:r w:rsidRPr="00982700">
              <w:t xml:space="preserve">LEN:.Loading dose tablets: Day 1 tablets to be administered during clinic visit with supply for Day 2. Injections to be administered by healthcare staff every 6 months. </w:t>
            </w:r>
          </w:p>
        </w:tc>
      </w:tr>
      <w:tr w:rsidR="00C146A3" w:rsidRPr="00367F15" w14:paraId="06A51E21" w14:textId="77777777" w:rsidTr="00C146A3">
        <w:tc>
          <w:tcPr>
            <w:tcW w:w="2122" w:type="dxa"/>
          </w:tcPr>
          <w:p w14:paraId="374FE64B" w14:textId="77777777" w:rsidR="00C146A3" w:rsidRPr="00982700" w:rsidRDefault="00C146A3" w:rsidP="00C146A3">
            <w:pPr>
              <w:pStyle w:val="NoSpacing"/>
              <w:jc w:val="left"/>
            </w:pPr>
            <w:r w:rsidRPr="00982700">
              <w:t>Behavioural sexual risk reduction counselling</w:t>
            </w:r>
          </w:p>
        </w:tc>
        <w:tc>
          <w:tcPr>
            <w:tcW w:w="4557" w:type="dxa"/>
          </w:tcPr>
          <w:p w14:paraId="0F428997" w14:textId="77777777" w:rsidR="00C146A3" w:rsidRPr="00982700" w:rsidRDefault="00C146A3" w:rsidP="00C146A3">
            <w:pPr>
              <w:pStyle w:val="NoSpacing"/>
              <w:jc w:val="left"/>
            </w:pPr>
            <w:r w:rsidRPr="00982700">
              <w:t>Every visit.</w:t>
            </w:r>
          </w:p>
        </w:tc>
      </w:tr>
    </w:tbl>
    <w:p w14:paraId="23542F3D" w14:textId="77777777" w:rsidR="00C146A3" w:rsidRPr="00367F15" w:rsidRDefault="00C146A3" w:rsidP="00C146A3">
      <w:pPr>
        <w:rPr>
          <w:bCs/>
          <w:sz w:val="16"/>
        </w:rPr>
      </w:pPr>
      <w:r w:rsidRPr="004A6630">
        <w:rPr>
          <w:rStyle w:val="Strong"/>
          <w:sz w:val="16"/>
        </w:rPr>
        <w:t>Table 11.15</w:t>
      </w:r>
      <w:r w:rsidRPr="00367F15">
        <w:rPr>
          <w:rStyle w:val="Strong"/>
          <w:sz w:val="16"/>
        </w:rPr>
        <w:t>: Monitoring of person(s) on PrEP</w:t>
      </w:r>
    </w:p>
    <w:p w14:paraId="32351623" w14:textId="77777777" w:rsidR="00FE74E1" w:rsidRDefault="00FE74E1" w:rsidP="00FE74E1"/>
    <w:p w14:paraId="159A5EE1" w14:textId="77777777" w:rsidR="00356594" w:rsidRPr="00E25D58" w:rsidRDefault="00356594" w:rsidP="00356594">
      <w:pPr>
        <w:pStyle w:val="Heading5"/>
      </w:pPr>
      <w:r w:rsidRPr="00E25D58">
        <w:t>PREP REGIMENS AND SAFETY</w:t>
      </w:r>
    </w:p>
    <w:tbl>
      <w:tblPr>
        <w:tblpPr w:leftFromText="180" w:rightFromText="180" w:vertAnchor="text" w:horzAnchor="margin" w:tblpXSpec="right" w:tblpY="22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D71DCA" w:rsidRPr="00367F15" w14:paraId="04EC54C2" w14:textId="77777777" w:rsidTr="00D71DCA">
        <w:tc>
          <w:tcPr>
            <w:tcW w:w="907" w:type="dxa"/>
            <w:shd w:val="clear" w:color="auto" w:fill="auto"/>
          </w:tcPr>
          <w:p w14:paraId="7A2BFF41" w14:textId="77777777" w:rsidR="00D71DCA" w:rsidRPr="00F7195A" w:rsidRDefault="00D71DCA" w:rsidP="00D71DCA">
            <w:pPr>
              <w:pStyle w:val="LoEText"/>
              <w:framePr w:hSpace="0" w:wrap="auto" w:vAnchor="margin" w:hAnchor="text" w:xAlign="left" w:yAlign="inline"/>
              <w:suppressOverlap w:val="0"/>
              <w:rPr>
                <w:sz w:val="14"/>
                <w:szCs w:val="14"/>
              </w:rPr>
            </w:pPr>
            <w:r w:rsidRPr="00F7195A">
              <w:rPr>
                <w:sz w:val="14"/>
                <w:szCs w:val="14"/>
              </w:rPr>
              <w:t>LoE:Ia</w:t>
            </w:r>
            <w:r w:rsidRPr="00F7195A">
              <w:rPr>
                <w:rStyle w:val="EndnoteReference"/>
                <w:sz w:val="14"/>
                <w:szCs w:val="14"/>
              </w:rPr>
              <w:endnoteReference w:id="56"/>
            </w:r>
          </w:p>
        </w:tc>
      </w:tr>
    </w:tbl>
    <w:p w14:paraId="5E369D33" w14:textId="77777777" w:rsidR="00356594" w:rsidRPr="00E25D58" w:rsidRDefault="00356594" w:rsidP="00356594">
      <w:pPr>
        <w:pStyle w:val="Heading5"/>
      </w:pPr>
      <w:r w:rsidRPr="00E25D58">
        <w:t xml:space="preserve">ORAL PREp (TDF-FTC) REGIMEN </w:t>
      </w:r>
    </w:p>
    <w:p w14:paraId="7039A7F5" w14:textId="77777777" w:rsidR="00356594" w:rsidRPr="00367F15" w:rsidRDefault="00356594" w:rsidP="00356594">
      <w:pPr>
        <w:pStyle w:val="NoSpacing"/>
      </w:pPr>
      <w:r w:rsidRPr="00367F15">
        <w:t xml:space="preserve">A fixed dose combination formulation of: </w:t>
      </w:r>
    </w:p>
    <w:tbl>
      <w:tblPr>
        <w:tblpPr w:leftFromText="180" w:rightFromText="180" w:vertAnchor="text" w:horzAnchor="margin" w:tblpXSpec="right" w:tblpY="76"/>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D71DCA" w:rsidRPr="00367F15" w14:paraId="1FFF0606" w14:textId="77777777" w:rsidTr="00D71DCA">
        <w:tc>
          <w:tcPr>
            <w:tcW w:w="907" w:type="dxa"/>
            <w:shd w:val="clear" w:color="auto" w:fill="auto"/>
          </w:tcPr>
          <w:p w14:paraId="4EDA1907" w14:textId="77777777" w:rsidR="00D71DCA" w:rsidRPr="00F7195A" w:rsidRDefault="00D71DCA" w:rsidP="00D71DCA">
            <w:pPr>
              <w:pStyle w:val="LoEText"/>
              <w:framePr w:hSpace="0" w:wrap="auto" w:vAnchor="margin" w:hAnchor="text" w:xAlign="left" w:yAlign="inline"/>
              <w:suppressOverlap w:val="0"/>
              <w:rPr>
                <w:sz w:val="14"/>
                <w:szCs w:val="14"/>
              </w:rPr>
            </w:pPr>
            <w:r w:rsidRPr="00F7195A">
              <w:rPr>
                <w:sz w:val="14"/>
                <w:szCs w:val="14"/>
              </w:rPr>
              <w:t>LoE:IVb</w:t>
            </w:r>
            <w:r w:rsidRPr="00F7195A">
              <w:rPr>
                <w:rStyle w:val="EndnoteReference"/>
                <w:sz w:val="14"/>
                <w:szCs w:val="14"/>
              </w:rPr>
              <w:endnoteReference w:id="57"/>
            </w:r>
          </w:p>
        </w:tc>
      </w:tr>
    </w:tbl>
    <w:p w14:paraId="6EED5A90" w14:textId="77777777" w:rsidR="00356594" w:rsidRPr="00367F15" w:rsidRDefault="00356594" w:rsidP="00356594">
      <w:pPr>
        <w:pStyle w:val="BulletMedicine"/>
      </w:pPr>
      <w:r w:rsidRPr="00367F15">
        <w:t>Tenofovir</w:t>
      </w:r>
      <w:r>
        <w:t xml:space="preserve"> </w:t>
      </w:r>
      <w:r w:rsidRPr="00FC0C4D">
        <w:t>disoproxil fumarate</w:t>
      </w:r>
      <w:r w:rsidRPr="00367F15">
        <w:t xml:space="preserve"> </w:t>
      </w:r>
      <w:r>
        <w:t>(TDF)</w:t>
      </w:r>
      <w:r w:rsidRPr="00367F15">
        <w:fldChar w:fldCharType="begin"/>
      </w:r>
      <w:r w:rsidRPr="00367F15">
        <w:instrText xml:space="preserve"> XE "Tenofovir (TDF)" \f "m" </w:instrText>
      </w:r>
      <w:r w:rsidRPr="00367F15">
        <w:fldChar w:fldCharType="end"/>
      </w:r>
      <w:r w:rsidRPr="00367F15">
        <w:t xml:space="preserve">, oral, 300 mg daily. </w:t>
      </w:r>
    </w:p>
    <w:p w14:paraId="22B82A32" w14:textId="77777777" w:rsidR="00356594" w:rsidRPr="00367F15" w:rsidRDefault="00356594" w:rsidP="00356594">
      <w:pPr>
        <w:pStyle w:val="NoSpacing"/>
        <w:rPr>
          <w:rStyle w:val="Strong"/>
        </w:rPr>
      </w:pPr>
      <w:r w:rsidRPr="00367F15">
        <w:rPr>
          <w:rStyle w:val="Strong"/>
        </w:rPr>
        <w:t>AND</w:t>
      </w:r>
    </w:p>
    <w:p w14:paraId="0E377897" w14:textId="77777777" w:rsidR="00356594" w:rsidRPr="00367F15" w:rsidRDefault="00356594" w:rsidP="00356594">
      <w:pPr>
        <w:pStyle w:val="BulletMedicine"/>
      </w:pPr>
      <w:r w:rsidRPr="00367F15">
        <w:t>Emtricitabine</w:t>
      </w:r>
      <w:r w:rsidRPr="00367F15">
        <w:fldChar w:fldCharType="begin"/>
      </w:r>
      <w:r w:rsidRPr="00367F15">
        <w:instrText xml:space="preserve"> XE "Emtricitabine (FTC)" \f "m" </w:instrText>
      </w:r>
      <w:r w:rsidRPr="00367F15">
        <w:fldChar w:fldCharType="end"/>
      </w:r>
      <w:r w:rsidRPr="00367F15">
        <w:t>, oral, 200 mg daily.</w:t>
      </w:r>
    </w:p>
    <w:tbl>
      <w:tblPr>
        <w:tblpPr w:leftFromText="180" w:rightFromText="180" w:vertAnchor="text" w:horzAnchor="margin" w:tblpXSpec="right" w:tblpY="485"/>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
      </w:tblGrid>
      <w:tr w:rsidR="00D71DCA" w:rsidRPr="00367F15" w14:paraId="6BD0FCB1" w14:textId="77777777" w:rsidTr="00D71DCA">
        <w:tc>
          <w:tcPr>
            <w:tcW w:w="907" w:type="dxa"/>
            <w:shd w:val="clear" w:color="auto" w:fill="auto"/>
          </w:tcPr>
          <w:p w14:paraId="7DEF9917" w14:textId="77777777" w:rsidR="00D71DCA" w:rsidRPr="00F7195A" w:rsidRDefault="00D71DCA" w:rsidP="00D71DCA">
            <w:pPr>
              <w:pStyle w:val="LoEText"/>
              <w:framePr w:hSpace="0" w:wrap="auto" w:vAnchor="margin" w:hAnchor="text" w:xAlign="left" w:yAlign="inline"/>
              <w:suppressOverlap w:val="0"/>
              <w:rPr>
                <w:sz w:val="14"/>
                <w:szCs w:val="14"/>
              </w:rPr>
            </w:pPr>
            <w:r w:rsidRPr="00F7195A">
              <w:rPr>
                <w:sz w:val="14"/>
                <w:szCs w:val="14"/>
              </w:rPr>
              <w:t>LoE:IIIb</w:t>
            </w:r>
            <w:r w:rsidRPr="00F7195A">
              <w:rPr>
                <w:rStyle w:val="EndnoteReference"/>
                <w:sz w:val="14"/>
                <w:szCs w:val="14"/>
              </w:rPr>
              <w:endnoteReference w:id="58"/>
            </w:r>
          </w:p>
        </w:tc>
      </w:tr>
    </w:tbl>
    <w:p w14:paraId="48A7314F" w14:textId="77777777" w:rsidR="00D71DCA" w:rsidRPr="00367F15" w:rsidRDefault="00356594" w:rsidP="00356594">
      <w:pPr>
        <w:pStyle w:val="NoSpacing"/>
        <w:jc w:val="both"/>
      </w:pPr>
      <w:r w:rsidRPr="00367F15">
        <w:rPr>
          <w:rStyle w:val="Strong"/>
        </w:rPr>
        <w:t>Note:</w:t>
      </w:r>
      <w:r w:rsidRPr="00367F15">
        <w:t xml:space="preserve"> To reach adequate protective levels in tissues, 7 days of daily dosing are required.</w:t>
      </w:r>
      <w:r>
        <w:t xml:space="preserve"> Individuals should be counselled that additional barrier protection should be used until therapeutic levels achieved.</w:t>
      </w:r>
      <w:r w:rsidR="0008248F">
        <w:t xml:space="preserve">    </w:t>
      </w:r>
    </w:p>
    <w:p w14:paraId="48934722" w14:textId="3AA9D248" w:rsidR="0008248F" w:rsidRPr="00367F15" w:rsidRDefault="0008248F" w:rsidP="00356594">
      <w:pPr>
        <w:pStyle w:val="NoSpacing"/>
        <w:jc w:val="both"/>
      </w:pPr>
    </w:p>
    <w:p w14:paraId="67184567" w14:textId="77777777" w:rsidR="00356594" w:rsidRPr="00367F15" w:rsidRDefault="00356594" w:rsidP="00ED453B">
      <w:pPr>
        <w:pStyle w:val="Heading5"/>
        <w:spacing w:before="0"/>
      </w:pPr>
      <w:r w:rsidRPr="00367F15">
        <w:t>SAFETY</w:t>
      </w:r>
    </w:p>
    <w:p w14:paraId="04D566BB" w14:textId="77777777" w:rsidR="00356594" w:rsidRDefault="00356594" w:rsidP="00ED453B">
      <w:pPr>
        <w:pStyle w:val="Heading6"/>
        <w:spacing w:before="0"/>
      </w:pPr>
      <w:r w:rsidRPr="00367F15">
        <w:t>Relevant medicine interaction information</w:t>
      </w:r>
      <w:r>
        <w:t xml:space="preserve"> with </w:t>
      </w:r>
      <w:r w:rsidRPr="00367F15">
        <w:t>TDF + FTC combination</w:t>
      </w:r>
    </w:p>
    <w:tbl>
      <w:tblPr>
        <w:tblStyle w:val="SamplePHCTable"/>
        <w:tblW w:w="0" w:type="auto"/>
        <w:tblLook w:val="04A0" w:firstRow="1" w:lastRow="0" w:firstColumn="1" w:lastColumn="0" w:noHBand="0" w:noVBand="1"/>
      </w:tblPr>
      <w:tblGrid>
        <w:gridCol w:w="1125"/>
        <w:gridCol w:w="1052"/>
        <w:gridCol w:w="4504"/>
      </w:tblGrid>
      <w:tr w:rsidR="00356594" w:rsidRPr="00367F15" w14:paraId="740142A3" w14:textId="77777777" w:rsidTr="00356594">
        <w:trPr>
          <w:cnfStyle w:val="100000000000" w:firstRow="1" w:lastRow="0" w:firstColumn="0" w:lastColumn="0" w:oddVBand="0" w:evenVBand="0" w:oddHBand="0" w:evenHBand="0" w:firstRowFirstColumn="0" w:firstRowLastColumn="0" w:lastRowFirstColumn="0" w:lastRowLastColumn="0"/>
        </w:trPr>
        <w:tc>
          <w:tcPr>
            <w:tcW w:w="0" w:type="auto"/>
          </w:tcPr>
          <w:p w14:paraId="16554738" w14:textId="77777777" w:rsidR="00356594" w:rsidRPr="00367F15" w:rsidRDefault="00356594" w:rsidP="00356594">
            <w:pPr>
              <w:pStyle w:val="NoSpacing"/>
              <w:jc w:val="center"/>
            </w:pPr>
            <w:r w:rsidRPr="00367F15">
              <w:t>Medicine</w:t>
            </w:r>
          </w:p>
        </w:tc>
        <w:tc>
          <w:tcPr>
            <w:tcW w:w="0" w:type="auto"/>
          </w:tcPr>
          <w:p w14:paraId="6099F566" w14:textId="77777777" w:rsidR="00356594" w:rsidRPr="00367F15" w:rsidRDefault="00356594" w:rsidP="00356594">
            <w:pPr>
              <w:pStyle w:val="NoSpacing"/>
              <w:jc w:val="center"/>
            </w:pPr>
            <w:r w:rsidRPr="00367F15">
              <w:t>Interaction information</w:t>
            </w:r>
          </w:p>
        </w:tc>
        <w:tc>
          <w:tcPr>
            <w:tcW w:w="4504" w:type="dxa"/>
          </w:tcPr>
          <w:p w14:paraId="0D6843E4" w14:textId="77777777" w:rsidR="00356594" w:rsidRPr="00367F15" w:rsidRDefault="00356594" w:rsidP="00356594">
            <w:pPr>
              <w:pStyle w:val="NoSpacing"/>
              <w:jc w:val="center"/>
            </w:pPr>
            <w:r w:rsidRPr="00367F15">
              <w:t>Advise</w:t>
            </w:r>
          </w:p>
        </w:tc>
      </w:tr>
      <w:tr w:rsidR="00356594" w:rsidRPr="00367F15" w14:paraId="0E5BD4EF" w14:textId="77777777" w:rsidTr="00356594">
        <w:tc>
          <w:tcPr>
            <w:tcW w:w="0" w:type="auto"/>
          </w:tcPr>
          <w:p w14:paraId="6F666BFC" w14:textId="77777777" w:rsidR="00356594" w:rsidRPr="00367F15" w:rsidRDefault="00356594" w:rsidP="00356594">
            <w:pPr>
              <w:pStyle w:val="NoSpacing"/>
              <w:jc w:val="left"/>
            </w:pPr>
            <w:r w:rsidRPr="00367F15">
              <w:t>Standard TB medicines</w:t>
            </w:r>
          </w:p>
        </w:tc>
        <w:tc>
          <w:tcPr>
            <w:tcW w:w="0" w:type="auto"/>
          </w:tcPr>
          <w:p w14:paraId="47499DA7" w14:textId="77777777" w:rsidR="00356594" w:rsidRPr="00367F15" w:rsidRDefault="00356594" w:rsidP="00356594">
            <w:pPr>
              <w:pStyle w:val="NoSpacing"/>
              <w:jc w:val="left"/>
            </w:pPr>
            <w:r w:rsidRPr="00367F15">
              <w:t>No interaction</w:t>
            </w:r>
            <w:r>
              <w:t>.</w:t>
            </w:r>
          </w:p>
        </w:tc>
        <w:tc>
          <w:tcPr>
            <w:tcW w:w="4504" w:type="dxa"/>
          </w:tcPr>
          <w:p w14:paraId="6E31FA4A" w14:textId="77777777" w:rsidR="00356594" w:rsidRPr="00367F15" w:rsidRDefault="00356594" w:rsidP="00356594">
            <w:pPr>
              <w:pStyle w:val="NoSpacing"/>
              <w:jc w:val="left"/>
            </w:pPr>
            <w:r w:rsidRPr="00367F15">
              <w:t>No need for dose adjustments</w:t>
            </w:r>
            <w:r>
              <w:t>.</w:t>
            </w:r>
          </w:p>
        </w:tc>
      </w:tr>
      <w:tr w:rsidR="00356594" w:rsidRPr="00E25D58" w14:paraId="2181859F" w14:textId="77777777" w:rsidTr="00356594">
        <w:tc>
          <w:tcPr>
            <w:tcW w:w="0" w:type="auto"/>
          </w:tcPr>
          <w:p w14:paraId="7404859A" w14:textId="77777777" w:rsidR="00356594" w:rsidRPr="00E25D58" w:rsidRDefault="00356594" w:rsidP="00356594">
            <w:pPr>
              <w:pStyle w:val="NoSpacing"/>
              <w:jc w:val="left"/>
            </w:pPr>
            <w:r w:rsidRPr="00E25D58">
              <w:t>Hormonal contraception</w:t>
            </w:r>
          </w:p>
        </w:tc>
        <w:tc>
          <w:tcPr>
            <w:tcW w:w="0" w:type="auto"/>
          </w:tcPr>
          <w:p w14:paraId="6C86484C" w14:textId="77777777" w:rsidR="00356594" w:rsidRPr="00E25D58" w:rsidRDefault="00356594" w:rsidP="00356594">
            <w:pPr>
              <w:pStyle w:val="NoSpacing"/>
              <w:jc w:val="left"/>
            </w:pPr>
            <w:r w:rsidRPr="00E25D58">
              <w:t>No interaction.</w:t>
            </w:r>
          </w:p>
        </w:tc>
        <w:tc>
          <w:tcPr>
            <w:tcW w:w="4504" w:type="dxa"/>
          </w:tcPr>
          <w:p w14:paraId="7690866A" w14:textId="77777777" w:rsidR="00356594" w:rsidRPr="00E25D58" w:rsidRDefault="00356594" w:rsidP="00356594">
            <w:pPr>
              <w:pStyle w:val="NoSpacing"/>
              <w:jc w:val="left"/>
            </w:pPr>
            <w:r w:rsidRPr="00E25D58">
              <w:t>Hormonal contraception does not affect PrEP effectiveness, nor does PrEP affect hormonal contraceptive effectiveness.</w:t>
            </w:r>
          </w:p>
        </w:tc>
      </w:tr>
      <w:tr w:rsidR="00356594" w:rsidRPr="00E25D58" w14:paraId="4783FADC" w14:textId="77777777" w:rsidTr="00356594">
        <w:tc>
          <w:tcPr>
            <w:tcW w:w="0" w:type="auto"/>
          </w:tcPr>
          <w:p w14:paraId="00EFFB02" w14:textId="77777777" w:rsidR="00356594" w:rsidRPr="00E25D58" w:rsidRDefault="00356594" w:rsidP="00356594">
            <w:pPr>
              <w:pStyle w:val="NoSpacing"/>
              <w:jc w:val="left"/>
            </w:pPr>
            <w:r w:rsidRPr="00E25D58">
              <w:t>Nephrotoxic medicines</w:t>
            </w:r>
          </w:p>
        </w:tc>
        <w:tc>
          <w:tcPr>
            <w:tcW w:w="0" w:type="auto"/>
          </w:tcPr>
          <w:p w14:paraId="117D31D4" w14:textId="77777777" w:rsidR="00356594" w:rsidRPr="00E25D58" w:rsidRDefault="00356594" w:rsidP="00356594">
            <w:pPr>
              <w:pStyle w:val="NoSpacing"/>
              <w:jc w:val="left"/>
            </w:pPr>
            <w:r w:rsidRPr="00E25D58">
              <w:t>Increase risk of renal side effects.</w:t>
            </w:r>
          </w:p>
        </w:tc>
        <w:tc>
          <w:tcPr>
            <w:tcW w:w="4504" w:type="dxa"/>
          </w:tcPr>
          <w:p w14:paraId="0AED4B0A" w14:textId="77777777" w:rsidR="00356594" w:rsidRPr="00E25D58" w:rsidRDefault="00356594" w:rsidP="00356594">
            <w:pPr>
              <w:pStyle w:val="NoSpacing"/>
              <w:jc w:val="left"/>
            </w:pPr>
            <w:r w:rsidRPr="00E25D58">
              <w:t xml:space="preserve">Avoid daily oral PrEP regimen. </w:t>
            </w:r>
          </w:p>
          <w:p w14:paraId="4C648660" w14:textId="77777777" w:rsidR="00356594" w:rsidRPr="00E25D58" w:rsidRDefault="00356594" w:rsidP="00356594">
            <w:pPr>
              <w:pStyle w:val="NoSpacing"/>
              <w:jc w:val="left"/>
            </w:pPr>
            <w:r w:rsidRPr="00E25D58">
              <w:t>Advise other prevention methods or consider injectable PrEP regimen.</w:t>
            </w:r>
          </w:p>
        </w:tc>
      </w:tr>
    </w:tbl>
    <w:p w14:paraId="46E20338" w14:textId="77777777" w:rsidR="00356594" w:rsidRPr="00E25D58" w:rsidRDefault="00356594" w:rsidP="00356594">
      <w:pPr>
        <w:rPr>
          <w:bCs/>
          <w:sz w:val="16"/>
        </w:rPr>
      </w:pPr>
      <w:r w:rsidRPr="00E25D58">
        <w:rPr>
          <w:rStyle w:val="Strong"/>
          <w:sz w:val="16"/>
        </w:rPr>
        <w:t>Table 11.16: Oral PrEP drug interactions</w:t>
      </w:r>
    </w:p>
    <w:p w14:paraId="60661168" w14:textId="77777777" w:rsidR="00356594" w:rsidRPr="00E25D58" w:rsidRDefault="00356594" w:rsidP="00356594">
      <w:pPr>
        <w:pStyle w:val="Heading6"/>
        <w:spacing w:before="0"/>
      </w:pPr>
      <w:r w:rsidRPr="00E25D58">
        <w:lastRenderedPageBreak/>
        <w:t>Side effects of TDF + FTC combination</w:t>
      </w:r>
    </w:p>
    <w:tbl>
      <w:tblPr>
        <w:tblStyle w:val="SamplePHCTable"/>
        <w:tblW w:w="0" w:type="auto"/>
        <w:tblLook w:val="0480" w:firstRow="0" w:lastRow="0" w:firstColumn="1" w:lastColumn="0" w:noHBand="0" w:noVBand="1"/>
      </w:tblPr>
      <w:tblGrid>
        <w:gridCol w:w="704"/>
        <w:gridCol w:w="5670"/>
      </w:tblGrid>
      <w:tr w:rsidR="00356594" w:rsidRPr="00E25D58" w14:paraId="78BA6A29" w14:textId="77777777" w:rsidTr="00356594">
        <w:tc>
          <w:tcPr>
            <w:tcW w:w="704" w:type="dxa"/>
          </w:tcPr>
          <w:p w14:paraId="2AC5ABF7" w14:textId="77777777" w:rsidR="00356594" w:rsidRPr="00E25D58" w:rsidRDefault="00356594" w:rsidP="00356594">
            <w:pPr>
              <w:pStyle w:val="NoSpacing"/>
              <w:jc w:val="left"/>
            </w:pPr>
            <w:r w:rsidRPr="00E25D58">
              <w:t xml:space="preserve">Major </w:t>
            </w:r>
          </w:p>
        </w:tc>
        <w:tc>
          <w:tcPr>
            <w:tcW w:w="5670" w:type="dxa"/>
          </w:tcPr>
          <w:p w14:paraId="7C62E364" w14:textId="77777777" w:rsidR="00356594" w:rsidRPr="00E25D58" w:rsidRDefault="00356594" w:rsidP="00356594">
            <w:pPr>
              <w:pStyle w:val="NoSpacing"/>
              <w:jc w:val="left"/>
            </w:pPr>
            <w:r w:rsidRPr="00E25D58">
              <w:t>Renal toxicity, decreased bone mineral density, extremely small risk of lactic acidosis and hepatic steatosis or steatohepatitis.</w:t>
            </w:r>
          </w:p>
        </w:tc>
      </w:tr>
      <w:tr w:rsidR="00356594" w:rsidRPr="00E25D58" w14:paraId="35784790" w14:textId="77777777" w:rsidTr="00356594">
        <w:tc>
          <w:tcPr>
            <w:tcW w:w="704" w:type="dxa"/>
          </w:tcPr>
          <w:p w14:paraId="2287AA65" w14:textId="77777777" w:rsidR="00356594" w:rsidRPr="00E25D58" w:rsidRDefault="00356594" w:rsidP="00356594">
            <w:pPr>
              <w:pStyle w:val="NoSpacing"/>
              <w:jc w:val="left"/>
            </w:pPr>
            <w:r w:rsidRPr="00E25D58">
              <w:t>Minor</w:t>
            </w:r>
          </w:p>
        </w:tc>
        <w:tc>
          <w:tcPr>
            <w:tcW w:w="5670" w:type="dxa"/>
          </w:tcPr>
          <w:p w14:paraId="49A0B623" w14:textId="77777777" w:rsidR="00356594" w:rsidRPr="00E25D58" w:rsidRDefault="00356594" w:rsidP="00356594">
            <w:pPr>
              <w:pStyle w:val="NoSpacing"/>
              <w:jc w:val="left"/>
            </w:pPr>
            <w:r w:rsidRPr="00E25D58">
              <w:t>Gastrointestinal symptoms (diarrhoea, nausea, vomiting and flatulence), unintentional weight loss.</w:t>
            </w:r>
          </w:p>
        </w:tc>
      </w:tr>
    </w:tbl>
    <w:p w14:paraId="53E01D8C" w14:textId="77777777" w:rsidR="00356594" w:rsidRPr="00E25D58" w:rsidRDefault="00356594" w:rsidP="00356594">
      <w:pPr>
        <w:rPr>
          <w:bCs/>
          <w:sz w:val="16"/>
        </w:rPr>
      </w:pPr>
      <w:r w:rsidRPr="00E25D58">
        <w:rPr>
          <w:rStyle w:val="Strong"/>
          <w:sz w:val="16"/>
        </w:rPr>
        <w:t>Table 11.17: Side effects of oral PrEP</w:t>
      </w:r>
    </w:p>
    <w:p w14:paraId="698BAE8B" w14:textId="77777777" w:rsidR="00356594" w:rsidRPr="00E25D58" w:rsidRDefault="00356594" w:rsidP="00356594">
      <w:pPr>
        <w:rPr>
          <w:b/>
        </w:rPr>
      </w:pPr>
      <w:r w:rsidRPr="00E25D58">
        <w:rPr>
          <w:b/>
        </w:rPr>
        <w:t>Note:</w:t>
      </w:r>
    </w:p>
    <w:p w14:paraId="2EB3F199" w14:textId="77777777" w:rsidR="00356594" w:rsidRPr="00E25D58" w:rsidRDefault="00356594" w:rsidP="005B11CE">
      <w:pPr>
        <w:pStyle w:val="ListParagraph"/>
        <w:numPr>
          <w:ilvl w:val="0"/>
          <w:numId w:val="41"/>
        </w:numPr>
        <w:jc w:val="both"/>
      </w:pPr>
      <w:r w:rsidRPr="00E25D58">
        <w:t>Minor side effects are relatively common (approximately 1 in 10 individuals in the first 1 to 2 months).</w:t>
      </w:r>
    </w:p>
    <w:p w14:paraId="48485206" w14:textId="77777777" w:rsidR="00356594" w:rsidRPr="00E25D58" w:rsidRDefault="00356594" w:rsidP="005B11CE">
      <w:pPr>
        <w:pStyle w:val="ListParagraph"/>
        <w:numPr>
          <w:ilvl w:val="0"/>
          <w:numId w:val="41"/>
        </w:numPr>
        <w:jc w:val="both"/>
      </w:pPr>
      <w:r w:rsidRPr="00E25D58">
        <w:t>Mild and self-limiting; do not require discontinuation.</w:t>
      </w:r>
    </w:p>
    <w:p w14:paraId="197F890C" w14:textId="77777777" w:rsidR="00356594" w:rsidRDefault="00356594" w:rsidP="005B11CE">
      <w:pPr>
        <w:pStyle w:val="ListParagraph"/>
        <w:numPr>
          <w:ilvl w:val="0"/>
          <w:numId w:val="41"/>
        </w:numPr>
        <w:jc w:val="both"/>
      </w:pPr>
      <w:r w:rsidRPr="00E25D58">
        <w:t>Renal toxicity and decreased bone mineral density usually reversible upon stopping TDF + FTC.</w:t>
      </w:r>
    </w:p>
    <w:p w14:paraId="4CB9552B" w14:textId="77777777" w:rsidR="00356594" w:rsidRDefault="00356594" w:rsidP="00356594"/>
    <w:p w14:paraId="303EA81F" w14:textId="77777777" w:rsidR="00EC403F" w:rsidRPr="00E25D58" w:rsidRDefault="00EC403F" w:rsidP="00EC403F">
      <w:pPr>
        <w:pStyle w:val="Heading5"/>
      </w:pPr>
      <w:r w:rsidRPr="00E25D58">
        <w:t>INJECTABLE PREP (LENACAPAVIR) REGIMEN</w:t>
      </w:r>
    </w:p>
    <w:tbl>
      <w:tblPr>
        <w:tblStyle w:val="TableGrid"/>
        <w:tblW w:w="0" w:type="auto"/>
        <w:tblLook w:val="04A0" w:firstRow="1" w:lastRow="0" w:firstColumn="1" w:lastColumn="0" w:noHBand="0" w:noVBand="1"/>
      </w:tblPr>
      <w:tblGrid>
        <w:gridCol w:w="1409"/>
        <w:gridCol w:w="5272"/>
      </w:tblGrid>
      <w:tr w:rsidR="00EC403F" w:rsidRPr="00E25D58" w14:paraId="076C78D3" w14:textId="77777777" w:rsidTr="00EC403F">
        <w:tc>
          <w:tcPr>
            <w:tcW w:w="1409" w:type="dxa"/>
          </w:tcPr>
          <w:p w14:paraId="7B5514BA" w14:textId="77777777" w:rsidR="00EC403F" w:rsidRPr="00E25D58" w:rsidRDefault="00EC403F" w:rsidP="00EC403F">
            <w:pPr>
              <w:rPr>
                <w:rFonts w:cs="Arial"/>
              </w:rPr>
            </w:pPr>
            <w:r w:rsidRPr="00E25D58">
              <w:rPr>
                <w:rFonts w:cs="Arial"/>
              </w:rPr>
              <w:t>Initiation</w:t>
            </w:r>
          </w:p>
          <w:p w14:paraId="0A09170A" w14:textId="77777777" w:rsidR="00EC403F" w:rsidRPr="00E25D58" w:rsidRDefault="00EC403F" w:rsidP="00EC403F">
            <w:pPr>
              <w:rPr>
                <w:rFonts w:cs="Arial"/>
              </w:rPr>
            </w:pPr>
            <w:r w:rsidRPr="00E25D58">
              <w:rPr>
                <w:rFonts w:cs="Arial"/>
              </w:rPr>
              <w:t>Day 1</w:t>
            </w:r>
          </w:p>
        </w:tc>
        <w:tc>
          <w:tcPr>
            <w:tcW w:w="5272" w:type="dxa"/>
          </w:tcPr>
          <w:p w14:paraId="19C58AAA" w14:textId="77777777" w:rsidR="00EC403F" w:rsidRPr="00E25D58" w:rsidRDefault="00EC403F" w:rsidP="00EC403F">
            <w:pPr>
              <w:pStyle w:val="BulletMedicine"/>
            </w:pPr>
            <w:r w:rsidRPr="00E25D58">
              <w:t>LEN, subcutaneous injection, 927 mg (2 X 1.5 mL injections)</w:t>
            </w:r>
          </w:p>
          <w:p w14:paraId="4A655FCB" w14:textId="77777777" w:rsidR="00EC403F" w:rsidRPr="00E25D58" w:rsidRDefault="00EC403F" w:rsidP="00EC403F">
            <w:pPr>
              <w:rPr>
                <w:rFonts w:cs="Arial"/>
                <w:b/>
              </w:rPr>
            </w:pPr>
            <w:r w:rsidRPr="00E25D58">
              <w:rPr>
                <w:rFonts w:cs="Arial"/>
                <w:b/>
              </w:rPr>
              <w:t>AND</w:t>
            </w:r>
          </w:p>
          <w:p w14:paraId="2E18C5E4" w14:textId="77777777" w:rsidR="00EC403F" w:rsidRPr="00E25D58" w:rsidRDefault="00EC403F" w:rsidP="00EC403F">
            <w:pPr>
              <w:pStyle w:val="BulletMedicine"/>
              <w:rPr>
                <w:rFonts w:cs="Arial"/>
              </w:rPr>
            </w:pPr>
            <w:r w:rsidRPr="00E25D58">
              <w:t>LEN, oral, 600 mg (2 X 300 mg tablets)</w:t>
            </w:r>
          </w:p>
        </w:tc>
      </w:tr>
      <w:tr w:rsidR="00EC403F" w:rsidRPr="00E25D58" w14:paraId="3E3E5934" w14:textId="77777777" w:rsidTr="00EC403F">
        <w:tc>
          <w:tcPr>
            <w:tcW w:w="1409" w:type="dxa"/>
          </w:tcPr>
          <w:p w14:paraId="6763E495" w14:textId="77777777" w:rsidR="00EC403F" w:rsidRPr="00E25D58" w:rsidRDefault="00EC403F" w:rsidP="00EC403F">
            <w:pPr>
              <w:rPr>
                <w:rFonts w:cs="Arial"/>
              </w:rPr>
            </w:pPr>
            <w:r w:rsidRPr="00E25D58">
              <w:rPr>
                <w:rFonts w:cs="Arial"/>
              </w:rPr>
              <w:t xml:space="preserve">Initiation </w:t>
            </w:r>
          </w:p>
          <w:p w14:paraId="7E450F3A" w14:textId="77777777" w:rsidR="00EC403F" w:rsidRPr="00E25D58" w:rsidRDefault="00EC403F" w:rsidP="00EC403F">
            <w:pPr>
              <w:rPr>
                <w:rFonts w:cs="Arial"/>
              </w:rPr>
            </w:pPr>
            <w:r w:rsidRPr="00E25D58">
              <w:rPr>
                <w:rFonts w:cs="Arial"/>
              </w:rPr>
              <w:t>Day 2</w:t>
            </w:r>
          </w:p>
        </w:tc>
        <w:tc>
          <w:tcPr>
            <w:tcW w:w="5272" w:type="dxa"/>
          </w:tcPr>
          <w:p w14:paraId="3A6621E0" w14:textId="77777777" w:rsidR="00EC403F" w:rsidRPr="00E25D58" w:rsidRDefault="00EC403F" w:rsidP="00EC403F">
            <w:pPr>
              <w:pStyle w:val="BulletMedicine"/>
            </w:pPr>
            <w:r w:rsidRPr="00E25D58">
              <w:t>LEN, oral, 600 mg (2 X 300 mg tablets)</w:t>
            </w:r>
          </w:p>
          <w:p w14:paraId="7B2E6750" w14:textId="77777777" w:rsidR="00EC403F" w:rsidRPr="00E25D58" w:rsidRDefault="00EC403F" w:rsidP="005B11CE">
            <w:pPr>
              <w:pStyle w:val="ListParagraph"/>
              <w:numPr>
                <w:ilvl w:val="0"/>
                <w:numId w:val="37"/>
              </w:numPr>
            </w:pPr>
            <w:r w:rsidRPr="00E25D58">
              <w:rPr>
                <w:rFonts w:cs="Arial"/>
              </w:rPr>
              <w:t>Do not take the Day 1 and Day 2 oral doses on the same day.</w:t>
            </w:r>
          </w:p>
        </w:tc>
      </w:tr>
      <w:tr w:rsidR="00EC403F" w:rsidRPr="00E25D58" w14:paraId="3488401B" w14:textId="77777777" w:rsidTr="00EC403F">
        <w:tc>
          <w:tcPr>
            <w:tcW w:w="1409" w:type="dxa"/>
          </w:tcPr>
          <w:p w14:paraId="78F10484" w14:textId="77777777" w:rsidR="00EC403F" w:rsidRPr="00E25D58" w:rsidRDefault="00EC403F" w:rsidP="00EC403F">
            <w:pPr>
              <w:rPr>
                <w:rFonts w:cs="Arial"/>
              </w:rPr>
            </w:pPr>
            <w:r w:rsidRPr="00E25D58">
              <w:rPr>
                <w:rFonts w:cs="Arial"/>
              </w:rPr>
              <w:t>Continuation</w:t>
            </w:r>
          </w:p>
        </w:tc>
        <w:tc>
          <w:tcPr>
            <w:tcW w:w="5272" w:type="dxa"/>
          </w:tcPr>
          <w:p w14:paraId="514739FB" w14:textId="77777777" w:rsidR="00EC403F" w:rsidRPr="00E25D58" w:rsidRDefault="00EC403F" w:rsidP="00EC403F">
            <w:pPr>
              <w:pStyle w:val="BulletMedicine"/>
              <w:rPr>
                <w:rFonts w:cs="Arial"/>
              </w:rPr>
            </w:pPr>
            <w:r w:rsidRPr="00E25D58">
              <w:t>LEN, subcutaneous injection, 927 mg (2 X 1.5 mL injections) every six months or 26 weeks from the last injection.</w:t>
            </w:r>
          </w:p>
        </w:tc>
      </w:tr>
    </w:tbl>
    <w:p w14:paraId="05706649" w14:textId="77777777" w:rsidR="00EC403F" w:rsidRPr="00E25D58" w:rsidRDefault="00EC403F" w:rsidP="00EC403F">
      <w:pPr>
        <w:rPr>
          <w:bCs/>
          <w:sz w:val="16"/>
        </w:rPr>
      </w:pPr>
      <w:r w:rsidRPr="00E25D58">
        <w:rPr>
          <w:rStyle w:val="Strong"/>
          <w:sz w:val="16"/>
        </w:rPr>
        <w:t>Table 11.18: Dose regimen for initiating LEN as PrEP</w:t>
      </w:r>
    </w:p>
    <w:p w14:paraId="2C64C0A1" w14:textId="77777777" w:rsidR="00EC403F" w:rsidRDefault="00EC403F" w:rsidP="00356594"/>
    <w:p w14:paraId="3C1AAB4A" w14:textId="77777777" w:rsidR="00EC403F" w:rsidRPr="00EC403F" w:rsidRDefault="00EC403F" w:rsidP="00EC403F">
      <w:pPr>
        <w:pStyle w:val="Heading5"/>
        <w:spacing w:before="0"/>
        <w:rPr>
          <w:rStyle w:val="Strong"/>
          <w:b/>
          <w:caps w:val="0"/>
          <w:sz w:val="18"/>
        </w:rPr>
      </w:pPr>
      <w:r w:rsidRPr="00EC403F">
        <w:rPr>
          <w:rStyle w:val="Strong"/>
          <w:b/>
          <w:caps w:val="0"/>
          <w:sz w:val="18"/>
        </w:rPr>
        <w:t xml:space="preserve">Management of missed doses of LEN </w:t>
      </w:r>
    </w:p>
    <w:p w14:paraId="662A1604" w14:textId="77777777" w:rsidR="00EC403F" w:rsidRPr="00EC403F" w:rsidRDefault="00EC403F" w:rsidP="005B11CE">
      <w:pPr>
        <w:pStyle w:val="Heading5"/>
        <w:numPr>
          <w:ilvl w:val="0"/>
          <w:numId w:val="38"/>
        </w:numPr>
        <w:spacing w:before="0"/>
        <w:rPr>
          <w:b w:val="0"/>
          <w:caps w:val="0"/>
          <w:sz w:val="18"/>
          <w:u w:val="single"/>
        </w:rPr>
      </w:pPr>
      <w:r w:rsidRPr="00EC403F">
        <w:rPr>
          <w:b w:val="0"/>
          <w:caps w:val="0"/>
          <w:sz w:val="18"/>
          <w:u w:val="single"/>
        </w:rPr>
        <w:t>Initiation phase - missed oral dose on Day 2</w:t>
      </w:r>
    </w:p>
    <w:p w14:paraId="779B7303" w14:textId="77777777" w:rsidR="00EC403F" w:rsidRPr="00E25D58" w:rsidRDefault="00EC403F" w:rsidP="005B11CE">
      <w:pPr>
        <w:pStyle w:val="ListParagraph"/>
        <w:numPr>
          <w:ilvl w:val="0"/>
          <w:numId w:val="39"/>
        </w:numPr>
        <w:rPr>
          <w:rFonts w:cs="Arial"/>
        </w:rPr>
      </w:pPr>
      <w:r w:rsidRPr="00E25D58">
        <w:rPr>
          <w:rFonts w:cs="Arial"/>
        </w:rPr>
        <w:t xml:space="preserve">LEN, oral, 600 mg (2 X 300 mg tablets), take as soon as possible. </w:t>
      </w:r>
    </w:p>
    <w:p w14:paraId="71BB5E39" w14:textId="77777777" w:rsidR="00EC403F" w:rsidRDefault="00EC403F" w:rsidP="00356594"/>
    <w:p w14:paraId="4D681E99" w14:textId="77777777" w:rsidR="00EC403F" w:rsidRPr="00EC403F" w:rsidRDefault="00EC403F" w:rsidP="005B11CE">
      <w:pPr>
        <w:pStyle w:val="Heading5"/>
        <w:numPr>
          <w:ilvl w:val="0"/>
          <w:numId w:val="38"/>
        </w:numPr>
        <w:spacing w:before="0"/>
        <w:rPr>
          <w:b w:val="0"/>
          <w:caps w:val="0"/>
          <w:sz w:val="18"/>
          <w:u w:val="single"/>
        </w:rPr>
      </w:pPr>
      <w:r w:rsidRPr="00EC403F">
        <w:rPr>
          <w:b w:val="0"/>
          <w:caps w:val="0"/>
          <w:sz w:val="18"/>
          <w:u w:val="single"/>
        </w:rPr>
        <w:t>Continuation phase – delayed injection</w:t>
      </w:r>
    </w:p>
    <w:tbl>
      <w:tblPr>
        <w:tblStyle w:val="TableGrid"/>
        <w:tblW w:w="0" w:type="auto"/>
        <w:tblInd w:w="704" w:type="dxa"/>
        <w:tblLook w:val="04A0" w:firstRow="1" w:lastRow="0" w:firstColumn="1" w:lastColumn="0" w:noHBand="0" w:noVBand="1"/>
      </w:tblPr>
      <w:tblGrid>
        <w:gridCol w:w="1260"/>
        <w:gridCol w:w="4717"/>
      </w:tblGrid>
      <w:tr w:rsidR="00EC403F" w:rsidRPr="00E25D58" w14:paraId="61B0E0AA" w14:textId="77777777" w:rsidTr="0008248F">
        <w:tc>
          <w:tcPr>
            <w:tcW w:w="1260" w:type="dxa"/>
            <w:shd w:val="clear" w:color="auto" w:fill="AEAAAA" w:themeFill="background2" w:themeFillShade="BF"/>
          </w:tcPr>
          <w:p w14:paraId="02AD6895" w14:textId="77777777" w:rsidR="00EC403F" w:rsidRPr="0008248F" w:rsidRDefault="00EC403F" w:rsidP="0008248F">
            <w:pPr>
              <w:pStyle w:val="NoSpacing"/>
              <w:jc w:val="center"/>
              <w:rPr>
                <w:sz w:val="16"/>
              </w:rPr>
            </w:pPr>
            <w:r w:rsidRPr="0008248F">
              <w:rPr>
                <w:b/>
                <w:sz w:val="16"/>
              </w:rPr>
              <w:t>Time since last injection</w:t>
            </w:r>
          </w:p>
        </w:tc>
        <w:tc>
          <w:tcPr>
            <w:tcW w:w="4717" w:type="dxa"/>
            <w:shd w:val="clear" w:color="auto" w:fill="AEAAAA" w:themeFill="background2" w:themeFillShade="BF"/>
          </w:tcPr>
          <w:p w14:paraId="5191CEA1" w14:textId="77777777" w:rsidR="00EC403F" w:rsidRPr="0008248F" w:rsidRDefault="00EC403F" w:rsidP="0008248F">
            <w:pPr>
              <w:pStyle w:val="NoSpacing"/>
              <w:jc w:val="center"/>
              <w:rPr>
                <w:sz w:val="16"/>
              </w:rPr>
            </w:pPr>
            <w:r w:rsidRPr="0008248F">
              <w:rPr>
                <w:b/>
                <w:sz w:val="16"/>
              </w:rPr>
              <w:t>Dosage recommendation</w:t>
            </w:r>
          </w:p>
        </w:tc>
      </w:tr>
      <w:tr w:rsidR="00EC403F" w:rsidRPr="00E25D58" w14:paraId="6A20B892" w14:textId="77777777" w:rsidTr="00EC403F">
        <w:tc>
          <w:tcPr>
            <w:tcW w:w="1260" w:type="dxa"/>
          </w:tcPr>
          <w:p w14:paraId="59A7B2FF" w14:textId="77777777" w:rsidR="00EC403F" w:rsidRPr="0008248F" w:rsidRDefault="00EC403F" w:rsidP="00EC403F">
            <w:pPr>
              <w:rPr>
                <w:rFonts w:cs="Arial"/>
                <w:sz w:val="16"/>
                <w:szCs w:val="16"/>
              </w:rPr>
            </w:pPr>
            <w:r w:rsidRPr="0008248F">
              <w:rPr>
                <w:rFonts w:cs="Arial"/>
                <w:sz w:val="16"/>
                <w:szCs w:val="16"/>
              </w:rPr>
              <w:t>26-28 weeks</w:t>
            </w:r>
          </w:p>
        </w:tc>
        <w:tc>
          <w:tcPr>
            <w:tcW w:w="4717" w:type="dxa"/>
          </w:tcPr>
          <w:p w14:paraId="118AC74B" w14:textId="77777777" w:rsidR="00EC403F" w:rsidRPr="0008248F" w:rsidRDefault="00EC403F" w:rsidP="00EC403F">
            <w:pPr>
              <w:pStyle w:val="BulletMedicine"/>
              <w:rPr>
                <w:sz w:val="16"/>
                <w:szCs w:val="16"/>
              </w:rPr>
            </w:pPr>
            <w:r w:rsidRPr="0008248F">
              <w:rPr>
                <w:sz w:val="16"/>
                <w:szCs w:val="16"/>
              </w:rPr>
              <w:t>LEN, oral, 300 mg (1 X 300 mg tablet) as a single dose</w:t>
            </w:r>
          </w:p>
          <w:p w14:paraId="140C35E1" w14:textId="77777777" w:rsidR="00EC403F" w:rsidRPr="0008248F" w:rsidRDefault="00EC403F" w:rsidP="00EC403F">
            <w:pPr>
              <w:rPr>
                <w:rFonts w:cs="Arial"/>
                <w:b/>
                <w:sz w:val="16"/>
                <w:szCs w:val="16"/>
              </w:rPr>
            </w:pPr>
            <w:r w:rsidRPr="0008248F">
              <w:rPr>
                <w:rFonts w:cs="Arial"/>
                <w:b/>
                <w:sz w:val="16"/>
                <w:szCs w:val="16"/>
              </w:rPr>
              <w:t xml:space="preserve">AND </w:t>
            </w:r>
          </w:p>
          <w:p w14:paraId="337BC3F8" w14:textId="77777777" w:rsidR="00EC403F" w:rsidRPr="0008248F" w:rsidRDefault="00EC403F" w:rsidP="00EC403F">
            <w:pPr>
              <w:pStyle w:val="BulletMedicine"/>
              <w:rPr>
                <w:sz w:val="16"/>
                <w:szCs w:val="16"/>
              </w:rPr>
            </w:pPr>
            <w:r w:rsidRPr="0008248F">
              <w:rPr>
                <w:sz w:val="16"/>
                <w:szCs w:val="16"/>
              </w:rPr>
              <w:t>LEN, subcutaneous injection, 927 mg (2 X 1.5mL injections).</w:t>
            </w:r>
          </w:p>
          <w:p w14:paraId="2E19C2A8" w14:textId="77777777" w:rsidR="00EC403F" w:rsidRPr="0008248F" w:rsidRDefault="00EC403F" w:rsidP="005B11CE">
            <w:pPr>
              <w:pStyle w:val="ListParagraph"/>
              <w:numPr>
                <w:ilvl w:val="0"/>
                <w:numId w:val="37"/>
              </w:numPr>
              <w:rPr>
                <w:rFonts w:cs="Arial"/>
                <w:sz w:val="16"/>
                <w:szCs w:val="16"/>
              </w:rPr>
            </w:pPr>
            <w:r w:rsidRPr="0008248F">
              <w:rPr>
                <w:rFonts w:cs="Arial"/>
                <w:sz w:val="16"/>
                <w:szCs w:val="16"/>
              </w:rPr>
              <w:t>Administer injection on same day as single oral dose.</w:t>
            </w:r>
          </w:p>
          <w:p w14:paraId="10F6E0F4" w14:textId="32D8830F" w:rsidR="00EC403F" w:rsidRPr="0008248F" w:rsidRDefault="00EC403F" w:rsidP="005B11CE">
            <w:pPr>
              <w:pStyle w:val="ListParagraph"/>
              <w:numPr>
                <w:ilvl w:val="0"/>
                <w:numId w:val="37"/>
              </w:numPr>
              <w:rPr>
                <w:rFonts w:cs="Arial"/>
                <w:sz w:val="16"/>
                <w:szCs w:val="16"/>
              </w:rPr>
            </w:pPr>
            <w:r w:rsidRPr="0008248F">
              <w:rPr>
                <w:rFonts w:cs="Arial"/>
                <w:sz w:val="16"/>
                <w:szCs w:val="16"/>
              </w:rPr>
              <w:t>Continue with LEN injection every six months or 26 weeks from the last injection.</w:t>
            </w:r>
          </w:p>
        </w:tc>
      </w:tr>
      <w:tr w:rsidR="00EC403F" w:rsidRPr="00E25D58" w14:paraId="7B125957" w14:textId="77777777" w:rsidTr="00EC403F">
        <w:tc>
          <w:tcPr>
            <w:tcW w:w="1260" w:type="dxa"/>
          </w:tcPr>
          <w:p w14:paraId="0455A145" w14:textId="77777777" w:rsidR="00EC403F" w:rsidRPr="0008248F" w:rsidRDefault="00EC403F" w:rsidP="00EC403F">
            <w:pPr>
              <w:ind w:left="360" w:hanging="360"/>
              <w:rPr>
                <w:rFonts w:cs="Arial"/>
                <w:sz w:val="16"/>
                <w:szCs w:val="16"/>
              </w:rPr>
            </w:pPr>
            <w:r w:rsidRPr="0008248F">
              <w:rPr>
                <w:rFonts w:cs="Arial"/>
                <w:sz w:val="16"/>
                <w:szCs w:val="16"/>
              </w:rPr>
              <w:t>› 28 weeks</w:t>
            </w:r>
          </w:p>
        </w:tc>
        <w:tc>
          <w:tcPr>
            <w:tcW w:w="4717" w:type="dxa"/>
          </w:tcPr>
          <w:p w14:paraId="64187A94" w14:textId="77777777" w:rsidR="00EC403F" w:rsidRPr="0008248F" w:rsidRDefault="00EC403F" w:rsidP="00EC403F">
            <w:pPr>
              <w:rPr>
                <w:rFonts w:cs="Arial"/>
                <w:sz w:val="16"/>
                <w:szCs w:val="16"/>
              </w:rPr>
            </w:pPr>
            <w:r w:rsidRPr="0008248F">
              <w:rPr>
                <w:rFonts w:cs="Arial"/>
                <w:sz w:val="16"/>
                <w:szCs w:val="16"/>
              </w:rPr>
              <w:t>Reinitiate LEN as per table 11.18 above</w:t>
            </w:r>
          </w:p>
          <w:p w14:paraId="1A23678B" w14:textId="77777777" w:rsidR="00EC403F" w:rsidRPr="0008248F" w:rsidRDefault="00EC403F" w:rsidP="005B11CE">
            <w:pPr>
              <w:pStyle w:val="ListParagraph"/>
              <w:numPr>
                <w:ilvl w:val="0"/>
                <w:numId w:val="37"/>
              </w:numPr>
              <w:rPr>
                <w:rFonts w:cs="Arial"/>
                <w:sz w:val="16"/>
                <w:szCs w:val="16"/>
              </w:rPr>
            </w:pPr>
            <w:r w:rsidRPr="0008248F">
              <w:rPr>
                <w:rFonts w:cs="Arial"/>
                <w:sz w:val="16"/>
                <w:szCs w:val="16"/>
              </w:rPr>
              <w:t>Reassess if injectable PrEP still suitable for the client.</w:t>
            </w:r>
          </w:p>
          <w:p w14:paraId="758B463C" w14:textId="09FA4E07" w:rsidR="00EC403F" w:rsidRPr="0008248F" w:rsidRDefault="00EC403F" w:rsidP="005B11CE">
            <w:pPr>
              <w:pStyle w:val="ListParagraph"/>
              <w:numPr>
                <w:ilvl w:val="0"/>
                <w:numId w:val="37"/>
              </w:numPr>
              <w:rPr>
                <w:rFonts w:cs="Arial"/>
                <w:sz w:val="16"/>
                <w:szCs w:val="16"/>
              </w:rPr>
            </w:pPr>
            <w:r w:rsidRPr="0008248F">
              <w:rPr>
                <w:rFonts w:cs="Arial"/>
                <w:sz w:val="16"/>
                <w:szCs w:val="16"/>
              </w:rPr>
              <w:t>Confirm HIV status is still negative.</w:t>
            </w:r>
          </w:p>
        </w:tc>
      </w:tr>
    </w:tbl>
    <w:p w14:paraId="2B0C0614" w14:textId="6FC235AB" w:rsidR="00EC403F" w:rsidRDefault="00EC403F" w:rsidP="00EC403F">
      <w:pPr>
        <w:ind w:left="568"/>
        <w:rPr>
          <w:rStyle w:val="Strong"/>
          <w:sz w:val="16"/>
        </w:rPr>
      </w:pPr>
      <w:r>
        <w:rPr>
          <w:rStyle w:val="Strong"/>
          <w:sz w:val="16"/>
        </w:rPr>
        <w:t xml:space="preserve">   </w:t>
      </w:r>
      <w:r w:rsidRPr="00E25D58">
        <w:rPr>
          <w:rStyle w:val="Strong"/>
          <w:sz w:val="16"/>
        </w:rPr>
        <w:t>Table 11.19: Management of injection delays during continuation phase</w:t>
      </w:r>
    </w:p>
    <w:p w14:paraId="0891DF3B" w14:textId="77777777" w:rsidR="00EC403F" w:rsidRDefault="00EC403F" w:rsidP="00EC403F">
      <w:pPr>
        <w:rPr>
          <w:rStyle w:val="Strong"/>
          <w:sz w:val="16"/>
        </w:rPr>
      </w:pPr>
    </w:p>
    <w:p w14:paraId="36AA6A68" w14:textId="77777777" w:rsidR="00EC403F" w:rsidRPr="00E25D58" w:rsidRDefault="00EC403F" w:rsidP="00EC403F">
      <w:pPr>
        <w:pStyle w:val="Heading5"/>
        <w:spacing w:before="0"/>
      </w:pPr>
      <w:r w:rsidRPr="00E25D58">
        <w:lastRenderedPageBreak/>
        <w:t>SAFETY</w:t>
      </w:r>
    </w:p>
    <w:p w14:paraId="42C0E8B4" w14:textId="77777777" w:rsidR="00EC403F" w:rsidRPr="00E25D58" w:rsidRDefault="00EC403F" w:rsidP="00ED453B">
      <w:pPr>
        <w:widowControl w:val="0"/>
        <w:jc w:val="both"/>
        <w:rPr>
          <w:lang w:val="en-US"/>
        </w:rPr>
      </w:pPr>
      <w:r w:rsidRPr="00E25D58">
        <w:rPr>
          <w:rFonts w:cs="Arial"/>
        </w:rPr>
        <w:t xml:space="preserve">Some common drug interactions with lenacapavir are listed below. For more comprehensive information on drug interactions, see </w:t>
      </w:r>
      <w:r w:rsidRPr="00E25D58">
        <w:rPr>
          <w:rFonts w:cs="Arial"/>
          <w:lang w:val="en-US"/>
        </w:rPr>
        <w:t>https://www.hiv-druginteractions.org/checker.</w:t>
      </w:r>
    </w:p>
    <w:tbl>
      <w:tblPr>
        <w:tblStyle w:val="SamplePHCTable"/>
        <w:tblW w:w="0" w:type="auto"/>
        <w:tblLook w:val="04A0" w:firstRow="1" w:lastRow="0" w:firstColumn="1" w:lastColumn="0" w:noHBand="0" w:noVBand="1"/>
      </w:tblPr>
      <w:tblGrid>
        <w:gridCol w:w="1798"/>
        <w:gridCol w:w="1379"/>
        <w:gridCol w:w="3504"/>
      </w:tblGrid>
      <w:tr w:rsidR="00EC403F" w:rsidRPr="00E25D58" w14:paraId="698E7A9F" w14:textId="77777777" w:rsidTr="00EC403F">
        <w:trPr>
          <w:cnfStyle w:val="100000000000" w:firstRow="1" w:lastRow="0" w:firstColumn="0" w:lastColumn="0" w:oddVBand="0" w:evenVBand="0" w:oddHBand="0" w:evenHBand="0" w:firstRowFirstColumn="0" w:firstRowLastColumn="0" w:lastRowFirstColumn="0" w:lastRowLastColumn="0"/>
        </w:trPr>
        <w:tc>
          <w:tcPr>
            <w:tcW w:w="0" w:type="auto"/>
          </w:tcPr>
          <w:p w14:paraId="7ED02809" w14:textId="77777777" w:rsidR="00EC403F" w:rsidRPr="00E25D58" w:rsidRDefault="00EC403F" w:rsidP="00EC403F">
            <w:pPr>
              <w:pStyle w:val="NoSpacing"/>
              <w:jc w:val="center"/>
            </w:pPr>
            <w:r w:rsidRPr="00E25D58">
              <w:t>Medicine groups</w:t>
            </w:r>
          </w:p>
        </w:tc>
        <w:tc>
          <w:tcPr>
            <w:tcW w:w="0" w:type="auto"/>
          </w:tcPr>
          <w:p w14:paraId="129CE0E0" w14:textId="77777777" w:rsidR="00EC403F" w:rsidRPr="00E25D58" w:rsidRDefault="00EC403F" w:rsidP="00EC403F">
            <w:pPr>
              <w:pStyle w:val="NoSpacing"/>
              <w:jc w:val="center"/>
            </w:pPr>
            <w:r w:rsidRPr="00E25D58">
              <w:t>Interaction information</w:t>
            </w:r>
          </w:p>
        </w:tc>
        <w:tc>
          <w:tcPr>
            <w:tcW w:w="0" w:type="auto"/>
          </w:tcPr>
          <w:p w14:paraId="276BB1BD" w14:textId="77777777" w:rsidR="00EC403F" w:rsidRPr="00E25D58" w:rsidRDefault="00EC403F" w:rsidP="00EC403F">
            <w:pPr>
              <w:pStyle w:val="NoSpacing"/>
              <w:jc w:val="center"/>
            </w:pPr>
            <w:r w:rsidRPr="00E25D58">
              <w:t>Recommendation</w:t>
            </w:r>
          </w:p>
        </w:tc>
      </w:tr>
      <w:tr w:rsidR="00EC403F" w:rsidRPr="00E25D58" w14:paraId="50B6A1BD" w14:textId="77777777" w:rsidTr="00EC403F">
        <w:tc>
          <w:tcPr>
            <w:tcW w:w="0" w:type="auto"/>
          </w:tcPr>
          <w:p w14:paraId="1A03133C" w14:textId="77777777" w:rsidR="00EC403F" w:rsidRPr="00E25D58" w:rsidRDefault="00EC403F" w:rsidP="00EC403F">
            <w:pPr>
              <w:pStyle w:val="NoSpacing"/>
              <w:jc w:val="left"/>
            </w:pPr>
            <w:r w:rsidRPr="00E25D58">
              <w:t>Standard TB medicines:</w:t>
            </w:r>
          </w:p>
          <w:p w14:paraId="0305A6BD" w14:textId="77777777" w:rsidR="00EC403F" w:rsidRPr="00E25D58" w:rsidRDefault="00EC403F" w:rsidP="005B11CE">
            <w:pPr>
              <w:pStyle w:val="NoSpacing"/>
              <w:numPr>
                <w:ilvl w:val="0"/>
                <w:numId w:val="40"/>
              </w:numPr>
              <w:ind w:left="397" w:hanging="227"/>
              <w:jc w:val="left"/>
            </w:pPr>
            <w:r w:rsidRPr="00E25D58">
              <w:t>Rifabutin</w:t>
            </w:r>
          </w:p>
          <w:p w14:paraId="0ADA4E25" w14:textId="77777777" w:rsidR="00EC403F" w:rsidRPr="00E25D58" w:rsidRDefault="00EC403F" w:rsidP="005B11CE">
            <w:pPr>
              <w:pStyle w:val="NoSpacing"/>
              <w:numPr>
                <w:ilvl w:val="0"/>
                <w:numId w:val="40"/>
              </w:numPr>
              <w:ind w:left="397" w:hanging="227"/>
              <w:jc w:val="left"/>
            </w:pPr>
            <w:r w:rsidRPr="00E25D58">
              <w:t>Rifampicin</w:t>
            </w:r>
          </w:p>
          <w:p w14:paraId="73F49EBB" w14:textId="77777777" w:rsidR="00EC403F" w:rsidRPr="00E25D58" w:rsidRDefault="00EC403F" w:rsidP="005B11CE">
            <w:pPr>
              <w:pStyle w:val="NoSpacing"/>
              <w:numPr>
                <w:ilvl w:val="0"/>
                <w:numId w:val="40"/>
              </w:numPr>
              <w:ind w:left="397" w:hanging="227"/>
              <w:jc w:val="left"/>
            </w:pPr>
            <w:r w:rsidRPr="00E25D58">
              <w:t>Rifapentine</w:t>
            </w:r>
          </w:p>
        </w:tc>
        <w:tc>
          <w:tcPr>
            <w:tcW w:w="0" w:type="auto"/>
          </w:tcPr>
          <w:p w14:paraId="0A7A7319" w14:textId="77777777" w:rsidR="00EC403F" w:rsidRPr="00E25D58" w:rsidRDefault="00EC403F" w:rsidP="00EC403F">
            <w:pPr>
              <w:pStyle w:val="NoSpacing"/>
              <w:jc w:val="left"/>
            </w:pPr>
            <w:r w:rsidRPr="00E25D58">
              <w:t>Potential interaction</w:t>
            </w:r>
          </w:p>
        </w:tc>
        <w:tc>
          <w:tcPr>
            <w:tcW w:w="0" w:type="auto"/>
          </w:tcPr>
          <w:p w14:paraId="169E4480" w14:textId="77777777" w:rsidR="00EC403F" w:rsidRPr="00E25D58" w:rsidRDefault="00EC403F" w:rsidP="00EC403F">
            <w:pPr>
              <w:pStyle w:val="NoSpacing"/>
              <w:jc w:val="left"/>
            </w:pPr>
            <w:r w:rsidRPr="00E25D58">
              <w:t>Use oral PrEP instead until TB treatment completed.</w:t>
            </w:r>
          </w:p>
        </w:tc>
      </w:tr>
      <w:tr w:rsidR="00EC403F" w:rsidRPr="00E25D58" w14:paraId="38A06ABC" w14:textId="77777777" w:rsidTr="00EC403F">
        <w:tc>
          <w:tcPr>
            <w:tcW w:w="0" w:type="auto"/>
          </w:tcPr>
          <w:p w14:paraId="0967B531" w14:textId="77777777" w:rsidR="00EC403F" w:rsidRPr="00E25D58" w:rsidRDefault="00EC403F" w:rsidP="00EC403F">
            <w:pPr>
              <w:pStyle w:val="NoSpacing"/>
              <w:jc w:val="left"/>
            </w:pPr>
            <w:r w:rsidRPr="00E25D58">
              <w:t>Hormonal contraception</w:t>
            </w:r>
          </w:p>
        </w:tc>
        <w:tc>
          <w:tcPr>
            <w:tcW w:w="0" w:type="auto"/>
          </w:tcPr>
          <w:p w14:paraId="6A9ED0FF" w14:textId="77777777" w:rsidR="00EC403F" w:rsidRPr="00E25D58" w:rsidRDefault="00EC403F" w:rsidP="00EC403F">
            <w:pPr>
              <w:pStyle w:val="NoSpacing"/>
              <w:jc w:val="left"/>
            </w:pPr>
            <w:r w:rsidRPr="00E25D58">
              <w:t>No interaction.</w:t>
            </w:r>
          </w:p>
        </w:tc>
        <w:tc>
          <w:tcPr>
            <w:tcW w:w="0" w:type="auto"/>
          </w:tcPr>
          <w:p w14:paraId="69C4A951" w14:textId="77777777" w:rsidR="00EC403F" w:rsidRPr="00E25D58" w:rsidRDefault="00EC403F" w:rsidP="00EC403F">
            <w:pPr>
              <w:pStyle w:val="NoSpacing"/>
              <w:jc w:val="left"/>
            </w:pPr>
            <w:r w:rsidRPr="00E25D58">
              <w:t>No dose adjustments required</w:t>
            </w:r>
          </w:p>
        </w:tc>
      </w:tr>
      <w:tr w:rsidR="00EC403F" w:rsidRPr="00E25D58" w14:paraId="68E171E8" w14:textId="77777777" w:rsidTr="00EC403F">
        <w:tc>
          <w:tcPr>
            <w:tcW w:w="0" w:type="auto"/>
          </w:tcPr>
          <w:p w14:paraId="7D2B6DC2" w14:textId="77777777" w:rsidR="00EC403F" w:rsidRPr="00E25D58" w:rsidRDefault="00EC403F" w:rsidP="00EC403F">
            <w:pPr>
              <w:pStyle w:val="NoSpacing"/>
              <w:jc w:val="left"/>
            </w:pPr>
            <w:r w:rsidRPr="00E25D58">
              <w:t xml:space="preserve">Anticonvulsants: </w:t>
            </w:r>
          </w:p>
          <w:p w14:paraId="061EA5EA" w14:textId="77777777" w:rsidR="00EC403F" w:rsidRPr="00E25D58" w:rsidRDefault="00EC403F" w:rsidP="005B11CE">
            <w:pPr>
              <w:pStyle w:val="NoSpacing"/>
              <w:numPr>
                <w:ilvl w:val="0"/>
                <w:numId w:val="40"/>
              </w:numPr>
              <w:ind w:left="397" w:hanging="227"/>
              <w:jc w:val="left"/>
            </w:pPr>
            <w:r w:rsidRPr="00E25D58">
              <w:t>Carbamazepine</w:t>
            </w:r>
          </w:p>
          <w:p w14:paraId="60CFADFD" w14:textId="77777777" w:rsidR="00EC403F" w:rsidRPr="00E25D58" w:rsidRDefault="00EC403F" w:rsidP="005B11CE">
            <w:pPr>
              <w:pStyle w:val="NoSpacing"/>
              <w:numPr>
                <w:ilvl w:val="0"/>
                <w:numId w:val="40"/>
              </w:numPr>
              <w:ind w:left="397" w:hanging="227"/>
              <w:jc w:val="left"/>
            </w:pPr>
            <w:r w:rsidRPr="00E25D58">
              <w:t>Phenobarbital</w:t>
            </w:r>
          </w:p>
          <w:p w14:paraId="1A52B4A7" w14:textId="77777777" w:rsidR="00EC403F" w:rsidRPr="00E25D58" w:rsidRDefault="00EC403F" w:rsidP="005B11CE">
            <w:pPr>
              <w:pStyle w:val="NoSpacing"/>
              <w:numPr>
                <w:ilvl w:val="0"/>
                <w:numId w:val="40"/>
              </w:numPr>
              <w:ind w:left="397" w:hanging="227"/>
              <w:jc w:val="left"/>
            </w:pPr>
            <w:r w:rsidRPr="00E25D58">
              <w:t>Phenytoin</w:t>
            </w:r>
          </w:p>
        </w:tc>
        <w:tc>
          <w:tcPr>
            <w:tcW w:w="0" w:type="auto"/>
          </w:tcPr>
          <w:p w14:paraId="71E93A2A" w14:textId="77777777" w:rsidR="00EC403F" w:rsidRPr="00E25D58" w:rsidRDefault="00EC403F" w:rsidP="00EC403F">
            <w:pPr>
              <w:pStyle w:val="NoSpacing"/>
              <w:jc w:val="left"/>
            </w:pPr>
            <w:r w:rsidRPr="00E25D58">
              <w:t>Potential interaction</w:t>
            </w:r>
          </w:p>
        </w:tc>
        <w:tc>
          <w:tcPr>
            <w:tcW w:w="0" w:type="auto"/>
          </w:tcPr>
          <w:p w14:paraId="1B6952BF" w14:textId="77777777" w:rsidR="00EC403F" w:rsidRPr="00E25D58" w:rsidRDefault="00EC403F" w:rsidP="00EC403F">
            <w:pPr>
              <w:pStyle w:val="NoSpacing"/>
              <w:jc w:val="left"/>
            </w:pPr>
            <w:r w:rsidRPr="00E25D58">
              <w:t>Refer to doctor for switching to alternative anticonvulsant treatment.</w:t>
            </w:r>
          </w:p>
          <w:p w14:paraId="32983C09" w14:textId="77777777" w:rsidR="00EC403F" w:rsidRPr="00E25D58" w:rsidRDefault="00EC403F" w:rsidP="00EC403F">
            <w:pPr>
              <w:pStyle w:val="NoSpacing"/>
              <w:jc w:val="left"/>
            </w:pPr>
          </w:p>
          <w:p w14:paraId="1543E629" w14:textId="77777777" w:rsidR="00EC403F" w:rsidRPr="00E25D58" w:rsidRDefault="00EC403F" w:rsidP="00EC403F">
            <w:pPr>
              <w:pStyle w:val="NoSpacing"/>
              <w:jc w:val="left"/>
            </w:pPr>
          </w:p>
        </w:tc>
      </w:tr>
      <w:tr w:rsidR="00EC403F" w:rsidRPr="00E25D58" w14:paraId="7AD9CF4E" w14:textId="77777777" w:rsidTr="00EC403F">
        <w:tc>
          <w:tcPr>
            <w:tcW w:w="0" w:type="auto"/>
          </w:tcPr>
          <w:p w14:paraId="2BDBC845" w14:textId="77777777" w:rsidR="00EC403F" w:rsidRPr="00E25D58" w:rsidRDefault="00EC403F" w:rsidP="00EC403F">
            <w:pPr>
              <w:pStyle w:val="NoSpacing"/>
              <w:jc w:val="left"/>
            </w:pPr>
            <w:r w:rsidRPr="00E25D58">
              <w:t>Illicit/recreational drug use</w:t>
            </w:r>
          </w:p>
          <w:p w14:paraId="299EC3A1" w14:textId="77777777" w:rsidR="00EC403F" w:rsidRPr="00E25D58" w:rsidRDefault="00EC403F" w:rsidP="005B11CE">
            <w:pPr>
              <w:pStyle w:val="NoSpacing"/>
              <w:numPr>
                <w:ilvl w:val="0"/>
                <w:numId w:val="40"/>
              </w:numPr>
              <w:ind w:left="397" w:hanging="227"/>
              <w:jc w:val="left"/>
            </w:pPr>
            <w:r w:rsidRPr="00E25D58">
              <w:t>Ketamine</w:t>
            </w:r>
          </w:p>
        </w:tc>
        <w:tc>
          <w:tcPr>
            <w:tcW w:w="0" w:type="auto"/>
          </w:tcPr>
          <w:p w14:paraId="4AC3B2AE" w14:textId="77777777" w:rsidR="00EC403F" w:rsidRPr="00E25D58" w:rsidRDefault="00EC403F" w:rsidP="00EC403F">
            <w:pPr>
              <w:pStyle w:val="NoSpacing"/>
              <w:jc w:val="left"/>
            </w:pPr>
            <w:r w:rsidRPr="00E25D58">
              <w:t>Potential interaction</w:t>
            </w:r>
          </w:p>
        </w:tc>
        <w:tc>
          <w:tcPr>
            <w:tcW w:w="0" w:type="auto"/>
          </w:tcPr>
          <w:p w14:paraId="50AAAA15" w14:textId="77777777" w:rsidR="00EC403F" w:rsidRPr="00E25D58" w:rsidRDefault="00EC403F" w:rsidP="00EC403F">
            <w:pPr>
              <w:pStyle w:val="NoSpacing"/>
              <w:jc w:val="left"/>
            </w:pPr>
            <w:r w:rsidRPr="00E25D58">
              <w:t>LEN may increase ketamine-related effects such as respiration depression and hallucinations.</w:t>
            </w:r>
          </w:p>
          <w:p w14:paraId="3E4BBE8C" w14:textId="77777777" w:rsidR="00EC403F" w:rsidRPr="00E25D58" w:rsidRDefault="00EC403F" w:rsidP="00EC403F">
            <w:pPr>
              <w:pStyle w:val="NoSpacing"/>
              <w:jc w:val="left"/>
            </w:pPr>
            <w:r w:rsidRPr="00E25D58">
              <w:t>Avoid use of ketamine</w:t>
            </w:r>
          </w:p>
        </w:tc>
      </w:tr>
      <w:tr w:rsidR="00EC403F" w:rsidRPr="00E25D58" w14:paraId="35D0660A" w14:textId="77777777" w:rsidTr="00EC403F">
        <w:tc>
          <w:tcPr>
            <w:tcW w:w="0" w:type="auto"/>
          </w:tcPr>
          <w:p w14:paraId="10F2EA5C" w14:textId="77777777" w:rsidR="00EC403F" w:rsidRPr="00E25D58" w:rsidRDefault="00EC403F" w:rsidP="00EC403F">
            <w:pPr>
              <w:pStyle w:val="NoSpacing"/>
              <w:jc w:val="left"/>
            </w:pPr>
            <w:r w:rsidRPr="00E25D58">
              <w:t>Erectile dysfunction</w:t>
            </w:r>
          </w:p>
          <w:p w14:paraId="52158B2F" w14:textId="77777777" w:rsidR="00EC403F" w:rsidRPr="00E25D58" w:rsidRDefault="00EC403F" w:rsidP="005B11CE">
            <w:pPr>
              <w:pStyle w:val="NoSpacing"/>
              <w:numPr>
                <w:ilvl w:val="0"/>
                <w:numId w:val="40"/>
              </w:numPr>
              <w:ind w:left="397" w:hanging="227"/>
              <w:jc w:val="left"/>
            </w:pPr>
            <w:r w:rsidRPr="00E25D58">
              <w:t>Sildenafil</w:t>
            </w:r>
          </w:p>
          <w:p w14:paraId="1F897A05" w14:textId="77777777" w:rsidR="00EC403F" w:rsidRPr="00E25D58" w:rsidRDefault="00EC403F" w:rsidP="005B11CE">
            <w:pPr>
              <w:pStyle w:val="NoSpacing"/>
              <w:numPr>
                <w:ilvl w:val="0"/>
                <w:numId w:val="40"/>
              </w:numPr>
              <w:ind w:left="397" w:hanging="227"/>
              <w:jc w:val="left"/>
            </w:pPr>
            <w:r w:rsidRPr="00E25D58">
              <w:t>Tadalafil</w:t>
            </w:r>
          </w:p>
          <w:p w14:paraId="781AD387" w14:textId="77777777" w:rsidR="00EC403F" w:rsidRPr="00E25D58" w:rsidRDefault="00EC403F" w:rsidP="005B11CE">
            <w:pPr>
              <w:pStyle w:val="NoSpacing"/>
              <w:numPr>
                <w:ilvl w:val="0"/>
                <w:numId w:val="40"/>
              </w:numPr>
              <w:ind w:left="397" w:hanging="227"/>
              <w:jc w:val="left"/>
            </w:pPr>
            <w:r w:rsidRPr="00E25D58">
              <w:t>Vardenafil</w:t>
            </w:r>
          </w:p>
        </w:tc>
        <w:tc>
          <w:tcPr>
            <w:tcW w:w="0" w:type="auto"/>
          </w:tcPr>
          <w:p w14:paraId="3831C759" w14:textId="77777777" w:rsidR="00EC403F" w:rsidRPr="00E25D58" w:rsidRDefault="00EC403F" w:rsidP="00EC403F">
            <w:pPr>
              <w:pStyle w:val="NoSpacing"/>
              <w:jc w:val="left"/>
            </w:pPr>
            <w:r w:rsidRPr="00E25D58">
              <w:t>Potential interaction</w:t>
            </w:r>
          </w:p>
        </w:tc>
        <w:tc>
          <w:tcPr>
            <w:tcW w:w="0" w:type="auto"/>
          </w:tcPr>
          <w:p w14:paraId="68B96AFC" w14:textId="77777777" w:rsidR="00EC403F" w:rsidRPr="00E25D58" w:rsidRDefault="00EC403F" w:rsidP="00EC403F">
            <w:pPr>
              <w:pStyle w:val="NoSpacing"/>
              <w:jc w:val="left"/>
            </w:pPr>
            <w:r w:rsidRPr="00E25D58">
              <w:t>LEN may potentiate the effects of erectile dysfunction medicines.</w:t>
            </w:r>
          </w:p>
          <w:p w14:paraId="2C4A3498" w14:textId="77777777" w:rsidR="00EC403F" w:rsidRPr="00E25D58" w:rsidRDefault="00EC403F" w:rsidP="00EC403F">
            <w:pPr>
              <w:pStyle w:val="NoSpacing"/>
              <w:jc w:val="left"/>
            </w:pPr>
            <w:r w:rsidRPr="00E25D58">
              <w:t>Avoid concomitant use of erectile dysfunction medicines.</w:t>
            </w:r>
          </w:p>
        </w:tc>
      </w:tr>
    </w:tbl>
    <w:p w14:paraId="441AD9EB" w14:textId="1EFA94A6" w:rsidR="00EC403F" w:rsidRPr="00E25D58" w:rsidRDefault="00887374" w:rsidP="00EC403F">
      <w:pPr>
        <w:rPr>
          <w:rStyle w:val="Strong"/>
          <w:sz w:val="16"/>
        </w:rPr>
      </w:pPr>
      <w:r>
        <w:rPr>
          <w:rStyle w:val="Strong"/>
          <w:sz w:val="16"/>
        </w:rPr>
        <w:t>Table 11.20: LEN</w:t>
      </w:r>
      <w:bookmarkStart w:id="87" w:name="_GoBack"/>
      <w:bookmarkEnd w:id="87"/>
      <w:r w:rsidR="00EC403F" w:rsidRPr="00E25D58">
        <w:rPr>
          <w:rStyle w:val="Strong"/>
          <w:sz w:val="16"/>
        </w:rPr>
        <w:t xml:space="preserve"> drug interactions</w:t>
      </w:r>
    </w:p>
    <w:p w14:paraId="7AEFF49F" w14:textId="77777777" w:rsidR="00EC403F" w:rsidRPr="00E25D58" w:rsidRDefault="00EC403F" w:rsidP="00EC403F">
      <w:pPr>
        <w:rPr>
          <w:b/>
        </w:rPr>
      </w:pPr>
      <w:r w:rsidRPr="00E25D58">
        <w:rPr>
          <w:b/>
        </w:rPr>
        <w:t>Note:</w:t>
      </w:r>
    </w:p>
    <w:p w14:paraId="628876C3" w14:textId="77777777" w:rsidR="00EC403F" w:rsidRPr="00E25D58" w:rsidRDefault="00EC403F" w:rsidP="005B11CE">
      <w:pPr>
        <w:pStyle w:val="ListParagraph"/>
        <w:numPr>
          <w:ilvl w:val="0"/>
          <w:numId w:val="41"/>
        </w:numPr>
        <w:jc w:val="both"/>
      </w:pPr>
      <w:r w:rsidRPr="00E25D58">
        <w:t>Due to the long half-life of injectable lenacapavir, drug interactions may be significant for up to 9 months following subcutaneous injection.</w:t>
      </w:r>
    </w:p>
    <w:p w14:paraId="5F2D8285" w14:textId="77777777" w:rsidR="00EC403F" w:rsidRDefault="00EC403F" w:rsidP="00EC403F">
      <w:pPr>
        <w:rPr>
          <w:bCs/>
          <w:sz w:val="16"/>
        </w:rPr>
      </w:pPr>
    </w:p>
    <w:p w14:paraId="0EA6F213" w14:textId="77777777" w:rsidR="00EC403F" w:rsidRPr="00E25D58" w:rsidRDefault="00EC403F" w:rsidP="00EC403F">
      <w:pPr>
        <w:pStyle w:val="Heading6"/>
        <w:spacing w:before="0"/>
      </w:pPr>
      <w:r w:rsidRPr="00E25D58">
        <w:t>Side effects of LEN</w:t>
      </w:r>
    </w:p>
    <w:tbl>
      <w:tblPr>
        <w:tblStyle w:val="SamplePHCTable"/>
        <w:tblW w:w="0" w:type="auto"/>
        <w:tblLook w:val="0480" w:firstRow="0" w:lastRow="0" w:firstColumn="1" w:lastColumn="0" w:noHBand="0" w:noVBand="1"/>
      </w:tblPr>
      <w:tblGrid>
        <w:gridCol w:w="704"/>
        <w:gridCol w:w="5975"/>
      </w:tblGrid>
      <w:tr w:rsidR="00EC403F" w:rsidRPr="00E25D58" w14:paraId="3E811146" w14:textId="77777777" w:rsidTr="00EC403F">
        <w:tc>
          <w:tcPr>
            <w:tcW w:w="704" w:type="dxa"/>
          </w:tcPr>
          <w:p w14:paraId="3B109A6A" w14:textId="77777777" w:rsidR="00EC403F" w:rsidRPr="00E25D58" w:rsidRDefault="00EC403F" w:rsidP="00EC403F">
            <w:pPr>
              <w:pStyle w:val="NoSpacing"/>
              <w:jc w:val="left"/>
            </w:pPr>
            <w:r w:rsidRPr="00E25D58">
              <w:t xml:space="preserve">Major </w:t>
            </w:r>
          </w:p>
        </w:tc>
        <w:tc>
          <w:tcPr>
            <w:tcW w:w="5975" w:type="dxa"/>
          </w:tcPr>
          <w:p w14:paraId="0700A330" w14:textId="77777777" w:rsidR="00EC403F" w:rsidRPr="00E25D58" w:rsidRDefault="00EC403F" w:rsidP="00EC403F">
            <w:pPr>
              <w:pStyle w:val="NoSpacing"/>
              <w:jc w:val="left"/>
            </w:pPr>
            <w:r w:rsidRPr="00E25D58">
              <w:t>Injection site reactions, including necrosis and ulcer (often linked to improper administration) , headache, nausea</w:t>
            </w:r>
          </w:p>
        </w:tc>
      </w:tr>
      <w:tr w:rsidR="00EC403F" w:rsidRPr="00E25D58" w14:paraId="120B1A75" w14:textId="77777777" w:rsidTr="00EC403F">
        <w:tc>
          <w:tcPr>
            <w:tcW w:w="704" w:type="dxa"/>
          </w:tcPr>
          <w:p w14:paraId="7880840A" w14:textId="77777777" w:rsidR="00EC403F" w:rsidRPr="00E25D58" w:rsidRDefault="00EC403F" w:rsidP="00EC403F">
            <w:pPr>
              <w:pStyle w:val="NoSpacing"/>
              <w:jc w:val="left"/>
            </w:pPr>
            <w:r w:rsidRPr="00E25D58">
              <w:t>Minor</w:t>
            </w:r>
          </w:p>
        </w:tc>
        <w:tc>
          <w:tcPr>
            <w:tcW w:w="5975" w:type="dxa"/>
          </w:tcPr>
          <w:p w14:paraId="75567D20" w14:textId="77777777" w:rsidR="00EC403F" w:rsidRPr="00E25D58" w:rsidRDefault="00EC403F" w:rsidP="00EC403F">
            <w:pPr>
              <w:pStyle w:val="NoSpacing"/>
              <w:jc w:val="left"/>
            </w:pPr>
            <w:r w:rsidRPr="00E25D58">
              <w:t>Dizziness, vomiting, diarrhoea</w:t>
            </w:r>
          </w:p>
        </w:tc>
      </w:tr>
    </w:tbl>
    <w:p w14:paraId="33FED1AF" w14:textId="27FE9394" w:rsidR="00EC403F" w:rsidRPr="00E25D58" w:rsidRDefault="00EC403F" w:rsidP="00EC403F">
      <w:pPr>
        <w:rPr>
          <w:bCs/>
          <w:sz w:val="16"/>
        </w:rPr>
      </w:pPr>
      <w:r w:rsidRPr="00E25D58">
        <w:rPr>
          <w:rStyle w:val="Strong"/>
          <w:sz w:val="16"/>
        </w:rPr>
        <w:t xml:space="preserve">Table </w:t>
      </w:r>
      <w:r w:rsidR="00887374">
        <w:rPr>
          <w:rStyle w:val="Strong"/>
          <w:sz w:val="16"/>
        </w:rPr>
        <w:t>11.21: Side effects of LEN</w:t>
      </w:r>
    </w:p>
    <w:p w14:paraId="77D97D7C" w14:textId="77777777" w:rsidR="00EC403F" w:rsidRPr="00E25D58" w:rsidRDefault="00EC403F" w:rsidP="00EC403F">
      <w:pPr>
        <w:rPr>
          <w:b/>
        </w:rPr>
      </w:pPr>
      <w:r w:rsidRPr="00E25D58">
        <w:rPr>
          <w:b/>
        </w:rPr>
        <w:t>Note:</w:t>
      </w:r>
    </w:p>
    <w:p w14:paraId="6DAFEA05" w14:textId="77777777" w:rsidR="00EC403F" w:rsidRPr="00E25D58" w:rsidRDefault="00EC403F" w:rsidP="005B11CE">
      <w:pPr>
        <w:pStyle w:val="ListParagraph"/>
        <w:numPr>
          <w:ilvl w:val="0"/>
          <w:numId w:val="41"/>
        </w:numPr>
        <w:jc w:val="both"/>
      </w:pPr>
      <w:r w:rsidRPr="00E25D58">
        <w:t>Major side effects reported in at least 5% (approximately 5 in 100 individuals in the PURPOSE 1 and/or 2 studies).</w:t>
      </w:r>
    </w:p>
    <w:p w14:paraId="10B1A8D9" w14:textId="77777777" w:rsidR="00EC403F" w:rsidRDefault="00EC403F" w:rsidP="005B11CE">
      <w:pPr>
        <w:pStyle w:val="ListParagraph"/>
        <w:numPr>
          <w:ilvl w:val="0"/>
          <w:numId w:val="41"/>
        </w:numPr>
        <w:jc w:val="both"/>
      </w:pPr>
      <w:r w:rsidRPr="00E25D58">
        <w:t>For individuals who may need to switch from LEN to oral PrEP, initiate oral PrEP within 28 weeks of the last LEN injection.</w:t>
      </w:r>
    </w:p>
    <w:p w14:paraId="40F68418" w14:textId="77777777" w:rsidR="0008248F" w:rsidRDefault="0008248F" w:rsidP="0008248F"/>
    <w:p w14:paraId="1244AF98" w14:textId="77777777" w:rsidR="00ED453B" w:rsidRDefault="00ED453B" w:rsidP="0008248F"/>
    <w:p w14:paraId="70111556" w14:textId="77777777" w:rsidR="00ED453B" w:rsidRDefault="00ED453B" w:rsidP="0008248F"/>
    <w:p w14:paraId="5A6C6A25" w14:textId="77777777" w:rsidR="00ED453B" w:rsidRDefault="00ED453B" w:rsidP="0008248F"/>
    <w:p w14:paraId="6470994D" w14:textId="77777777" w:rsidR="0008248F" w:rsidRPr="00E25D58" w:rsidRDefault="0008248F" w:rsidP="0008248F">
      <w:pPr>
        <w:pStyle w:val="Heading5"/>
      </w:pPr>
      <w:r w:rsidRPr="00E25D58">
        <w:lastRenderedPageBreak/>
        <w:t>STOPPING PREP</w:t>
      </w:r>
    </w:p>
    <w:p w14:paraId="4EB60F97" w14:textId="77777777" w:rsidR="0008248F" w:rsidRPr="00E25D58" w:rsidRDefault="0008248F" w:rsidP="0008248F">
      <w:pPr>
        <w:pStyle w:val="NoSpacing"/>
      </w:pPr>
      <w:r w:rsidRPr="00E25D58">
        <w:t xml:space="preserve">PrEP should be stopped if individual: </w:t>
      </w:r>
    </w:p>
    <w:p w14:paraId="3980EDEC" w14:textId="77777777" w:rsidR="0008248F" w:rsidRPr="00E25D58" w:rsidRDefault="0008248F" w:rsidP="0008248F">
      <w:pPr>
        <w:pStyle w:val="ListParagraph"/>
      </w:pPr>
      <w:r w:rsidRPr="00E25D58">
        <w:t xml:space="preserve">Tests HIV-positive.  </w:t>
      </w:r>
    </w:p>
    <w:p w14:paraId="223436F3" w14:textId="77777777" w:rsidR="0008248F" w:rsidRPr="00E25D58" w:rsidRDefault="0008248F" w:rsidP="0008248F">
      <w:pPr>
        <w:pStyle w:val="ListParagraph"/>
      </w:pPr>
      <w:r w:rsidRPr="00E25D58">
        <w:t>Develops renal disease (for oral PrEP: eGFR &lt; 60mL/min and injectable PrEP eGFR &lt; 15mL/min)</w:t>
      </w:r>
    </w:p>
    <w:p w14:paraId="482CD54E" w14:textId="77777777" w:rsidR="0008248F" w:rsidRPr="00E25D58" w:rsidRDefault="0008248F" w:rsidP="0008248F">
      <w:pPr>
        <w:pStyle w:val="ListParagraph"/>
      </w:pPr>
      <w:r w:rsidRPr="00E25D58">
        <w:t xml:space="preserve">Is non-adherent to PrEP. </w:t>
      </w:r>
    </w:p>
    <w:p w14:paraId="7AFFE0AF" w14:textId="77777777" w:rsidR="0008248F" w:rsidRPr="00E25D58" w:rsidRDefault="0008248F" w:rsidP="0008248F">
      <w:pPr>
        <w:pStyle w:val="ListParagraph"/>
      </w:pPr>
      <w:r w:rsidRPr="00E25D58">
        <w:t xml:space="preserve">Does not need or want PrEP. </w:t>
      </w:r>
    </w:p>
    <w:p w14:paraId="455B8120" w14:textId="77777777" w:rsidR="0008248F" w:rsidRPr="00E25D58" w:rsidRDefault="0008248F" w:rsidP="0008248F">
      <w:pPr>
        <w:pStyle w:val="ListParagraph"/>
      </w:pPr>
      <w:r w:rsidRPr="00E25D58">
        <w:t xml:space="preserve">No longer meets eligibility criteria. </w:t>
      </w:r>
    </w:p>
    <w:p w14:paraId="627583A9" w14:textId="77777777" w:rsidR="0008248F" w:rsidRPr="00E25D58" w:rsidRDefault="0008248F" w:rsidP="0008248F">
      <w:pPr>
        <w:pStyle w:val="ListParagraph"/>
      </w:pPr>
      <w:r w:rsidRPr="00E25D58">
        <w:t>Presents with safety concerns where the risks of PrEP use outweigh potential benefit.</w:t>
      </w:r>
    </w:p>
    <w:p w14:paraId="78F4DA88" w14:textId="77777777" w:rsidR="0008248F" w:rsidRDefault="0008248F" w:rsidP="0008248F"/>
    <w:p w14:paraId="106C7857" w14:textId="77777777" w:rsidR="0008248F" w:rsidRPr="00E25D58" w:rsidRDefault="0008248F" w:rsidP="0008248F">
      <w:pPr>
        <w:rPr>
          <w:rFonts w:cs="Arial"/>
          <w:b/>
        </w:rPr>
      </w:pPr>
      <w:r w:rsidRPr="00E25D58">
        <w:rPr>
          <w:rFonts w:cs="Arial"/>
          <w:b/>
        </w:rPr>
        <w:t>Note:</w:t>
      </w:r>
    </w:p>
    <w:p w14:paraId="2C5168F0" w14:textId="77777777" w:rsidR="0008248F" w:rsidRPr="00D71DCA" w:rsidRDefault="0008248F" w:rsidP="005B11CE">
      <w:pPr>
        <w:pStyle w:val="ListParagraph"/>
        <w:numPr>
          <w:ilvl w:val="0"/>
          <w:numId w:val="41"/>
        </w:numPr>
        <w:jc w:val="both"/>
      </w:pPr>
      <w:r w:rsidRPr="00D71DCA">
        <w:t xml:space="preserve">Continue oral PrEP for 7 days after the last potential HIV exposure. </w:t>
      </w:r>
    </w:p>
    <w:p w14:paraId="4A339607" w14:textId="77777777" w:rsidR="0008248F" w:rsidRPr="00D71DCA" w:rsidRDefault="0008248F" w:rsidP="005B11CE">
      <w:pPr>
        <w:pStyle w:val="ListParagraph"/>
        <w:numPr>
          <w:ilvl w:val="0"/>
          <w:numId w:val="41"/>
        </w:numPr>
        <w:jc w:val="both"/>
      </w:pPr>
      <w:r w:rsidRPr="00D71DCA">
        <w:t>Patients with chronic HBV may experience a hepatitis flare on discontinuation of oral PrEP.</w:t>
      </w:r>
    </w:p>
    <w:p w14:paraId="380F7863" w14:textId="77777777" w:rsidR="0008248F" w:rsidRPr="00D71DCA" w:rsidRDefault="0008248F" w:rsidP="005B11CE">
      <w:pPr>
        <w:pStyle w:val="ListParagraph"/>
        <w:numPr>
          <w:ilvl w:val="0"/>
          <w:numId w:val="41"/>
        </w:numPr>
        <w:jc w:val="both"/>
      </w:pPr>
      <w:r w:rsidRPr="00D71DCA">
        <w:t>Injectable lenacapvir has an extended washout period and drug levels decline slowly during the tail period. During the tail period, protection against HIV diminishes although the potential for drug interactions remains.</w:t>
      </w:r>
    </w:p>
    <w:p w14:paraId="3A3B4FAD" w14:textId="77777777" w:rsidR="0008248F" w:rsidRDefault="0008248F" w:rsidP="0008248F"/>
    <w:p w14:paraId="3097A3C1" w14:textId="77777777" w:rsidR="0008248F" w:rsidRPr="00367F15" w:rsidRDefault="0008248F" w:rsidP="0008248F">
      <w:pPr>
        <w:pStyle w:val="Heading5"/>
      </w:pPr>
      <w:r w:rsidRPr="00367F15">
        <w:t>REFERRAL</w:t>
      </w:r>
    </w:p>
    <w:p w14:paraId="4471DF22" w14:textId="77777777" w:rsidR="0008248F" w:rsidRPr="00367F15" w:rsidRDefault="0008248F" w:rsidP="005B11CE">
      <w:pPr>
        <w:pStyle w:val="ListParagraph"/>
        <w:numPr>
          <w:ilvl w:val="0"/>
          <w:numId w:val="41"/>
        </w:numPr>
      </w:pPr>
      <w:r>
        <w:t>HBsAg-positive.</w:t>
      </w:r>
    </w:p>
    <w:p w14:paraId="5F89E1C8" w14:textId="77777777" w:rsidR="0008248F" w:rsidRPr="00367F15" w:rsidRDefault="0008248F" w:rsidP="005B11CE">
      <w:pPr>
        <w:pStyle w:val="ListParagraph"/>
        <w:numPr>
          <w:ilvl w:val="0"/>
          <w:numId w:val="41"/>
        </w:numPr>
      </w:pPr>
      <w:r w:rsidRPr="00367F15">
        <w:t>Discontinuation of TDF + FTC in patients with HBV.</w:t>
      </w:r>
    </w:p>
    <w:p w14:paraId="6D49503A" w14:textId="77777777" w:rsidR="0008248F" w:rsidRPr="00E25D58" w:rsidRDefault="0008248F" w:rsidP="0008248F"/>
    <w:p w14:paraId="63715A6D" w14:textId="77777777" w:rsidR="00EC403F" w:rsidRPr="00E25D58" w:rsidRDefault="00EC403F" w:rsidP="00EC403F">
      <w:pPr>
        <w:rPr>
          <w:bCs/>
          <w:sz w:val="16"/>
        </w:rPr>
      </w:pPr>
    </w:p>
    <w:p w14:paraId="67CD6352" w14:textId="77777777" w:rsidR="00EC403F" w:rsidRPr="00E25D58" w:rsidRDefault="00EC403F" w:rsidP="00356594"/>
    <w:p w14:paraId="44ED586C" w14:textId="77777777" w:rsidR="00356594" w:rsidRDefault="00356594" w:rsidP="00356594"/>
    <w:p w14:paraId="67A26271" w14:textId="77777777" w:rsidR="00356594" w:rsidRPr="00356594" w:rsidRDefault="00356594" w:rsidP="00356594"/>
    <w:p w14:paraId="49734B30" w14:textId="77777777" w:rsidR="00356594" w:rsidRDefault="00356594" w:rsidP="00FE74E1"/>
    <w:p w14:paraId="644F9C22" w14:textId="77777777" w:rsidR="00356594" w:rsidRDefault="00356594" w:rsidP="00FE74E1"/>
    <w:p w14:paraId="6FA507B5" w14:textId="77777777" w:rsidR="00C146A3" w:rsidRDefault="00C146A3" w:rsidP="00FE74E1"/>
    <w:p w14:paraId="29258EB6" w14:textId="77777777" w:rsidR="00C146A3" w:rsidRDefault="00C146A3" w:rsidP="00FE74E1"/>
    <w:p w14:paraId="20E09B95" w14:textId="77777777" w:rsidR="00C146A3" w:rsidRDefault="00C146A3" w:rsidP="00FE74E1"/>
    <w:p w14:paraId="63BD7732" w14:textId="77777777" w:rsidR="00C146A3" w:rsidRPr="00FE74E1" w:rsidRDefault="00C146A3" w:rsidP="00FE74E1"/>
    <w:p w14:paraId="45A31B1A" w14:textId="77777777" w:rsidR="00E5138C" w:rsidRPr="00367F15" w:rsidRDefault="00E5138C" w:rsidP="00E5138C">
      <w:pPr>
        <w:pStyle w:val="NoSpacing"/>
        <w:rPr>
          <w:sz w:val="8"/>
          <w:szCs w:val="8"/>
        </w:rPr>
      </w:pPr>
    </w:p>
    <w:p w14:paraId="336FCC33" w14:textId="7B1A6DE0" w:rsidR="00E5138C" w:rsidRPr="00367F15" w:rsidRDefault="00E5138C" w:rsidP="005A2F01">
      <w:pPr>
        <w:pStyle w:val="Heading6"/>
      </w:pPr>
    </w:p>
    <w:p w14:paraId="55B2E54A" w14:textId="77777777" w:rsidR="008E4759" w:rsidRDefault="008E4759" w:rsidP="00E5138C">
      <w:pPr>
        <w:pStyle w:val="NoSpacing"/>
      </w:pPr>
    </w:p>
    <w:p w14:paraId="4B13205F" w14:textId="77777777" w:rsidR="008E4759" w:rsidRPr="00367F15" w:rsidRDefault="008E4759" w:rsidP="00E5138C">
      <w:pPr>
        <w:pStyle w:val="NoSpacing"/>
        <w:sectPr w:rsidR="008E4759" w:rsidRPr="00367F15" w:rsidSect="00017245">
          <w:endnotePr>
            <w:numFmt w:val="decimal"/>
          </w:endnotePr>
          <w:pgSz w:w="8391" w:h="11906" w:code="11"/>
          <w:pgMar w:top="850" w:right="850" w:bottom="850" w:left="850" w:header="706" w:footer="706" w:gutter="0"/>
          <w:pgNumType w:chapStyle="1" w:chapSep="period"/>
          <w:cols w:space="708"/>
          <w:docGrid w:linePitch="360"/>
        </w:sectPr>
      </w:pPr>
    </w:p>
    <w:p w14:paraId="04B02EE9" w14:textId="5AF2D819" w:rsidR="00E5138C" w:rsidRPr="00367F15" w:rsidRDefault="008E4759" w:rsidP="00014361">
      <w:pPr>
        <w:pStyle w:val="Heading5"/>
        <w:jc w:val="center"/>
      </w:pPr>
      <w:r w:rsidRPr="008E4759">
        <w:rPr>
          <w:noProof/>
          <w:lang w:eastAsia="en-ZA"/>
        </w:rPr>
        <w:lastRenderedPageBreak/>
        <w:drawing>
          <wp:inline distT="0" distB="0" distL="0" distR="0" wp14:anchorId="3327A0A2" wp14:editId="111AAAFA">
            <wp:extent cx="4018700" cy="5789036"/>
            <wp:effectExtent l="0" t="0" r="127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24276" cy="5797068"/>
                    </a:xfrm>
                    <a:prstGeom prst="rect">
                      <a:avLst/>
                    </a:prstGeom>
                    <a:noFill/>
                    <a:ln>
                      <a:noFill/>
                    </a:ln>
                  </pic:spPr>
                </pic:pic>
              </a:graphicData>
            </a:graphic>
          </wp:inline>
        </w:drawing>
      </w:r>
    </w:p>
    <w:p w14:paraId="3D4094E0" w14:textId="0408B594" w:rsidR="0022224A" w:rsidRPr="00367F15" w:rsidRDefault="0056170B" w:rsidP="00E5138C">
      <w:pPr>
        <w:pStyle w:val="NoSpacing"/>
        <w:rPr>
          <w:sz w:val="16"/>
        </w:rPr>
      </w:pPr>
      <w:r w:rsidRPr="004A6630">
        <w:rPr>
          <w:b/>
          <w:sz w:val="16"/>
        </w:rPr>
        <w:t>Figure 11.</w:t>
      </w:r>
      <w:r w:rsidR="004A6630" w:rsidRPr="004A6630">
        <w:rPr>
          <w:b/>
          <w:sz w:val="16"/>
        </w:rPr>
        <w:t>10</w:t>
      </w:r>
      <w:r w:rsidR="00B45548" w:rsidRPr="00367F15">
        <w:rPr>
          <w:sz w:val="16"/>
        </w:rPr>
        <w:t>: PrEP initiation algorithm</w:t>
      </w:r>
    </w:p>
    <w:p w14:paraId="539E8B0F" w14:textId="77777777" w:rsidR="00FE74E1" w:rsidRDefault="00FE74E1" w:rsidP="00E5138C">
      <w:pPr>
        <w:pStyle w:val="NoSpacing"/>
      </w:pPr>
    </w:p>
    <w:p w14:paraId="31591F3C" w14:textId="77777777" w:rsidR="008E4759" w:rsidRDefault="008E4759" w:rsidP="00E5138C">
      <w:pPr>
        <w:pStyle w:val="NoSpacing"/>
      </w:pPr>
    </w:p>
    <w:p w14:paraId="1B4A20B1" w14:textId="14B4B67C" w:rsidR="00E5138C" w:rsidRPr="00B9629C" w:rsidRDefault="00F20225" w:rsidP="00FE74E1">
      <w:pPr>
        <w:pStyle w:val="Heading2"/>
        <w:rPr>
          <w:highlight w:val="darkGray"/>
        </w:rPr>
      </w:pPr>
      <w:bookmarkStart w:id="88" w:name="_Toc57132077"/>
      <w:bookmarkStart w:id="89" w:name="_Toc177151126"/>
      <w:r w:rsidRPr="00B9629C">
        <w:rPr>
          <w:highlight w:val="darkGray"/>
        </w:rPr>
        <w:lastRenderedPageBreak/>
        <w:t>Post exposure prophylaxis</w:t>
      </w:r>
      <w:bookmarkEnd w:id="88"/>
      <w:bookmarkEnd w:id="89"/>
      <w:r w:rsidR="006D4857" w:rsidRPr="00B9629C">
        <w:rPr>
          <w:highlight w:val="darkGray"/>
        </w:rPr>
        <w:fldChar w:fldCharType="begin"/>
      </w:r>
      <w:r w:rsidR="006D4857" w:rsidRPr="00B9629C">
        <w:rPr>
          <w:highlight w:val="darkGray"/>
        </w:rPr>
        <w:instrText xml:space="preserve"> XE "Post exposure prophylaxis" \f “c”</w:instrText>
      </w:r>
      <w:r w:rsidR="006D4857" w:rsidRPr="00B9629C">
        <w:rPr>
          <w:highlight w:val="darkGray"/>
        </w:rPr>
        <w:fldChar w:fldCharType="end"/>
      </w:r>
    </w:p>
    <w:p w14:paraId="05D4EDF0" w14:textId="518EAE0B" w:rsidR="00E5138C" w:rsidRPr="00B9629C" w:rsidRDefault="00CE1E04" w:rsidP="0022224A">
      <w:pPr>
        <w:pStyle w:val="NoSpacing"/>
        <w:rPr>
          <w:highlight w:val="darkGray"/>
        </w:rPr>
      </w:pPr>
      <w:r w:rsidRPr="00B9629C">
        <w:rPr>
          <w:highlight w:val="darkGray"/>
        </w:rPr>
        <w:t>Is oka</w:t>
      </w:r>
      <w:r w:rsidR="00E5138C" w:rsidRPr="00B9629C">
        <w:rPr>
          <w:highlight w:val="darkGray"/>
        </w:rPr>
        <w:t xml:space="preserve"> Section 21.3.6: Post exposure Prophylaxis (PEP).</w:t>
      </w:r>
    </w:p>
    <w:p w14:paraId="1677A9E8" w14:textId="77777777" w:rsidR="0018374A" w:rsidRPr="00B9629C" w:rsidRDefault="0018374A" w:rsidP="0022224A">
      <w:pPr>
        <w:pStyle w:val="NoSpacing"/>
        <w:rPr>
          <w:highlight w:val="darkGray"/>
        </w:rPr>
      </w:pPr>
    </w:p>
    <w:p w14:paraId="4D31B9B5" w14:textId="52D13B58" w:rsidR="00E5138C" w:rsidRPr="00B9629C" w:rsidRDefault="0094742B" w:rsidP="00FE74E1">
      <w:pPr>
        <w:pStyle w:val="Heading2"/>
        <w:rPr>
          <w:highlight w:val="darkGray"/>
        </w:rPr>
      </w:pPr>
      <w:bookmarkStart w:id="90" w:name="_Toc57132078"/>
      <w:bookmarkStart w:id="91" w:name="_Toc177151127"/>
      <w:r w:rsidRPr="00B9629C">
        <w:rPr>
          <w:highlight w:val="darkGray"/>
        </w:rPr>
        <w:t>Side effects and complications of ART</w:t>
      </w:r>
      <w:bookmarkEnd w:id="90"/>
      <w:bookmarkEnd w:id="91"/>
      <w:r w:rsidR="006D4857" w:rsidRPr="00B9629C">
        <w:rPr>
          <w:highlight w:val="darkGray"/>
        </w:rPr>
        <w:fldChar w:fldCharType="begin"/>
      </w:r>
      <w:r w:rsidR="006D4857" w:rsidRPr="00B9629C">
        <w:rPr>
          <w:highlight w:val="darkGray"/>
        </w:rPr>
        <w:instrText xml:space="preserve"> XE "Side effects and complications of ART" \f “c”</w:instrText>
      </w:r>
      <w:r w:rsidR="006D4857" w:rsidRPr="00B9629C">
        <w:rPr>
          <w:highlight w:val="darkGray"/>
        </w:rPr>
        <w:fldChar w:fldCharType="end"/>
      </w:r>
    </w:p>
    <w:p w14:paraId="07AE3B09" w14:textId="3A477989" w:rsidR="00E5138C" w:rsidRPr="00B9629C" w:rsidRDefault="00A359E6" w:rsidP="00A359E6">
      <w:pPr>
        <w:pStyle w:val="NoSpacing"/>
        <w:jc w:val="both"/>
        <w:rPr>
          <w:highlight w:val="darkGray"/>
        </w:rPr>
      </w:pPr>
      <w:r w:rsidRPr="00B9629C">
        <w:rPr>
          <w:highlight w:val="darkGray"/>
        </w:rPr>
        <w:t>R</w:t>
      </w:r>
      <w:r w:rsidR="00315D79" w:rsidRPr="00B9629C">
        <w:rPr>
          <w:highlight w:val="darkGray"/>
        </w:rPr>
        <w:t xml:space="preserve">efer to </w:t>
      </w:r>
      <w:r w:rsidRPr="00B9629C">
        <w:rPr>
          <w:highlight w:val="darkGray"/>
        </w:rPr>
        <w:t xml:space="preserve">the </w:t>
      </w:r>
      <w:r w:rsidR="00315D79" w:rsidRPr="00B9629C">
        <w:rPr>
          <w:highlight w:val="darkGray"/>
        </w:rPr>
        <w:t>Adult Hospital Level STGs and EML: Section 10.1.1</w:t>
      </w:r>
      <w:r w:rsidR="00315D79" w:rsidRPr="00B9629C">
        <w:rPr>
          <w:highlight w:val="darkGray"/>
        </w:rPr>
        <w:tab/>
        <w:t>Management of selected antiretroviral adverse drug reactions</w:t>
      </w:r>
      <w:r w:rsidRPr="00B9629C">
        <w:rPr>
          <w:highlight w:val="darkGray"/>
        </w:rPr>
        <w:t>, and consult with an infectious disease specialist as required.</w:t>
      </w:r>
    </w:p>
    <w:p w14:paraId="0EC86AF4" w14:textId="77777777" w:rsidR="00315D79" w:rsidRPr="00B9629C" w:rsidRDefault="00315D79" w:rsidP="009E1349">
      <w:pPr>
        <w:pStyle w:val="NoSpacing"/>
        <w:rPr>
          <w:highlight w:val="darkGray"/>
        </w:rPr>
      </w:pPr>
    </w:p>
    <w:p w14:paraId="330E0412" w14:textId="38E66944" w:rsidR="00E5138C" w:rsidRPr="00B9629C" w:rsidRDefault="006F54AA" w:rsidP="00315D79">
      <w:pPr>
        <w:pStyle w:val="Heading3"/>
        <w:rPr>
          <w:highlight w:val="darkGray"/>
        </w:rPr>
      </w:pPr>
      <w:bookmarkStart w:id="92" w:name="_Toc57132079"/>
      <w:bookmarkStart w:id="93" w:name="_Toc177151128"/>
      <w:r w:rsidRPr="00B9629C">
        <w:rPr>
          <w:highlight w:val="darkGray"/>
        </w:rPr>
        <w:t xml:space="preserve"> </w:t>
      </w:r>
      <w:r w:rsidR="0094742B" w:rsidRPr="00B9629C">
        <w:rPr>
          <w:highlight w:val="darkGray"/>
        </w:rPr>
        <w:t>Immune reconstitution inflammatory syndrome (IRIS)</w:t>
      </w:r>
      <w:bookmarkEnd w:id="92"/>
      <w:bookmarkEnd w:id="93"/>
      <w:r w:rsidR="006D4857" w:rsidRPr="00B9629C">
        <w:rPr>
          <w:highlight w:val="darkGray"/>
        </w:rPr>
        <w:fldChar w:fldCharType="begin"/>
      </w:r>
      <w:r w:rsidR="006D4857" w:rsidRPr="00B9629C">
        <w:rPr>
          <w:highlight w:val="darkGray"/>
        </w:rPr>
        <w:instrText xml:space="preserve"> XE "Immune reconstitution inflammatory syndrome (IRIS)" \f “c”</w:instrText>
      </w:r>
      <w:r w:rsidR="006D4857" w:rsidRPr="00B9629C">
        <w:rPr>
          <w:highlight w:val="darkGray"/>
        </w:rPr>
        <w:fldChar w:fldCharType="end"/>
      </w:r>
    </w:p>
    <w:p w14:paraId="3BBEE63B" w14:textId="77777777" w:rsidR="00E5138C" w:rsidRPr="00B9629C" w:rsidRDefault="00E5138C" w:rsidP="00F7195A">
      <w:pPr>
        <w:pStyle w:val="ICD10"/>
        <w:shd w:val="clear" w:color="auto" w:fill="F2F2F2" w:themeFill="background1" w:themeFillShade="F2"/>
        <w:tabs>
          <w:tab w:val="left" w:pos="2753"/>
        </w:tabs>
        <w:jc w:val="both"/>
        <w:rPr>
          <w:highlight w:val="darkGray"/>
        </w:rPr>
      </w:pPr>
      <w:r w:rsidRPr="00B9629C">
        <w:rPr>
          <w:highlight w:val="darkGray"/>
        </w:rPr>
        <w:t>D89.3 + (Y41.5 + B24)</w:t>
      </w:r>
    </w:p>
    <w:p w14:paraId="19741A32" w14:textId="77777777" w:rsidR="00E5138C" w:rsidRPr="00B9629C" w:rsidRDefault="00E5138C" w:rsidP="00B70986">
      <w:pPr>
        <w:pStyle w:val="Heading5"/>
        <w:rPr>
          <w:highlight w:val="darkGray"/>
        </w:rPr>
      </w:pPr>
      <w:r w:rsidRPr="00B9629C">
        <w:rPr>
          <w:highlight w:val="darkGray"/>
        </w:rPr>
        <w:t>DESCRIPTION</w:t>
      </w:r>
    </w:p>
    <w:p w14:paraId="161DAEBB" w14:textId="6B1DC456" w:rsidR="00E5138C" w:rsidRPr="00B9629C" w:rsidRDefault="00E5138C" w:rsidP="00E5138C">
      <w:pPr>
        <w:pStyle w:val="NoSpacing"/>
        <w:rPr>
          <w:highlight w:val="darkGray"/>
        </w:rPr>
      </w:pPr>
      <w:r w:rsidRPr="00B9629C">
        <w:rPr>
          <w:highlight w:val="darkGray"/>
        </w:rPr>
        <w:t xml:space="preserve">Clinical deterioration can occur after starting ART due an improvement in the immune system response to organisms already causing infection, e.g. </w:t>
      </w:r>
    </w:p>
    <w:p w14:paraId="7001FD4B" w14:textId="3CAF5C08" w:rsidR="00D41161" w:rsidRPr="00B9629C" w:rsidRDefault="00D41161" w:rsidP="00D41161">
      <w:pPr>
        <w:pStyle w:val="ListParagraph"/>
        <w:rPr>
          <w:highlight w:val="darkGray"/>
        </w:rPr>
      </w:pPr>
      <w:r w:rsidRPr="00B9629C">
        <w:rPr>
          <w:i/>
          <w:iCs/>
          <w:highlight w:val="darkGray"/>
        </w:rPr>
        <w:t>M.</w:t>
      </w:r>
      <w:r w:rsidR="00560071" w:rsidRPr="00B9629C">
        <w:rPr>
          <w:i/>
          <w:iCs/>
          <w:highlight w:val="darkGray"/>
        </w:rPr>
        <w:t xml:space="preserve"> b</w:t>
      </w:r>
      <w:r w:rsidRPr="00B9629C">
        <w:rPr>
          <w:i/>
          <w:iCs/>
          <w:highlight w:val="darkGray"/>
        </w:rPr>
        <w:t>ovis</w:t>
      </w:r>
      <w:r w:rsidRPr="00B9629C">
        <w:rPr>
          <w:highlight w:val="darkGray"/>
        </w:rPr>
        <w:t xml:space="preserve"> (BCG)</w:t>
      </w:r>
      <w:r w:rsidR="00560071" w:rsidRPr="00B9629C">
        <w:rPr>
          <w:highlight w:val="darkGray"/>
        </w:rPr>
        <w:t>.</w:t>
      </w:r>
    </w:p>
    <w:p w14:paraId="217159A8" w14:textId="186B4717" w:rsidR="00D41161" w:rsidRPr="00B9629C" w:rsidRDefault="00D41161" w:rsidP="00D41161">
      <w:pPr>
        <w:pStyle w:val="ListParagraph"/>
        <w:rPr>
          <w:highlight w:val="darkGray"/>
        </w:rPr>
      </w:pPr>
      <w:r w:rsidRPr="00B9629C">
        <w:rPr>
          <w:i/>
          <w:iCs/>
          <w:highlight w:val="darkGray"/>
        </w:rPr>
        <w:t>M. tuberculosis</w:t>
      </w:r>
      <w:r w:rsidRPr="00B9629C">
        <w:rPr>
          <w:highlight w:val="darkGray"/>
        </w:rPr>
        <w:t xml:space="preserve"> (MTB)</w:t>
      </w:r>
      <w:r w:rsidR="00560071" w:rsidRPr="00B9629C">
        <w:rPr>
          <w:highlight w:val="darkGray"/>
        </w:rPr>
        <w:t>.</w:t>
      </w:r>
    </w:p>
    <w:p w14:paraId="538F91FC" w14:textId="77777777" w:rsidR="00E5138C" w:rsidRPr="00B9629C" w:rsidRDefault="00E5138C" w:rsidP="00E5138C">
      <w:pPr>
        <w:pStyle w:val="NoSpacing"/>
        <w:rPr>
          <w:highlight w:val="darkGray"/>
        </w:rPr>
      </w:pPr>
      <w:r w:rsidRPr="00B9629C">
        <w:rPr>
          <w:highlight w:val="darkGray"/>
        </w:rPr>
        <w:t>There are 2 types of IRIS:</w:t>
      </w:r>
    </w:p>
    <w:p w14:paraId="45E05A1F" w14:textId="77777777" w:rsidR="00E5138C" w:rsidRPr="00B9629C" w:rsidRDefault="00E5138C" w:rsidP="009750A0">
      <w:pPr>
        <w:pStyle w:val="ListParagraphNumbered"/>
        <w:numPr>
          <w:ilvl w:val="0"/>
          <w:numId w:val="8"/>
        </w:numPr>
        <w:rPr>
          <w:highlight w:val="darkGray"/>
        </w:rPr>
      </w:pPr>
      <w:r w:rsidRPr="00B9629C">
        <w:rPr>
          <w:highlight w:val="darkGray"/>
        </w:rPr>
        <w:t>Unmasking: when a previously unsuspected condition becomes manifest.</w:t>
      </w:r>
    </w:p>
    <w:p w14:paraId="4AEE2E7A" w14:textId="77777777" w:rsidR="00E5138C" w:rsidRPr="00B9629C" w:rsidRDefault="00E5138C" w:rsidP="00D41161">
      <w:pPr>
        <w:pStyle w:val="ListParagraphNumbered"/>
        <w:rPr>
          <w:highlight w:val="darkGray"/>
        </w:rPr>
      </w:pPr>
      <w:r w:rsidRPr="00B9629C">
        <w:rPr>
          <w:highlight w:val="darkGray"/>
        </w:rPr>
        <w:t>Paradoxical: known condition on appropriate treatment becomes worse.</w:t>
      </w:r>
    </w:p>
    <w:p w14:paraId="15DED21E" w14:textId="77777777" w:rsidR="00E5138C" w:rsidRPr="00B9629C" w:rsidRDefault="00E5138C" w:rsidP="00B70986">
      <w:pPr>
        <w:pStyle w:val="Heading5"/>
        <w:rPr>
          <w:highlight w:val="darkGray"/>
        </w:rPr>
      </w:pPr>
      <w:r w:rsidRPr="00B9629C">
        <w:rPr>
          <w:highlight w:val="darkGray"/>
        </w:rPr>
        <w:t>DIAGNOSTIC CRITERIA</w:t>
      </w:r>
    </w:p>
    <w:p w14:paraId="202F8A03" w14:textId="77777777" w:rsidR="00E5138C" w:rsidRPr="00B9629C" w:rsidRDefault="00E5138C" w:rsidP="005E008F">
      <w:pPr>
        <w:pStyle w:val="ListParagraph"/>
        <w:rPr>
          <w:highlight w:val="darkGray"/>
        </w:rPr>
      </w:pPr>
      <w:r w:rsidRPr="00B9629C">
        <w:rPr>
          <w:highlight w:val="darkGray"/>
        </w:rPr>
        <w:t>Exclude other active or inadequately treated diseases (including DR-TB).</w:t>
      </w:r>
    </w:p>
    <w:p w14:paraId="5ACE6902" w14:textId="77777777" w:rsidR="00E5138C" w:rsidRPr="00B9629C" w:rsidRDefault="00E5138C" w:rsidP="005E008F">
      <w:pPr>
        <w:pStyle w:val="ListParagraph"/>
        <w:rPr>
          <w:highlight w:val="darkGray"/>
        </w:rPr>
      </w:pPr>
      <w:r w:rsidRPr="00B9629C">
        <w:rPr>
          <w:highlight w:val="darkGray"/>
        </w:rPr>
        <w:t>Presentation:</w:t>
      </w:r>
    </w:p>
    <w:p w14:paraId="3B9F5C5A" w14:textId="77777777" w:rsidR="00E5138C" w:rsidRPr="00B9629C" w:rsidRDefault="00E5138C" w:rsidP="009750A0">
      <w:pPr>
        <w:pStyle w:val="ListParagraph"/>
        <w:numPr>
          <w:ilvl w:val="1"/>
          <w:numId w:val="5"/>
        </w:numPr>
        <w:rPr>
          <w:highlight w:val="darkGray"/>
        </w:rPr>
      </w:pPr>
      <w:r w:rsidRPr="00B9629C">
        <w:rPr>
          <w:highlight w:val="darkGray"/>
        </w:rPr>
        <w:t>Usually during the first 6 weeks after starting ART.</w:t>
      </w:r>
    </w:p>
    <w:p w14:paraId="6BA6AE60" w14:textId="77777777" w:rsidR="00E5138C" w:rsidRPr="00B9629C" w:rsidRDefault="00E5138C" w:rsidP="009750A0">
      <w:pPr>
        <w:pStyle w:val="ListParagraph"/>
        <w:numPr>
          <w:ilvl w:val="1"/>
          <w:numId w:val="5"/>
        </w:numPr>
        <w:rPr>
          <w:highlight w:val="darkGray"/>
        </w:rPr>
      </w:pPr>
      <w:r w:rsidRPr="00B9629C">
        <w:rPr>
          <w:highlight w:val="darkGray"/>
        </w:rPr>
        <w:t>Depends on the causative organism and the organ system involved, e.g. TB presents with fever, lymphadenopathy, worsening of the original tuberculous lesion, and/or deteriorating chest radiographic manifestations such as miliary pattern or pleural effusion.</w:t>
      </w:r>
    </w:p>
    <w:p w14:paraId="6A9C2AED" w14:textId="77777777" w:rsidR="00E5138C" w:rsidRPr="00B9629C" w:rsidRDefault="00E5138C" w:rsidP="00B70986">
      <w:pPr>
        <w:pStyle w:val="Heading5"/>
        <w:rPr>
          <w:highlight w:val="darkGray"/>
        </w:rPr>
      </w:pPr>
      <w:r w:rsidRPr="00B9629C">
        <w:rPr>
          <w:highlight w:val="darkGray"/>
        </w:rPr>
        <w:t>REFERRAL</w:t>
      </w:r>
    </w:p>
    <w:p w14:paraId="0427A9AE" w14:textId="768122A5" w:rsidR="00E5138C" w:rsidRPr="00367F15" w:rsidRDefault="00E5138C" w:rsidP="005E008F">
      <w:pPr>
        <w:pStyle w:val="NoSpacing"/>
      </w:pPr>
      <w:r w:rsidRPr="00B9629C">
        <w:rPr>
          <w:highlight w:val="darkGray"/>
        </w:rPr>
        <w:t>All</w:t>
      </w:r>
      <w:r w:rsidR="00BB074E" w:rsidRPr="00B9629C">
        <w:rPr>
          <w:highlight w:val="darkGray"/>
        </w:rPr>
        <w:t xml:space="preserve"> patients</w:t>
      </w:r>
      <w:r w:rsidRPr="00B9629C">
        <w:rPr>
          <w:highlight w:val="darkGray"/>
        </w:rPr>
        <w:t>.</w:t>
      </w:r>
    </w:p>
    <w:bookmarkEnd w:id="2"/>
    <w:bookmarkEnd w:id="3"/>
    <w:p w14:paraId="1099C76D" w14:textId="3C296A4F" w:rsidR="00A86045" w:rsidRPr="00367F15" w:rsidRDefault="00A86045" w:rsidP="00A53333"/>
    <w:p w14:paraId="4EA12048" w14:textId="77777777" w:rsidR="00840AAC" w:rsidRPr="00367F15" w:rsidRDefault="00840AAC" w:rsidP="00A53333"/>
    <w:p w14:paraId="16604C9D" w14:textId="77777777" w:rsidR="00840AAC" w:rsidRPr="00367F15" w:rsidRDefault="00840AAC" w:rsidP="00A53333"/>
    <w:p w14:paraId="0767F071" w14:textId="77777777" w:rsidR="00840AAC" w:rsidRPr="00367F15" w:rsidRDefault="00840AAC" w:rsidP="00A53333"/>
    <w:p w14:paraId="397FC484" w14:textId="77777777" w:rsidR="00840AAC" w:rsidRPr="00367F15" w:rsidRDefault="00840AAC" w:rsidP="00A53333"/>
    <w:p w14:paraId="75A2CEE5" w14:textId="77777777" w:rsidR="00840AAC" w:rsidRPr="00367F15" w:rsidRDefault="00840AAC" w:rsidP="00A53333"/>
    <w:p w14:paraId="01E82A52" w14:textId="77777777" w:rsidR="00840AAC" w:rsidRPr="00367F15" w:rsidRDefault="00840AAC" w:rsidP="00A53333"/>
    <w:p w14:paraId="42AC3A78" w14:textId="77777777" w:rsidR="00840AAC" w:rsidRPr="00367F15" w:rsidRDefault="00840AAC" w:rsidP="00A53333"/>
    <w:p w14:paraId="644BEDA7" w14:textId="77777777" w:rsidR="00840AAC" w:rsidRPr="00367F15" w:rsidRDefault="00840AAC" w:rsidP="00A53333"/>
    <w:p w14:paraId="4FE90B44" w14:textId="77777777" w:rsidR="00840AAC" w:rsidRPr="00367F15" w:rsidRDefault="00840AAC" w:rsidP="00A53333"/>
    <w:p w14:paraId="3A620340" w14:textId="77777777" w:rsidR="00840AAC" w:rsidRPr="00367F15" w:rsidRDefault="00840AAC" w:rsidP="00A53333"/>
    <w:p w14:paraId="5D237608" w14:textId="77777777" w:rsidR="00840AAC" w:rsidRPr="00367F15" w:rsidRDefault="00840AAC" w:rsidP="00A53333"/>
    <w:p w14:paraId="3473EB32" w14:textId="77777777" w:rsidR="00840AAC" w:rsidRPr="00367F15" w:rsidRDefault="00840AAC" w:rsidP="00A53333"/>
    <w:p w14:paraId="5E12B248" w14:textId="77777777" w:rsidR="00840AAC" w:rsidRPr="00367F15" w:rsidRDefault="00840AAC" w:rsidP="00A53333"/>
    <w:sectPr w:rsidR="00840AAC" w:rsidRPr="00367F15" w:rsidSect="00017245">
      <w:endnotePr>
        <w:numFmt w:val="decimal"/>
      </w:endnotePr>
      <w:pgSz w:w="8391" w:h="11906" w:code="11"/>
      <w:pgMar w:top="850" w:right="850" w:bottom="850" w:left="850" w:header="706" w:footer="706" w:gutter="0"/>
      <w:pgNumType w:chapStyle="1" w:chapSep="period"/>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9217C" w14:textId="77777777" w:rsidR="00F80853" w:rsidRPr="00367F15" w:rsidRDefault="00F80853" w:rsidP="00AD1B9A">
      <w:pPr>
        <w:rPr>
          <w:b/>
          <w:bCs/>
          <w:sz w:val="12"/>
          <w:szCs w:val="12"/>
        </w:rPr>
      </w:pPr>
      <w:r w:rsidRPr="00367F15">
        <w:rPr>
          <w:b/>
          <w:bCs/>
          <w:sz w:val="12"/>
          <w:szCs w:val="12"/>
        </w:rPr>
        <w:t>References:</w:t>
      </w:r>
    </w:p>
  </w:endnote>
  <w:endnote w:type="continuationSeparator" w:id="0">
    <w:p w14:paraId="121D04F9" w14:textId="77777777" w:rsidR="00F80853" w:rsidRPr="00367F15" w:rsidRDefault="00F80853" w:rsidP="006C0A38">
      <w:pPr>
        <w:pStyle w:val="Footer"/>
        <w:pBdr>
          <w:top w:val="none" w:sz="0" w:space="0" w:color="auto"/>
        </w:pBdr>
        <w:rPr>
          <w:sz w:val="12"/>
          <w:szCs w:val="12"/>
        </w:rPr>
      </w:pPr>
    </w:p>
  </w:endnote>
  <w:endnote w:type="continuationNotice" w:id="1">
    <w:p w14:paraId="0CC2D862" w14:textId="77777777" w:rsidR="00F80853" w:rsidRPr="00367F15" w:rsidRDefault="00F80853">
      <w:pPr>
        <w:spacing w:before="0" w:after="0"/>
        <w:rPr>
          <w:sz w:val="12"/>
          <w:szCs w:val="12"/>
        </w:rPr>
      </w:pPr>
    </w:p>
  </w:endnote>
  <w:endnote w:id="2">
    <w:p w14:paraId="2FC6B953" w14:textId="77777777" w:rsidR="00B9629C" w:rsidRPr="00424607" w:rsidRDefault="00B9629C" w:rsidP="00840AAC">
      <w:pPr>
        <w:pStyle w:val="FootnoteText"/>
        <w:jc w:val="both"/>
        <w:rPr>
          <w:sz w:val="12"/>
          <w:szCs w:val="12"/>
          <w:lang w:val="en-ZA"/>
        </w:rPr>
      </w:pPr>
      <w:r w:rsidRPr="00424607">
        <w:rPr>
          <w:rStyle w:val="EndnoteReference"/>
          <w:lang w:val="en-ZA"/>
        </w:rPr>
        <w:endnoteRef/>
      </w:r>
      <w:r w:rsidRPr="00424607">
        <w:rPr>
          <w:sz w:val="12"/>
          <w:szCs w:val="12"/>
          <w:lang w:val="en-ZA"/>
        </w:rPr>
        <w:tab/>
        <w:t>South African National Department of Health. 2023 Antiretroviral Therapy Clinical Guidelines for the Management of HIV in Adults, Pregnancy and Breastfeeding, Adolescents, Children, Infants and Neonates. April 2023.</w:t>
      </w:r>
    </w:p>
  </w:endnote>
  <w:endnote w:id="3">
    <w:p w14:paraId="42ACA9CE" w14:textId="415674A0" w:rsidR="00B9629C" w:rsidRPr="00424607" w:rsidRDefault="00B9629C" w:rsidP="00840AAC">
      <w:pPr>
        <w:pStyle w:val="FootnoteText"/>
        <w:jc w:val="both"/>
        <w:rPr>
          <w:rFonts w:cs="Arial"/>
          <w:sz w:val="12"/>
          <w:szCs w:val="12"/>
          <w:lang w:val="en-ZA"/>
        </w:rPr>
      </w:pPr>
      <w:r w:rsidRPr="00424607">
        <w:rPr>
          <w:rStyle w:val="EndnoteReference"/>
          <w:lang w:val="en-ZA"/>
        </w:rPr>
        <w:endnoteRef/>
      </w:r>
      <w:r w:rsidRPr="00424607">
        <w:rPr>
          <w:sz w:val="12"/>
          <w:szCs w:val="12"/>
          <w:lang w:val="en-ZA"/>
        </w:rPr>
        <w:tab/>
        <w:t>Eligibility for ART:</w:t>
      </w:r>
      <w:r w:rsidRPr="00424607">
        <w:rPr>
          <w:lang w:val="en-ZA"/>
        </w:rPr>
        <w:t xml:space="preserve"> </w:t>
      </w:r>
      <w:r w:rsidRPr="00424607">
        <w:rPr>
          <w:rFonts w:cs="Arial"/>
          <w:sz w:val="12"/>
          <w:szCs w:val="12"/>
          <w:lang w:val="en-ZA"/>
        </w:rPr>
        <w:t xml:space="preserve">INSIGHT START Study Group, Lundgren JD, Babiker AG, Gordin F, Emery S, Grund B, Sharma S, Avihingsanon A, Cooper DA, Fätkenheuer G, Llibre JM, Molina JM, Munderi P, Schechter M, Wood R, Klingman KL, Collins S, Lane HC, Phillips AN, Neaton JD. Initiation of Antiretroviral Therapy in Early Asymptomatic HIV Infection. N Engl J Med. 2015 Aug 27;373(9):795-807. </w:t>
      </w:r>
      <w:hyperlink r:id="rId1" w:history="1">
        <w:r w:rsidRPr="00424607">
          <w:rPr>
            <w:rStyle w:val="Hyperlink"/>
            <w:rFonts w:eastAsiaTheme="majorEastAsia" w:cs="Arial"/>
            <w:sz w:val="12"/>
            <w:szCs w:val="12"/>
            <w:lang w:val="en-ZA"/>
          </w:rPr>
          <w:t>http://www.ncbi.nlm.nih.gov/pubmed/26192873</w:t>
        </w:r>
      </w:hyperlink>
    </w:p>
    <w:p w14:paraId="74FB2910" w14:textId="77777777" w:rsidR="00B9629C" w:rsidRPr="00424607" w:rsidRDefault="00B9629C" w:rsidP="00840AAC">
      <w:pPr>
        <w:pStyle w:val="FootnoteText"/>
        <w:tabs>
          <w:tab w:val="left" w:pos="142"/>
        </w:tabs>
        <w:jc w:val="both"/>
        <w:rPr>
          <w:rStyle w:val="Hyperlink"/>
          <w:rFonts w:eastAsiaTheme="majorEastAsia" w:cs="Arial"/>
          <w:sz w:val="12"/>
          <w:szCs w:val="12"/>
          <w:lang w:val="en-ZA"/>
        </w:rPr>
      </w:pPr>
      <w:r w:rsidRPr="00424607">
        <w:rPr>
          <w:rStyle w:val="FootnoteReference"/>
          <w:rFonts w:cs="Arial"/>
          <w:sz w:val="12"/>
          <w:szCs w:val="12"/>
          <w:lang w:val="en-ZA"/>
        </w:rPr>
        <w:tab/>
      </w:r>
      <w:r w:rsidRPr="00424607">
        <w:rPr>
          <w:rFonts w:cs="Arial"/>
          <w:sz w:val="12"/>
          <w:szCs w:val="12"/>
          <w:lang w:val="en-ZA"/>
        </w:rPr>
        <w:t xml:space="preserve">Eligibility for ART: TEMPRANO ANRS 12136 Study Group. A Trial of Early Antiretrovirals and Isoniazid Preventive Therapy in Africa. N Engl J Med. 2015 Aug 27;373(9):808-22. </w:t>
      </w:r>
      <w:hyperlink r:id="rId2" w:history="1">
        <w:r w:rsidRPr="00424607">
          <w:rPr>
            <w:rStyle w:val="Hyperlink"/>
            <w:rFonts w:eastAsiaTheme="majorEastAsia" w:cs="Arial"/>
            <w:sz w:val="12"/>
            <w:szCs w:val="12"/>
            <w:lang w:val="en-ZA"/>
          </w:rPr>
          <w:t>http://www.ncbi.nlm.nih.gov/pubmed/26193126</w:t>
        </w:r>
      </w:hyperlink>
    </w:p>
    <w:p w14:paraId="626333DC" w14:textId="77777777" w:rsidR="00B9629C" w:rsidRPr="00424607" w:rsidRDefault="00B9629C" w:rsidP="00840AAC">
      <w:pPr>
        <w:pStyle w:val="FootnoteText"/>
        <w:tabs>
          <w:tab w:val="left" w:pos="142"/>
        </w:tabs>
        <w:jc w:val="both"/>
        <w:rPr>
          <w:rFonts w:cs="Arial"/>
          <w:sz w:val="12"/>
          <w:szCs w:val="12"/>
          <w:lang w:val="en-ZA"/>
        </w:rPr>
      </w:pPr>
      <w:r w:rsidRPr="00424607">
        <w:rPr>
          <w:rStyle w:val="Hyperlink"/>
          <w:rFonts w:eastAsiaTheme="majorEastAsia" w:cs="Arial"/>
          <w:sz w:val="12"/>
          <w:szCs w:val="12"/>
          <w:u w:val="none"/>
          <w:lang w:val="en-ZA"/>
        </w:rPr>
        <w:tab/>
      </w:r>
      <w:r w:rsidRPr="00424607">
        <w:rPr>
          <w:rFonts w:cs="Arial"/>
          <w:sz w:val="12"/>
          <w:szCs w:val="12"/>
          <w:lang w:val="en-ZA"/>
        </w:rPr>
        <w:t xml:space="preserve">Eligibility for ART- Immediate initiation of ART: Rosen S, Maskew M, Fox MP, Nyoni C, Mongwenyana C, Malete G, Sanne I, Bokaba D, Sauls C, Rohr J, Long L. Initiating Antiretroviral Therapy for HIV at a Patient's First Clinic Visit: The RapIT Randomized Controlled Trial. PLoS Med. 2016 May 10;13(5):e1002015. </w:t>
      </w:r>
      <w:hyperlink r:id="rId3" w:history="1">
        <w:r w:rsidRPr="00424607">
          <w:rPr>
            <w:rStyle w:val="Hyperlink"/>
            <w:rFonts w:eastAsiaTheme="majorEastAsia" w:cs="Arial"/>
            <w:sz w:val="12"/>
            <w:szCs w:val="12"/>
            <w:lang w:val="en-ZA"/>
          </w:rPr>
          <w:t>https://www.ncbi.nlm.nih.gov/pubmed/27163694</w:t>
        </w:r>
      </w:hyperlink>
    </w:p>
    <w:p w14:paraId="3090001D" w14:textId="6FB592C5" w:rsidR="00B9629C" w:rsidRPr="00367F15" w:rsidRDefault="00B9629C" w:rsidP="00840AAC">
      <w:pPr>
        <w:pStyle w:val="EndnoteText"/>
        <w:spacing w:before="0" w:after="0"/>
        <w:jc w:val="both"/>
      </w:pPr>
      <w:r w:rsidRPr="00367F15">
        <w:rPr>
          <w:rFonts w:cs="Arial"/>
          <w:szCs w:val="12"/>
        </w:rPr>
        <w:tab/>
        <w:t xml:space="preserve">Eligibility for ART- Immediate initiation of ART: </w:t>
      </w:r>
      <w:r w:rsidRPr="00367F15">
        <w:rPr>
          <w:szCs w:val="12"/>
        </w:rPr>
        <w:t xml:space="preserve">National Department of Health: National Consolidated Guidelines for the Management of HIV in Adults, Adolescents, Children and Infants and Prevention of Mother-to-Child Transmission, June 2020. </w:t>
      </w:r>
      <w:hyperlink r:id="rId4" w:history="1">
        <w:r w:rsidRPr="00367F15">
          <w:rPr>
            <w:rStyle w:val="Hyperlink"/>
            <w:szCs w:val="12"/>
          </w:rPr>
          <w:t>https://www.knowledgehub.org.za/elibrary/national-consolidated-guidelines-management-hiv-adults-adolescents-children-and-infants</w:t>
        </w:r>
      </w:hyperlink>
    </w:p>
  </w:endnote>
  <w:endnote w:id="4">
    <w:p w14:paraId="40BF22DA" w14:textId="1A26647A" w:rsidR="00B9629C" w:rsidRPr="00367F15" w:rsidRDefault="00B9629C" w:rsidP="00840AAC">
      <w:pPr>
        <w:tabs>
          <w:tab w:val="left" w:pos="142"/>
        </w:tabs>
        <w:autoSpaceDE w:val="0"/>
        <w:autoSpaceDN w:val="0"/>
        <w:adjustRightInd w:val="0"/>
        <w:spacing w:before="0" w:after="0"/>
        <w:jc w:val="both"/>
        <w:rPr>
          <w:rFonts w:cs="Arial"/>
          <w:sz w:val="12"/>
          <w:szCs w:val="12"/>
        </w:rPr>
      </w:pPr>
      <w:r w:rsidRPr="00367F15">
        <w:rPr>
          <w:rStyle w:val="EndnoteReference"/>
        </w:rPr>
        <w:endnoteRef/>
      </w:r>
      <w:r w:rsidRPr="00367F15">
        <w:tab/>
      </w:r>
      <w:r w:rsidRPr="00367F15">
        <w:rPr>
          <w:rFonts w:cs="Arial"/>
          <w:sz w:val="12"/>
          <w:szCs w:val="12"/>
        </w:rPr>
        <w:t xml:space="preserve">Immediate initiation of ART, </w:t>
      </w:r>
      <w:r w:rsidRPr="00367F15">
        <w:rPr>
          <w:rFonts w:cs="Arial"/>
          <w:color w:val="000000"/>
          <w:sz w:val="12"/>
          <w:szCs w:val="12"/>
          <w:lang w:eastAsia="en-ZA"/>
        </w:rPr>
        <w:t>pregnant and breastfeeding women:</w:t>
      </w:r>
      <w:r w:rsidRPr="00367F15">
        <w:rPr>
          <w:sz w:val="12"/>
          <w:szCs w:val="12"/>
        </w:rPr>
        <w:t xml:space="preserve"> National Department of Health: Affordable Medicines, EDP-Adult Hospital level. Medicine Review: Dolutegravir in pregnant women and women of child-bearing potential (WOCP), 17 June 2021. </w:t>
      </w:r>
      <w:hyperlink r:id="rId5" w:history="1">
        <w:r w:rsidRPr="00367F15">
          <w:rPr>
            <w:rStyle w:val="Hyperlink"/>
            <w:sz w:val="12"/>
            <w:szCs w:val="12"/>
          </w:rPr>
          <w:t>https://www.knowledgehub.org.za/content/standard-treatment-guidelines-and-essential-medicines-list</w:t>
        </w:r>
      </w:hyperlink>
      <w:r w:rsidRPr="00367F15">
        <w:rPr>
          <w:rStyle w:val="Hyperlink"/>
          <w:sz w:val="12"/>
          <w:szCs w:val="12"/>
        </w:rPr>
        <w:t xml:space="preserve"> </w:t>
      </w:r>
    </w:p>
    <w:p w14:paraId="48696A13" w14:textId="63BD3615" w:rsidR="00B9629C" w:rsidRPr="00367F15" w:rsidRDefault="00B9629C" w:rsidP="00840AAC">
      <w:pPr>
        <w:pStyle w:val="EndnoteText"/>
        <w:spacing w:before="0" w:after="0"/>
        <w:jc w:val="both"/>
      </w:pPr>
      <w:r w:rsidRPr="00367F15">
        <w:rPr>
          <w:rFonts w:cs="Arial"/>
          <w:szCs w:val="12"/>
        </w:rPr>
        <w:tab/>
        <w:t xml:space="preserve">Immediate initiation of ART, </w:t>
      </w:r>
      <w:r w:rsidRPr="00367F15">
        <w:rPr>
          <w:rFonts w:cs="Arial"/>
          <w:color w:val="000000"/>
          <w:szCs w:val="12"/>
          <w:lang w:eastAsia="en-ZA"/>
        </w:rPr>
        <w:t xml:space="preserve">pregnant and breastfeeding women: WHO. Consolidated guidelines on HIV prevention, testing, treatment, service delivery and monitoring: recommendations for a public health approach, July 2021. </w:t>
      </w:r>
      <w:hyperlink r:id="rId6" w:history="1">
        <w:r w:rsidRPr="00367F15">
          <w:rPr>
            <w:rStyle w:val="Hyperlink"/>
            <w:rFonts w:cs="Arial"/>
            <w:szCs w:val="12"/>
            <w:lang w:eastAsia="en-ZA"/>
          </w:rPr>
          <w:t>https://www.who.int/publications/i/item/9789240031593</w:t>
        </w:r>
      </w:hyperlink>
    </w:p>
  </w:endnote>
  <w:endnote w:id="5">
    <w:p w14:paraId="2262672A" w14:textId="77777777" w:rsidR="00B9629C" w:rsidRPr="00367F15" w:rsidRDefault="00B9629C" w:rsidP="00840AAC">
      <w:pPr>
        <w:pStyle w:val="EndnoteText"/>
        <w:spacing w:before="0" w:after="0"/>
        <w:jc w:val="both"/>
        <w:rPr>
          <w:rFonts w:cs="Arial"/>
          <w:spacing w:val="-2"/>
          <w:szCs w:val="12"/>
        </w:rPr>
      </w:pPr>
      <w:r w:rsidRPr="00367F15">
        <w:rPr>
          <w:rStyle w:val="EndnoteReference"/>
        </w:rPr>
        <w:endnoteRef/>
      </w:r>
      <w:r w:rsidRPr="00367F15">
        <w:rPr>
          <w:rFonts w:cs="Arial"/>
          <w:spacing w:val="-2"/>
          <w:szCs w:val="12"/>
        </w:rPr>
        <w:t>Timing of ART initiation (pulmonary TB): Uthman OA, Okwundu C, Gbenga K, Volmink J, Dowdy D, Zumla A,Nachega JB. Optimal Timing of Antiretroviral Therapy Initiation for HIV-Infected Adults With  Newly Diagnosed Pulmonary Tuberculosis: A Systematic Review and Meta-analysis. Ann Intern Med. 2015 Jul 7;163(1):32-9.</w:t>
      </w:r>
      <w:hyperlink r:id="rId7" w:history="1">
        <w:r w:rsidRPr="00367F15">
          <w:rPr>
            <w:rStyle w:val="Hyperlink"/>
            <w:rFonts w:cs="Arial"/>
            <w:spacing w:val="-2"/>
            <w:szCs w:val="12"/>
          </w:rPr>
          <w:t>http://www.ncbi.nlm.nih.gov/pubmed/26148280</w:t>
        </w:r>
      </w:hyperlink>
    </w:p>
  </w:endnote>
  <w:endnote w:id="6">
    <w:p w14:paraId="48AD860D" w14:textId="77777777" w:rsidR="00B9629C" w:rsidRPr="00367F15" w:rsidRDefault="00B9629C" w:rsidP="00840AAC">
      <w:pPr>
        <w:pStyle w:val="EndnoteText"/>
        <w:spacing w:before="0" w:after="0"/>
        <w:jc w:val="both"/>
        <w:rPr>
          <w:rFonts w:cs="Arial"/>
          <w:spacing w:val="-2"/>
          <w:szCs w:val="12"/>
        </w:rPr>
      </w:pPr>
      <w:r w:rsidRPr="00367F15">
        <w:rPr>
          <w:rStyle w:val="EndnoteReference"/>
        </w:rPr>
        <w:endnoteRef/>
      </w:r>
      <w:r w:rsidRPr="00367F15">
        <w:rPr>
          <w:rFonts w:cs="Arial"/>
          <w:spacing w:val="-2"/>
          <w:szCs w:val="12"/>
        </w:rPr>
        <w:t xml:space="preserve">Timing of ART initiation (tuberculous meningitis): Török ME, Yen NT, Chau TT, Mai NT, Phu NH, Mai PP, Dung NT, Chau NV, Bang ND,  Tien NA, Minh NH, Hien NQ, Thai PV, Dong DT, Anh do TT, Thoa NT, Hai NN, Lan NN, </w:t>
      </w:r>
    </w:p>
    <w:p w14:paraId="43FC8BCC" w14:textId="77777777" w:rsidR="00B9629C" w:rsidRPr="00367F15" w:rsidRDefault="00B9629C" w:rsidP="00840AAC">
      <w:pPr>
        <w:pStyle w:val="EndnoteText"/>
        <w:spacing w:before="0" w:after="0"/>
        <w:jc w:val="both"/>
        <w:rPr>
          <w:rFonts w:cs="Arial"/>
          <w:spacing w:val="-2"/>
          <w:szCs w:val="12"/>
        </w:rPr>
      </w:pPr>
      <w:r w:rsidRPr="00367F15">
        <w:rPr>
          <w:rFonts w:cs="Arial"/>
          <w:spacing w:val="-2"/>
          <w:szCs w:val="12"/>
        </w:rPr>
        <w:t>Lan NT, Quy HT, Dung NH, Hien TT, Chinh NT, Simmons CP, de Jong M, Wolbers M, Farrar JJ. Timing of initiation of antiretroviral therapy in human immunodeficiency virus (HIV)--associated tuberculous meningitis. Clin Infect Dis.</w:t>
      </w:r>
    </w:p>
    <w:p w14:paraId="4A8BDA3D" w14:textId="77777777" w:rsidR="00B9629C" w:rsidRPr="00367F15" w:rsidRDefault="00B9629C" w:rsidP="00840AAC">
      <w:pPr>
        <w:pStyle w:val="EndnoteText"/>
        <w:spacing w:before="0" w:after="0"/>
        <w:jc w:val="both"/>
      </w:pPr>
      <w:r w:rsidRPr="00367F15">
        <w:rPr>
          <w:rFonts w:cs="Arial"/>
          <w:spacing w:val="-2"/>
          <w:szCs w:val="12"/>
        </w:rPr>
        <w:t xml:space="preserve">2011 Jun;52(11):1374-83. </w:t>
      </w:r>
      <w:hyperlink r:id="rId8" w:history="1">
        <w:r w:rsidRPr="00367F15">
          <w:rPr>
            <w:rStyle w:val="Hyperlink"/>
            <w:rFonts w:cs="Arial"/>
            <w:spacing w:val="-2"/>
            <w:szCs w:val="12"/>
          </w:rPr>
          <w:t>http://www.ncbi.nlm.nih.gov/pubmed/21596680</w:t>
        </w:r>
      </w:hyperlink>
    </w:p>
  </w:endnote>
  <w:endnote w:id="7">
    <w:p w14:paraId="48A6CAB7" w14:textId="77777777" w:rsidR="00B9629C" w:rsidRPr="00367F15" w:rsidRDefault="00B9629C" w:rsidP="00840AAC">
      <w:pPr>
        <w:pStyle w:val="EndnoteText"/>
        <w:tabs>
          <w:tab w:val="left" w:pos="90"/>
        </w:tabs>
        <w:spacing w:before="0" w:after="0"/>
        <w:jc w:val="both"/>
        <w:rPr>
          <w:rFonts w:cs="Arial"/>
          <w:spacing w:val="-2"/>
          <w:szCs w:val="12"/>
        </w:rPr>
      </w:pPr>
      <w:r w:rsidRPr="00367F15">
        <w:rPr>
          <w:rStyle w:val="EndnoteReference"/>
          <w:rFonts w:cs="Arial"/>
          <w:spacing w:val="-2"/>
        </w:rPr>
        <w:endnoteRef/>
      </w:r>
      <w:r w:rsidRPr="00367F15">
        <w:rPr>
          <w:rFonts w:cs="Arial"/>
          <w:spacing w:val="-2"/>
          <w:szCs w:val="12"/>
        </w:rPr>
        <w:tab/>
        <w:t xml:space="preserve">Timing of ART initiation (cryptococcal meningitis): Eshun-Wilson I, Okwen MP, Richardson M, Bicanic T. Early versus delayed antiretroviral treatment in HIV-positive people with cryptococcal meningitis. Cochrane Database Syst Rev. 2018 Jul 24;7(7):CD009012. </w:t>
      </w:r>
      <w:hyperlink r:id="rId9" w:history="1">
        <w:r w:rsidRPr="00367F15">
          <w:rPr>
            <w:rStyle w:val="Hyperlink"/>
            <w:rFonts w:cs="Arial"/>
            <w:spacing w:val="-2"/>
            <w:szCs w:val="12"/>
          </w:rPr>
          <w:t>https://pubmed.ncbi.nlm.nih.gov/30039850/</w:t>
        </w:r>
      </w:hyperlink>
      <w:r w:rsidRPr="00367F15">
        <w:rPr>
          <w:rFonts w:cs="Arial"/>
          <w:spacing w:val="-2"/>
          <w:szCs w:val="12"/>
        </w:rPr>
        <w:t xml:space="preserve">  </w:t>
      </w:r>
    </w:p>
    <w:p w14:paraId="41BBABD7" w14:textId="77777777" w:rsidR="00B9629C" w:rsidRPr="00367F15" w:rsidRDefault="00B9629C" w:rsidP="00840AAC">
      <w:pPr>
        <w:pStyle w:val="EndnoteText"/>
        <w:tabs>
          <w:tab w:val="left" w:pos="90"/>
        </w:tabs>
        <w:spacing w:before="0" w:after="0"/>
        <w:jc w:val="both"/>
        <w:rPr>
          <w:rFonts w:cs="Arial"/>
          <w:spacing w:val="-2"/>
          <w:szCs w:val="12"/>
        </w:rPr>
      </w:pPr>
      <w:r w:rsidRPr="00367F15">
        <w:rPr>
          <w:rFonts w:cs="Arial"/>
          <w:spacing w:val="-2"/>
          <w:szCs w:val="12"/>
        </w:rPr>
        <w:t xml:space="preserve">Timing of ART initiation (cryptococcal meningitis): National Department of Health: National Consolidated Guidelines for the Management of HIV in Adults, Adolescents, Children and Infants and Prevention of Mother-to-Child Transmission, June 2020. </w:t>
      </w:r>
      <w:hyperlink r:id="rId10" w:history="1">
        <w:r w:rsidRPr="00367F15">
          <w:rPr>
            <w:rStyle w:val="Hyperlink"/>
            <w:rFonts w:cs="Arial"/>
            <w:spacing w:val="-2"/>
            <w:szCs w:val="12"/>
          </w:rPr>
          <w:t>https://www.knowledgehub.org.za/elibrary/national-consolidated-guidelines-management-hiv-adults-adolescents-children-and-infants</w:t>
        </w:r>
      </w:hyperlink>
      <w:r w:rsidRPr="00367F15">
        <w:rPr>
          <w:rFonts w:cs="Arial"/>
          <w:spacing w:val="-2"/>
          <w:szCs w:val="12"/>
        </w:rPr>
        <w:t xml:space="preserve"> </w:t>
      </w:r>
    </w:p>
    <w:p w14:paraId="211CEF48" w14:textId="57BC3D62" w:rsidR="00B9629C" w:rsidRPr="00367F15" w:rsidRDefault="00B9629C" w:rsidP="00840AAC">
      <w:pPr>
        <w:pStyle w:val="EndnoteText"/>
        <w:tabs>
          <w:tab w:val="left" w:pos="90"/>
        </w:tabs>
        <w:spacing w:before="0" w:after="0"/>
        <w:jc w:val="both"/>
        <w:rPr>
          <w:rFonts w:cs="Arial"/>
          <w:spacing w:val="-2"/>
          <w:szCs w:val="12"/>
        </w:rPr>
      </w:pPr>
      <w:r w:rsidRPr="00367F15">
        <w:rPr>
          <w:rFonts w:cs="Arial"/>
          <w:spacing w:val="-2"/>
          <w:szCs w:val="12"/>
        </w:rPr>
        <w:tab/>
        <w:t xml:space="preserve">Timing of ART initiation (cryptococcal meningitis): WHO. Consolidated guidelines on HIV prevention, testing, treatment, service delivery and monitoring: recommendations for a public health approach, July 2021. </w:t>
      </w:r>
      <w:hyperlink r:id="rId11" w:history="1">
        <w:r w:rsidRPr="00367F15">
          <w:rPr>
            <w:rStyle w:val="Hyperlink"/>
            <w:rFonts w:cs="Arial"/>
            <w:spacing w:val="-2"/>
            <w:szCs w:val="12"/>
          </w:rPr>
          <w:t>https://www.who.int/publications/i/item/9789240031593</w:t>
        </w:r>
      </w:hyperlink>
    </w:p>
  </w:endnote>
  <w:endnote w:id="8">
    <w:p w14:paraId="567761A1" w14:textId="22E50CAA" w:rsidR="00B9629C" w:rsidRPr="00367F15" w:rsidRDefault="00B9629C" w:rsidP="00840AAC">
      <w:pPr>
        <w:pStyle w:val="EndnoteText"/>
        <w:tabs>
          <w:tab w:val="left" w:pos="90"/>
        </w:tabs>
        <w:spacing w:before="0" w:after="0"/>
        <w:jc w:val="both"/>
        <w:rPr>
          <w:rFonts w:cs="Arial"/>
          <w:spacing w:val="-2"/>
          <w:szCs w:val="12"/>
        </w:rPr>
      </w:pPr>
      <w:r w:rsidRPr="00367F15">
        <w:rPr>
          <w:rStyle w:val="EndnoteReference"/>
          <w:rFonts w:cs="Arial"/>
          <w:spacing w:val="-2"/>
        </w:rPr>
        <w:endnoteRef/>
      </w:r>
      <w:r w:rsidRPr="00367F15">
        <w:rPr>
          <w:rFonts w:cs="Arial"/>
          <w:spacing w:val="-2"/>
          <w:szCs w:val="12"/>
        </w:rPr>
        <w:tab/>
        <w:t xml:space="preserve">Timing of ART initiation (asymptomatic cryptococcosis): Govender NP, Meintjes G, Mangena P, Nel J, Potgieter S, Reddy D, Rabie H, et al. Southern African HIV Clinicians Society guideline for the prevention, diagnosis and management of cryptococcal disease among HIV-infected persons: 2019 update. South Afr J HIV Med. 2019 Nov 8;20(1):1030. </w:t>
      </w:r>
      <w:hyperlink r:id="rId12" w:history="1">
        <w:r w:rsidRPr="00367F15">
          <w:rPr>
            <w:rStyle w:val="Hyperlink"/>
            <w:rFonts w:cs="Arial"/>
            <w:spacing w:val="-2"/>
            <w:szCs w:val="12"/>
          </w:rPr>
          <w:t>https://pubmed.ncbi.nlm.nih.gov/32201629/</w:t>
        </w:r>
      </w:hyperlink>
      <w:r w:rsidRPr="00367F15">
        <w:rPr>
          <w:rFonts w:cs="Arial"/>
          <w:spacing w:val="-2"/>
          <w:szCs w:val="12"/>
        </w:rPr>
        <w:t xml:space="preserve"> </w:t>
      </w:r>
    </w:p>
  </w:endnote>
  <w:endnote w:id="9">
    <w:p w14:paraId="24F95592" w14:textId="7D2D8CD1" w:rsidR="00B9629C" w:rsidRPr="00367F15" w:rsidRDefault="00B9629C" w:rsidP="00840AAC">
      <w:pPr>
        <w:pStyle w:val="EndnoteText"/>
        <w:spacing w:before="0" w:after="0"/>
        <w:jc w:val="both"/>
      </w:pPr>
      <w:r w:rsidRPr="00367F15">
        <w:rPr>
          <w:rStyle w:val="EndnoteReference"/>
        </w:rPr>
        <w:endnoteRef/>
      </w:r>
      <w:r w:rsidRPr="00367F15">
        <w:tab/>
      </w:r>
      <w:r w:rsidRPr="00367F15">
        <w:rPr>
          <w:szCs w:val="12"/>
        </w:rPr>
        <w:t xml:space="preserve">Psychosocial indicators of readiness for ART: </w:t>
      </w:r>
      <w:r w:rsidRPr="00367F15">
        <w:rPr>
          <w:rFonts w:cs="Arial"/>
          <w:spacing w:val="-2"/>
          <w:szCs w:val="12"/>
        </w:rPr>
        <w:t xml:space="preserve">WHO. Consolidated guidelines on HIV prevention, testing, treatment, service delivery and monitoring: recommendations for a public health approach, July 2021. </w:t>
      </w:r>
      <w:hyperlink r:id="rId13" w:history="1">
        <w:r w:rsidRPr="00367F15">
          <w:rPr>
            <w:rStyle w:val="Hyperlink"/>
            <w:rFonts w:cs="Arial"/>
            <w:spacing w:val="-2"/>
            <w:szCs w:val="12"/>
          </w:rPr>
          <w:t>https://www.who.int/publications/i/item/9789240031593</w:t>
        </w:r>
      </w:hyperlink>
      <w:r w:rsidRPr="00367F15">
        <w:rPr>
          <w:rFonts w:cs="Arial"/>
          <w:spacing w:val="-2"/>
          <w:szCs w:val="12"/>
        </w:rPr>
        <w:t xml:space="preserve">  </w:t>
      </w:r>
      <w:r w:rsidRPr="00367F15">
        <w:rPr>
          <w:rStyle w:val="Strong"/>
          <w:b w:val="0"/>
          <w:bCs w:val="0"/>
        </w:rPr>
        <w:t xml:space="preserve"> </w:t>
      </w:r>
    </w:p>
  </w:endnote>
  <w:endnote w:id="10">
    <w:p w14:paraId="74F92254" w14:textId="1775D2BB" w:rsidR="00B9629C" w:rsidRPr="00367F15" w:rsidRDefault="00B9629C" w:rsidP="00840AAC">
      <w:pPr>
        <w:jc w:val="both"/>
        <w:rPr>
          <w:sz w:val="20"/>
          <w:szCs w:val="20"/>
        </w:rPr>
      </w:pPr>
      <w:r w:rsidRPr="00367F15">
        <w:rPr>
          <w:rStyle w:val="EndnoteReference"/>
        </w:rPr>
        <w:endnoteRef/>
      </w:r>
      <w:r w:rsidRPr="00367F15">
        <w:rPr>
          <w:sz w:val="12"/>
          <w:szCs w:val="12"/>
        </w:rPr>
        <w:t>Dolutegravir, oral (first-line ART):</w:t>
      </w:r>
      <w:r w:rsidRPr="00367F15">
        <w:rPr>
          <w:rFonts w:cs="Arial"/>
          <w:spacing w:val="-2"/>
        </w:rPr>
        <w:t xml:space="preserve"> </w:t>
      </w:r>
      <w:r w:rsidRPr="00367F15">
        <w:rPr>
          <w:rFonts w:cs="Arial"/>
          <w:spacing w:val="-2"/>
          <w:sz w:val="12"/>
          <w:szCs w:val="12"/>
        </w:rPr>
        <w:t>National Department of Health: Affordable Medicines, EDP-Adult Hospital level. Medicine Review: Dolutegravir in HIV</w:t>
      </w:r>
      <w:r w:rsidRPr="00367F15">
        <w:rPr>
          <w:rFonts w:ascii="Cambria Math" w:hAnsi="Cambria Math" w:cs="Cambria Math"/>
          <w:spacing w:val="-2"/>
          <w:sz w:val="12"/>
          <w:szCs w:val="12"/>
        </w:rPr>
        <w:t>‐</w:t>
      </w:r>
      <w:r w:rsidRPr="00367F15">
        <w:rPr>
          <w:rFonts w:cs="Arial"/>
          <w:spacing w:val="-2"/>
          <w:sz w:val="12"/>
          <w:szCs w:val="12"/>
        </w:rPr>
        <w:t>infected patients commencing first</w:t>
      </w:r>
      <w:r w:rsidRPr="00367F15">
        <w:rPr>
          <w:rFonts w:ascii="Cambria Math" w:hAnsi="Cambria Math" w:cs="Cambria Math"/>
          <w:spacing w:val="-2"/>
          <w:sz w:val="12"/>
          <w:szCs w:val="12"/>
        </w:rPr>
        <w:t>‐</w:t>
      </w:r>
      <w:r w:rsidRPr="00367F15">
        <w:rPr>
          <w:rFonts w:cs="Arial"/>
          <w:spacing w:val="-2"/>
          <w:sz w:val="12"/>
          <w:szCs w:val="12"/>
        </w:rPr>
        <w:t xml:space="preserve">line antiretroviral therapy, updated 27 July 2021 (including addendum of use of dolutegravir with rifampicin).  </w:t>
      </w:r>
    </w:p>
    <w:p w14:paraId="14A6EDE0" w14:textId="77777777" w:rsidR="00B9629C" w:rsidRPr="00367F15" w:rsidRDefault="00F80853" w:rsidP="00840AAC">
      <w:pPr>
        <w:pStyle w:val="EndnoteText"/>
        <w:tabs>
          <w:tab w:val="left" w:pos="142"/>
        </w:tabs>
        <w:jc w:val="both"/>
        <w:rPr>
          <w:rStyle w:val="Hyperlink"/>
          <w:szCs w:val="12"/>
        </w:rPr>
      </w:pPr>
      <w:hyperlink r:id="rId14" w:history="1">
        <w:r w:rsidR="00B9629C" w:rsidRPr="00367F15">
          <w:rPr>
            <w:rStyle w:val="Hyperlink"/>
            <w:szCs w:val="12"/>
          </w:rPr>
          <w:t>https://www.knowledgehub.org.za/content/standard-treatment-guidelines-and-essential-medicines-list</w:t>
        </w:r>
      </w:hyperlink>
    </w:p>
    <w:p w14:paraId="63005981" w14:textId="77777777" w:rsidR="00B9629C" w:rsidRPr="00367F15" w:rsidRDefault="00B9629C" w:rsidP="00840AAC">
      <w:pPr>
        <w:pStyle w:val="EndnoteText"/>
        <w:tabs>
          <w:tab w:val="left" w:pos="142"/>
        </w:tabs>
        <w:jc w:val="both"/>
        <w:rPr>
          <w:rStyle w:val="Hyperlink"/>
          <w:szCs w:val="12"/>
        </w:rPr>
      </w:pPr>
      <w:r w:rsidRPr="00367F15">
        <w:rPr>
          <w:rStyle w:val="Hyperlink"/>
          <w:szCs w:val="12"/>
        </w:rPr>
        <w:tab/>
      </w:r>
      <w:r w:rsidRPr="00367F15">
        <w:rPr>
          <w:rFonts w:cs="Arial"/>
          <w:spacing w:val="-2"/>
        </w:rPr>
        <w:t xml:space="preserve">Dolutegravir, oral (first-line ART): Rutherford GW, Horvath H. Dolutegravir Plus Two Nucleoside Reverse Transcriptase Inhibitors versus Efavirenz Plus Two Nucleoside Reverse Transcriptase Inhibitors As Initial Antiretroviral Therapy for People with HIV: A Systematic Review. PLoS One. 2016 Oct 13;11(10):e0162775. </w:t>
      </w:r>
      <w:hyperlink r:id="rId15" w:history="1">
        <w:r w:rsidRPr="00367F15">
          <w:rPr>
            <w:rStyle w:val="Hyperlink"/>
            <w:szCs w:val="12"/>
          </w:rPr>
          <w:t>https://www.ncbi.nlm.nih.gov/pubmed/27736859</w:t>
        </w:r>
      </w:hyperlink>
      <w:r w:rsidRPr="00367F15">
        <w:rPr>
          <w:rStyle w:val="Hyperlink"/>
          <w:szCs w:val="12"/>
        </w:rPr>
        <w:t xml:space="preserve"> </w:t>
      </w:r>
    </w:p>
    <w:p w14:paraId="1F768D5F" w14:textId="6B47BF3C" w:rsidR="00B9629C" w:rsidRPr="00367F15" w:rsidRDefault="00B9629C" w:rsidP="00840AAC">
      <w:pPr>
        <w:pStyle w:val="EndnoteText"/>
        <w:tabs>
          <w:tab w:val="left" w:pos="142"/>
        </w:tabs>
        <w:jc w:val="both"/>
        <w:rPr>
          <w:rStyle w:val="Hyperlink"/>
          <w:szCs w:val="12"/>
        </w:rPr>
      </w:pPr>
      <w:r w:rsidRPr="00367F15">
        <w:rPr>
          <w:rStyle w:val="Hyperlink"/>
          <w:szCs w:val="12"/>
        </w:rPr>
        <w:tab/>
        <w:t xml:space="preserve">Dolutegravir, oral (first-line ART): </w:t>
      </w:r>
      <w:r w:rsidRPr="00367F15">
        <w:rPr>
          <w:szCs w:val="12"/>
        </w:rPr>
        <w:t>South African National Department of Health. 2023 Antiretroviral Therapy Clinical Guidelines for the Management of HIV in Adults, Pregnancy and Breastfeeding, Adolescents, Children, Infants and Neonates. April 2023.</w:t>
      </w:r>
    </w:p>
  </w:endnote>
  <w:endnote w:id="11">
    <w:p w14:paraId="221A3162" w14:textId="77777777" w:rsidR="00B9629C" w:rsidRPr="00367F15" w:rsidRDefault="00B9629C" w:rsidP="00840AAC">
      <w:pPr>
        <w:jc w:val="both"/>
        <w:rPr>
          <w:sz w:val="20"/>
          <w:szCs w:val="20"/>
        </w:rPr>
      </w:pPr>
      <w:r w:rsidRPr="00367F15">
        <w:rPr>
          <w:rStyle w:val="EndnoteReference"/>
        </w:rPr>
        <w:endnoteRef/>
      </w:r>
      <w:r w:rsidRPr="00367F15">
        <w:rPr>
          <w:sz w:val="12"/>
          <w:szCs w:val="12"/>
        </w:rPr>
        <w:t xml:space="preserve"> Dolutegravir, oral (first-line ART in pregnancy/ WOCP): National Department of Health: Affordable Medicines, EDP-Adult Hospital level. Medicine Review: Dolutegravir in pregnant women and women of child-bearing potential (WOCP), 17 June 2021. </w:t>
      </w:r>
    </w:p>
    <w:p w14:paraId="61E53519" w14:textId="77777777" w:rsidR="00B9629C" w:rsidRPr="00367F15" w:rsidRDefault="00F80853" w:rsidP="00840AAC">
      <w:pPr>
        <w:pStyle w:val="EndnoteText"/>
        <w:tabs>
          <w:tab w:val="left" w:pos="142"/>
        </w:tabs>
        <w:jc w:val="both"/>
        <w:rPr>
          <w:rStyle w:val="Hyperlink"/>
          <w:szCs w:val="12"/>
        </w:rPr>
      </w:pPr>
      <w:hyperlink r:id="rId16" w:history="1">
        <w:r w:rsidR="00B9629C" w:rsidRPr="00367F15">
          <w:rPr>
            <w:rStyle w:val="Hyperlink"/>
            <w:szCs w:val="12"/>
          </w:rPr>
          <w:t>https://www.knowledgehub.org.za/content/standard-treatment-guidelines-and-essential-medicines-list</w:t>
        </w:r>
      </w:hyperlink>
    </w:p>
    <w:p w14:paraId="3132D846" w14:textId="77777777" w:rsidR="00B9629C" w:rsidRPr="00367F15" w:rsidRDefault="00B9629C" w:rsidP="00840AAC">
      <w:pPr>
        <w:pStyle w:val="EndnoteText"/>
        <w:tabs>
          <w:tab w:val="left" w:pos="142"/>
        </w:tabs>
        <w:jc w:val="both"/>
        <w:rPr>
          <w:szCs w:val="12"/>
        </w:rPr>
      </w:pPr>
      <w:r w:rsidRPr="00367F15">
        <w:rPr>
          <w:rStyle w:val="Hyperlink"/>
          <w:szCs w:val="12"/>
        </w:rPr>
        <w:tab/>
        <w:t xml:space="preserve">Dolutegravir, oral (risk of NTDs): </w:t>
      </w:r>
      <w:r w:rsidRPr="00367F15">
        <w:rPr>
          <w:szCs w:val="12"/>
        </w:rPr>
        <w:t xml:space="preserve">National Department of Health. Notice: Updated guidance of dolutegravir in pregnancy, 29 June 2021 (Reference: 2021/06/29/EDP/01). </w:t>
      </w:r>
      <w:hyperlink r:id="rId17" w:history="1">
        <w:r w:rsidRPr="00367F15">
          <w:rPr>
            <w:rStyle w:val="Hyperlink"/>
            <w:szCs w:val="12"/>
          </w:rPr>
          <w:t>https://www.knowledgehub.org.za/e-library</w:t>
        </w:r>
      </w:hyperlink>
      <w:r w:rsidRPr="00367F15">
        <w:rPr>
          <w:szCs w:val="12"/>
        </w:rPr>
        <w:t xml:space="preserve"> </w:t>
      </w:r>
    </w:p>
  </w:endnote>
  <w:endnote w:id="12">
    <w:p w14:paraId="069FC741" w14:textId="77777777" w:rsidR="00B9629C" w:rsidRPr="00367F15" w:rsidRDefault="00B9629C" w:rsidP="00840AAC">
      <w:pPr>
        <w:jc w:val="both"/>
        <w:rPr>
          <w:sz w:val="20"/>
          <w:szCs w:val="20"/>
        </w:rPr>
      </w:pPr>
      <w:r w:rsidRPr="00367F15">
        <w:rPr>
          <w:rStyle w:val="EndnoteReference"/>
        </w:rPr>
        <w:endnoteRef/>
      </w:r>
      <w:r w:rsidRPr="00367F15">
        <w:rPr>
          <w:sz w:val="12"/>
          <w:szCs w:val="12"/>
        </w:rPr>
        <w:t xml:space="preserve"> Dolutegravir, oral (first-line ART with concomitant rifampicin): National Department of Health: Affordable Medicines, EDP-Adult Hospital level. Medicine Review: Dolutegravir in HIV</w:t>
      </w:r>
      <w:r w:rsidRPr="00367F15">
        <w:rPr>
          <w:rFonts w:ascii="Cambria Math" w:hAnsi="Cambria Math" w:cs="Cambria Math"/>
          <w:sz w:val="12"/>
          <w:szCs w:val="12"/>
        </w:rPr>
        <w:t>‐</w:t>
      </w:r>
      <w:r w:rsidRPr="00367F15">
        <w:rPr>
          <w:sz w:val="12"/>
          <w:szCs w:val="12"/>
        </w:rPr>
        <w:t>infected patients commencing first</w:t>
      </w:r>
      <w:r w:rsidRPr="00367F15">
        <w:rPr>
          <w:rFonts w:ascii="Cambria Math" w:hAnsi="Cambria Math" w:cs="Cambria Math"/>
          <w:sz w:val="12"/>
          <w:szCs w:val="12"/>
        </w:rPr>
        <w:t>‐</w:t>
      </w:r>
      <w:r w:rsidRPr="00367F15">
        <w:rPr>
          <w:sz w:val="12"/>
          <w:szCs w:val="12"/>
        </w:rPr>
        <w:t xml:space="preserve">line antiretroviral therapy, updated 27 July 2021 (including addendum of use of dolutegravir with rifampicin). </w:t>
      </w:r>
    </w:p>
    <w:p w14:paraId="3AABC994" w14:textId="77777777" w:rsidR="00B9629C" w:rsidRPr="00367F15" w:rsidRDefault="00F80853" w:rsidP="00840AAC">
      <w:pPr>
        <w:pStyle w:val="EndnoteText"/>
        <w:tabs>
          <w:tab w:val="left" w:pos="142"/>
        </w:tabs>
        <w:jc w:val="both"/>
        <w:rPr>
          <w:rStyle w:val="Hyperlink"/>
          <w:szCs w:val="12"/>
        </w:rPr>
      </w:pPr>
      <w:hyperlink r:id="rId18" w:history="1">
        <w:r w:rsidR="00B9629C" w:rsidRPr="00367F15">
          <w:rPr>
            <w:rStyle w:val="Hyperlink"/>
            <w:szCs w:val="12"/>
          </w:rPr>
          <w:t>https://www.knowledgehub.org.za/content/standard-treatment-guidelines-and-essential-medicines-list</w:t>
        </w:r>
      </w:hyperlink>
    </w:p>
    <w:p w14:paraId="6B60F8BF" w14:textId="77777777" w:rsidR="00B9629C" w:rsidRPr="00367F15" w:rsidRDefault="00B9629C" w:rsidP="00840AAC">
      <w:pPr>
        <w:pStyle w:val="EndnoteText"/>
        <w:tabs>
          <w:tab w:val="left" w:pos="142"/>
        </w:tabs>
        <w:jc w:val="both"/>
        <w:rPr>
          <w:szCs w:val="12"/>
        </w:rPr>
      </w:pPr>
      <w:r w:rsidRPr="00367F15">
        <w:rPr>
          <w:rStyle w:val="Hyperlink"/>
          <w:szCs w:val="12"/>
        </w:rPr>
        <w:tab/>
      </w:r>
      <w:r w:rsidRPr="00367F15">
        <w:rPr>
          <w:szCs w:val="12"/>
        </w:rPr>
        <w:t xml:space="preserve">Dolutegravir, oral (first-line ART with concomitant rifampicin): Dooley KE, Sayre P, Borland J, Purdy E, Chen S, Song I, et al. Safety, tolerability, and pharmacokinetics of the HIV integrase inhibitor dolutegravir given twice daily with rifampin or once daily with rifabutin: results of a phase 1 study among healthy subjects. J Acquir Immune Defic Syndr 2013; 62(1):21-27. </w:t>
      </w:r>
      <w:hyperlink r:id="rId19" w:history="1">
        <w:r w:rsidRPr="00367F15">
          <w:rPr>
            <w:rStyle w:val="Hyperlink"/>
            <w:szCs w:val="12"/>
          </w:rPr>
          <w:t>https://pubmed.ncbi.nlm.nih.gov/23075918/</w:t>
        </w:r>
      </w:hyperlink>
      <w:r w:rsidRPr="00367F15">
        <w:rPr>
          <w:szCs w:val="12"/>
        </w:rPr>
        <w:t xml:space="preserve"> </w:t>
      </w:r>
    </w:p>
    <w:p w14:paraId="0233AA42" w14:textId="77777777" w:rsidR="00B9629C" w:rsidRPr="00367F15" w:rsidRDefault="00B9629C" w:rsidP="00840AAC">
      <w:pPr>
        <w:pStyle w:val="EndnoteText"/>
        <w:tabs>
          <w:tab w:val="left" w:pos="142"/>
        </w:tabs>
        <w:jc w:val="both"/>
        <w:rPr>
          <w:szCs w:val="12"/>
        </w:rPr>
      </w:pPr>
      <w:r w:rsidRPr="00367F15">
        <w:rPr>
          <w:szCs w:val="12"/>
        </w:rPr>
        <w:tab/>
        <w:t xml:space="preserve">Dolutegravir, oral (first-line ART with concomitant rifampicin): Dooley KE, Kaplan R, Mwelase N, Grinsztejn B, Ticona E, Lacerda M, et al. Dolutegravir-based Antiretroviral Therapy for Patients Coinfected With Tuberculosis and Human Immunodeficiency Virus: A Multicenter, Noncomparative, Open-label, Randomized Trial. Clin Infect Dis 2020; 70(4):549-556. </w:t>
      </w:r>
      <w:hyperlink r:id="rId20" w:history="1">
        <w:r w:rsidRPr="00367F15">
          <w:rPr>
            <w:rStyle w:val="Hyperlink"/>
            <w:szCs w:val="12"/>
          </w:rPr>
          <w:t>https://pubmed.ncbi.nlm.nih.gov/30918967/</w:t>
        </w:r>
      </w:hyperlink>
    </w:p>
  </w:endnote>
  <w:endnote w:id="13">
    <w:p w14:paraId="43CBA4EB" w14:textId="77777777" w:rsidR="00B9629C" w:rsidRPr="00367F15" w:rsidRDefault="00B9629C" w:rsidP="00241A4E">
      <w:pPr>
        <w:jc w:val="both"/>
        <w:rPr>
          <w:sz w:val="20"/>
          <w:szCs w:val="20"/>
        </w:rPr>
      </w:pPr>
      <w:r w:rsidRPr="00367F15">
        <w:rPr>
          <w:rStyle w:val="EndnoteReference"/>
        </w:rPr>
        <w:endnoteRef/>
      </w:r>
      <w:r w:rsidRPr="00367F15">
        <w:rPr>
          <w:sz w:val="12"/>
          <w:szCs w:val="12"/>
        </w:rPr>
        <w:t xml:space="preserve"> National Department of Health: Affordable Medicines, EDP-PHC/Adult Hospital level. Medicine Review: Atazanavir/ritonavir vs lopinavir/ritonavir in HIV, 27July2021. </w:t>
      </w:r>
    </w:p>
    <w:p w14:paraId="7682B1CC" w14:textId="77777777" w:rsidR="00B9629C" w:rsidRPr="00367F15" w:rsidRDefault="00F80853" w:rsidP="00241A4E">
      <w:pPr>
        <w:pStyle w:val="EndnoteText"/>
        <w:tabs>
          <w:tab w:val="left" w:pos="142"/>
        </w:tabs>
        <w:jc w:val="both"/>
        <w:rPr>
          <w:rStyle w:val="Hyperlink"/>
          <w:szCs w:val="12"/>
        </w:rPr>
      </w:pPr>
      <w:hyperlink r:id="rId21" w:history="1">
        <w:r w:rsidR="00B9629C" w:rsidRPr="00367F15">
          <w:rPr>
            <w:rStyle w:val="Hyperlink"/>
            <w:szCs w:val="12"/>
          </w:rPr>
          <w:t>https://www.knowledgehub.org.za/content/standard-treatment-guidelines-and-essential-medicines-list</w:t>
        </w:r>
      </w:hyperlink>
    </w:p>
  </w:endnote>
  <w:endnote w:id="14">
    <w:p w14:paraId="0C58D433" w14:textId="7FA3F939" w:rsidR="00B9629C" w:rsidRPr="00367F15" w:rsidRDefault="00B9629C" w:rsidP="00840AAC">
      <w:pPr>
        <w:pStyle w:val="EndnoteText"/>
        <w:tabs>
          <w:tab w:val="left" w:pos="142"/>
        </w:tabs>
        <w:jc w:val="both"/>
        <w:rPr>
          <w:szCs w:val="12"/>
        </w:rPr>
      </w:pPr>
      <w:r w:rsidRPr="00367F15">
        <w:rPr>
          <w:rStyle w:val="EndnoteReference"/>
        </w:rPr>
        <w:endnoteRef/>
      </w:r>
      <w:r w:rsidRPr="00367F15">
        <w:rPr>
          <w:szCs w:val="12"/>
        </w:rPr>
        <w:t xml:space="preserve"> </w:t>
      </w:r>
      <w:r w:rsidRPr="00367F15">
        <w:rPr>
          <w:szCs w:val="12"/>
        </w:rPr>
        <w:tab/>
        <w:t>TAF: NDoH review: T</w:t>
      </w:r>
      <w:r w:rsidRPr="00367F15">
        <w:rPr>
          <w:rFonts w:eastAsia="Times New Roman"/>
          <w:bCs/>
        </w:rPr>
        <w:t>enofovir alafenamide for HIV_14 March 2024_v4_final</w:t>
      </w:r>
    </w:p>
  </w:endnote>
  <w:endnote w:id="15">
    <w:p w14:paraId="05400A7C" w14:textId="77777777" w:rsidR="00B9629C" w:rsidRPr="00367F15" w:rsidRDefault="00B9629C" w:rsidP="00840AAC">
      <w:pPr>
        <w:pStyle w:val="EndnoteText"/>
        <w:tabs>
          <w:tab w:val="left" w:pos="142"/>
        </w:tabs>
        <w:jc w:val="both"/>
        <w:rPr>
          <w:szCs w:val="12"/>
        </w:rPr>
      </w:pPr>
      <w:r w:rsidRPr="00367F15">
        <w:rPr>
          <w:rStyle w:val="EndnoteReference"/>
        </w:rPr>
        <w:endnoteRef/>
      </w:r>
      <w:r w:rsidRPr="00367F15">
        <w:rPr>
          <w:szCs w:val="12"/>
        </w:rPr>
        <w:t xml:space="preserve"> </w:t>
      </w:r>
      <w:r w:rsidRPr="00367F15">
        <w:rPr>
          <w:szCs w:val="12"/>
        </w:rPr>
        <w:tab/>
        <w:t>Abacavir: Cruciani M, Mengoli C, Malena M, Serpelloni G, Parisi SG, Moyle G, Bosco O. Virological efficacy of abacavir: systematic review and meta-analysis. J Antimicrob Chemother. 2014 Dec;69(12):3169-80.</w:t>
      </w:r>
      <w:hyperlink r:id="rId22" w:history="1">
        <w:r w:rsidRPr="00367F15">
          <w:rPr>
            <w:rStyle w:val="Hyperlink"/>
            <w:szCs w:val="12"/>
          </w:rPr>
          <w:t>http://www.ncbi.nlm.nih.gov/pubmed/25074854</w:t>
        </w:r>
      </w:hyperlink>
    </w:p>
  </w:endnote>
  <w:endnote w:id="16">
    <w:p w14:paraId="3AAB2CAC" w14:textId="77777777" w:rsidR="00B9629C" w:rsidRPr="00367F15" w:rsidRDefault="00B9629C" w:rsidP="00A06621">
      <w:pPr>
        <w:pStyle w:val="EndnoteText"/>
        <w:tabs>
          <w:tab w:val="left" w:pos="142"/>
        </w:tabs>
        <w:jc w:val="both"/>
        <w:rPr>
          <w:szCs w:val="12"/>
        </w:rPr>
      </w:pPr>
      <w:r w:rsidRPr="00367F15">
        <w:rPr>
          <w:rStyle w:val="EndnoteReference"/>
        </w:rPr>
        <w:endnoteRef/>
      </w:r>
      <w:r w:rsidRPr="00367F15">
        <w:rPr>
          <w:szCs w:val="12"/>
        </w:rPr>
        <w:t xml:space="preserve"> </w:t>
      </w:r>
      <w:r w:rsidRPr="00367F15">
        <w:rPr>
          <w:szCs w:val="12"/>
        </w:rPr>
        <w:tab/>
        <w:t xml:space="preserve">Dual therapy – dolutegravir/lamivudine: Cahn P, Madero JS, Arribas JR, Antinori A, Ortiz R, Clarke AE, et al; GEMINI Study Team.  Dolutegravir plus lamivudine versus dolutegravir plus tenofovir disoproxil fumarate and emtricitabine in antiretroviral-naive adults with HIV-1 infection (GEMINI-1 and GEMINI-2): week 48 results from two multicentre, double-blind, randomised, non-inferiority, phase 3 trials. Lancet. 2019 Jan 12;393(10167):143-155. </w:t>
      </w:r>
      <w:hyperlink r:id="rId23" w:history="1">
        <w:r w:rsidRPr="00367F15">
          <w:rPr>
            <w:rStyle w:val="Hyperlink"/>
            <w:szCs w:val="12"/>
          </w:rPr>
          <w:t>https://www.ncbi.nlm.nih.gov/pubmed/30420123</w:t>
        </w:r>
      </w:hyperlink>
      <w:r w:rsidRPr="00367F15">
        <w:rPr>
          <w:szCs w:val="12"/>
        </w:rPr>
        <w:t xml:space="preserve"> </w:t>
      </w:r>
    </w:p>
    <w:p w14:paraId="53DDA072" w14:textId="77777777" w:rsidR="00B9629C" w:rsidRPr="00367F15" w:rsidRDefault="00B9629C" w:rsidP="00A06621">
      <w:pPr>
        <w:pStyle w:val="EndnoteText"/>
        <w:tabs>
          <w:tab w:val="left" w:pos="142"/>
        </w:tabs>
        <w:jc w:val="both"/>
        <w:rPr>
          <w:szCs w:val="12"/>
        </w:rPr>
      </w:pPr>
      <w:r w:rsidRPr="00367F15">
        <w:rPr>
          <w:szCs w:val="12"/>
        </w:rPr>
        <w:tab/>
        <w:t xml:space="preserve">Dual therapy – dolutegravir/lamivudine: Hidalgo-Tenorio C, Cortés LL, Gutiérrez A, Santos J, Omar M, Gálvez C, et al. DOLAMA study: Effectiveness, safety and pharmacoeconomic analysis of dual therapy with dolutegravir and lamivudine in virologically suppressed HIV-1 patients. Medicine  (Baltimore). 2019 Aug;98(32):e16813. </w:t>
      </w:r>
      <w:hyperlink r:id="rId24" w:history="1">
        <w:r w:rsidRPr="00367F15">
          <w:rPr>
            <w:rStyle w:val="Hyperlink"/>
            <w:szCs w:val="12"/>
          </w:rPr>
          <w:t>https://www.ncbi.nlm.nih.gov/pubmed/31393412</w:t>
        </w:r>
      </w:hyperlink>
      <w:r w:rsidRPr="00367F15">
        <w:rPr>
          <w:szCs w:val="12"/>
        </w:rPr>
        <w:t xml:space="preserve"> </w:t>
      </w:r>
    </w:p>
  </w:endnote>
  <w:endnote w:id="17">
    <w:p w14:paraId="45FA7BA7" w14:textId="3207A348" w:rsidR="00B9629C" w:rsidRPr="00367F15" w:rsidRDefault="00B9629C" w:rsidP="00840AAC">
      <w:pPr>
        <w:pStyle w:val="EndnoteText"/>
        <w:tabs>
          <w:tab w:val="left" w:pos="142"/>
        </w:tabs>
        <w:jc w:val="both"/>
        <w:rPr>
          <w:szCs w:val="12"/>
        </w:rPr>
      </w:pPr>
      <w:r w:rsidRPr="00367F15">
        <w:rPr>
          <w:rStyle w:val="EndnoteReference"/>
        </w:rPr>
        <w:endnoteRef/>
      </w:r>
      <w:r w:rsidRPr="00367F15">
        <w:rPr>
          <w:szCs w:val="12"/>
        </w:rPr>
        <w:t xml:space="preserve"> </w:t>
      </w:r>
      <w:r w:rsidRPr="00367F15">
        <w:rPr>
          <w:szCs w:val="12"/>
        </w:rPr>
        <w:tab/>
      </w:r>
      <w:r w:rsidRPr="00367F15">
        <w:t xml:space="preserve">South African National Department of Health. 2023 Antiretroviral Therapy Clinical Guidelines for the Management of HIV in Adults, Pregnancy and Breastfeeding, Adolescents, Children, Infants and Neonates. April 2023. Accessible at </w:t>
      </w:r>
      <w:hyperlink r:id="rId25" w:history="1">
        <w:r w:rsidRPr="00367F15">
          <w:rPr>
            <w:rStyle w:val="Hyperlink"/>
            <w:szCs w:val="12"/>
          </w:rPr>
          <w:t>https://knowledgehub.health.gov.za/system/files/elibdownloads/2023-07/National%20ART%20Clinical%20Guideline%20AR%204.5%2020230713%20Version%204%20WEB.pdf</w:t>
        </w:r>
      </w:hyperlink>
    </w:p>
  </w:endnote>
  <w:endnote w:id="18">
    <w:p w14:paraId="3D14A372" w14:textId="6A0FD380" w:rsidR="00B9629C" w:rsidRPr="00367F15" w:rsidRDefault="00B9629C" w:rsidP="00840AAC">
      <w:pPr>
        <w:pStyle w:val="EndnoteText"/>
        <w:tabs>
          <w:tab w:val="left" w:pos="142"/>
        </w:tabs>
        <w:jc w:val="both"/>
        <w:rPr>
          <w:szCs w:val="12"/>
        </w:rPr>
      </w:pPr>
      <w:r w:rsidRPr="00367F15">
        <w:rPr>
          <w:rStyle w:val="EndnoteReference"/>
        </w:rPr>
        <w:endnoteRef/>
      </w:r>
      <w:r w:rsidRPr="00367F15">
        <w:rPr>
          <w:szCs w:val="12"/>
        </w:rPr>
        <w:t xml:space="preserve"> </w:t>
      </w:r>
      <w:r w:rsidRPr="00367F15">
        <w:rPr>
          <w:szCs w:val="12"/>
        </w:rPr>
        <w:tab/>
      </w:r>
      <w:r w:rsidRPr="00367F15">
        <w:t xml:space="preserve">South African National Department of Health. 2023 Antiretroviral Therapy Clinical Guidelines for the Management of HIV in Adults, Pregnancy and Breastfeeding, Adolescents, Children, Infants and Neonates. April 2023. Accessible at </w:t>
      </w:r>
      <w:hyperlink r:id="rId26" w:history="1">
        <w:r w:rsidRPr="00367F15">
          <w:rPr>
            <w:rStyle w:val="Hyperlink"/>
            <w:szCs w:val="12"/>
          </w:rPr>
          <w:t>https://knowledgehub.health.gov.za/system/files/elibdownloads/2023-07/National%20ART%20Clinical%20Guideline%20AR%204.5%2020230713%20Version%204%20WEB.pdf</w:t>
        </w:r>
      </w:hyperlink>
      <w:r w:rsidRPr="00367F15">
        <w:rPr>
          <w:szCs w:val="12"/>
        </w:rPr>
        <w:t xml:space="preserve"> </w:t>
      </w:r>
    </w:p>
  </w:endnote>
  <w:endnote w:id="19">
    <w:p w14:paraId="5BCF33E3" w14:textId="77777777" w:rsidR="00B9629C" w:rsidRPr="00367F15" w:rsidRDefault="00B9629C" w:rsidP="00840AAC">
      <w:pPr>
        <w:jc w:val="both"/>
        <w:rPr>
          <w:sz w:val="20"/>
          <w:szCs w:val="20"/>
        </w:rPr>
      </w:pPr>
      <w:r w:rsidRPr="00367F15">
        <w:rPr>
          <w:rStyle w:val="EndnoteReference"/>
        </w:rPr>
        <w:endnoteRef/>
      </w:r>
      <w:r w:rsidRPr="00367F15">
        <w:rPr>
          <w:sz w:val="12"/>
          <w:szCs w:val="12"/>
        </w:rPr>
        <w:t>Dolutegravir, oral (double-dose with concomitant rifampicin): National Department of Health: Affordable Medicines, EDP-Adult Hospital level. Medicine Review: Dolutegravir in HIV</w:t>
      </w:r>
      <w:r w:rsidRPr="00367F15">
        <w:rPr>
          <w:rFonts w:ascii="Cambria Math" w:hAnsi="Cambria Math" w:cs="Cambria Math"/>
          <w:sz w:val="12"/>
          <w:szCs w:val="12"/>
        </w:rPr>
        <w:t>‐</w:t>
      </w:r>
      <w:r w:rsidRPr="00367F15">
        <w:rPr>
          <w:sz w:val="12"/>
          <w:szCs w:val="12"/>
        </w:rPr>
        <w:t>infected patients commencing first</w:t>
      </w:r>
      <w:r w:rsidRPr="00367F15">
        <w:rPr>
          <w:rFonts w:ascii="Cambria Math" w:hAnsi="Cambria Math" w:cs="Cambria Math"/>
          <w:sz w:val="12"/>
          <w:szCs w:val="12"/>
        </w:rPr>
        <w:t>‐</w:t>
      </w:r>
      <w:r w:rsidRPr="00367F15">
        <w:rPr>
          <w:sz w:val="12"/>
          <w:szCs w:val="12"/>
        </w:rPr>
        <w:t xml:space="preserve">line antiretroviral therapy, updated 27 July 2021 (including addendum of use of dolutegravir with rifampicin). </w:t>
      </w:r>
    </w:p>
    <w:p w14:paraId="370685C0" w14:textId="77777777" w:rsidR="00B9629C" w:rsidRPr="00367F15" w:rsidRDefault="00F80853" w:rsidP="00840AAC">
      <w:pPr>
        <w:pStyle w:val="EndnoteText"/>
        <w:tabs>
          <w:tab w:val="left" w:pos="142"/>
        </w:tabs>
        <w:jc w:val="both"/>
        <w:rPr>
          <w:rStyle w:val="Hyperlink"/>
          <w:szCs w:val="12"/>
        </w:rPr>
      </w:pPr>
      <w:hyperlink r:id="rId27" w:history="1">
        <w:r w:rsidR="00B9629C" w:rsidRPr="00367F15">
          <w:rPr>
            <w:rStyle w:val="Hyperlink"/>
            <w:szCs w:val="12"/>
          </w:rPr>
          <w:t>https://www.knowledgehub.org.za/content/standard-treatment-guidelines-and-essential-medicines-list</w:t>
        </w:r>
      </w:hyperlink>
    </w:p>
    <w:p w14:paraId="23CFCDEC" w14:textId="71833E53" w:rsidR="00B9629C" w:rsidRPr="00367F15" w:rsidRDefault="00B9629C" w:rsidP="00840AAC">
      <w:pPr>
        <w:pStyle w:val="EndnoteText"/>
        <w:tabs>
          <w:tab w:val="left" w:pos="142"/>
        </w:tabs>
        <w:jc w:val="both"/>
        <w:rPr>
          <w:szCs w:val="12"/>
        </w:rPr>
      </w:pPr>
      <w:r w:rsidRPr="00367F15">
        <w:rPr>
          <w:rStyle w:val="Hyperlink"/>
          <w:szCs w:val="12"/>
        </w:rPr>
        <w:tab/>
      </w:r>
      <w:r w:rsidRPr="00367F15">
        <w:rPr>
          <w:szCs w:val="12"/>
        </w:rPr>
        <w:t xml:space="preserve">Dolutegravir, oral (double-dose with concomitant rifampicin): Dooley KE, Sayre P, Borland J, Purdy E, Chen S, Song I, et al. Safety, tolerability, and pharmacokinetics of the HIV integrase inhibitor dolutegravir given twice daily with rifampin or once daily with rifabutin: results of a phase 1 study among healthy subjects. J Acquir Immune Defic Syndr. 2013 Jan 1;62(1):21-7. </w:t>
      </w:r>
      <w:hyperlink r:id="rId28" w:history="1">
        <w:r w:rsidRPr="00367F15">
          <w:rPr>
            <w:rStyle w:val="Hyperlink"/>
            <w:szCs w:val="12"/>
          </w:rPr>
          <w:t>https://pubmed.ncbi.nlm.nih.gov/23075918/</w:t>
        </w:r>
      </w:hyperlink>
    </w:p>
    <w:p w14:paraId="761BAC26" w14:textId="77777777" w:rsidR="00B9629C" w:rsidRPr="00367F15" w:rsidRDefault="00B9629C" w:rsidP="00840AAC">
      <w:pPr>
        <w:pStyle w:val="EndnoteText"/>
        <w:tabs>
          <w:tab w:val="left" w:pos="142"/>
        </w:tabs>
        <w:jc w:val="both"/>
        <w:rPr>
          <w:rStyle w:val="Hyperlink"/>
          <w:szCs w:val="12"/>
        </w:rPr>
      </w:pPr>
      <w:r w:rsidRPr="00367F15">
        <w:rPr>
          <w:szCs w:val="12"/>
        </w:rPr>
        <w:t xml:space="preserve">Dolutegravir, oral (double-dose with concomitant rifampicin): Dooley KE, Kaplan R, Mwelase N, Grinsztejn B, Ticona E, Lacerda M, et al; International Study of Patients with HIV on Rifampicin ING study group. Dolutegravir-based Antiretroviral Therapy for Patients Coinfected With Tuberculosis and Human Immunodeficiency Virus: A Multicenter, Noncomparative, Open-label, Randomized Trial. Clin Infect Dis. 2020 Feb 3;70(4):549-556. </w:t>
      </w:r>
      <w:hyperlink r:id="rId29" w:history="1">
        <w:r w:rsidRPr="00367F15">
          <w:rPr>
            <w:rStyle w:val="Hyperlink"/>
            <w:szCs w:val="12"/>
          </w:rPr>
          <w:t>https://pubmed.ncbi.nlm.nih.gov/30918967/</w:t>
        </w:r>
      </w:hyperlink>
      <w:r w:rsidRPr="00367F15">
        <w:rPr>
          <w:szCs w:val="12"/>
        </w:rPr>
        <w:t xml:space="preserve"> </w:t>
      </w:r>
    </w:p>
  </w:endnote>
  <w:endnote w:id="20">
    <w:p w14:paraId="209D4BF2" w14:textId="26DE5FBC" w:rsidR="00B9629C" w:rsidRPr="00367F15" w:rsidRDefault="00B9629C" w:rsidP="00840AAC">
      <w:pPr>
        <w:pStyle w:val="EndnoteText"/>
        <w:tabs>
          <w:tab w:val="left" w:pos="90"/>
        </w:tabs>
        <w:jc w:val="both"/>
        <w:rPr>
          <w:rFonts w:cs="Arial"/>
          <w:spacing w:val="-2"/>
          <w:szCs w:val="12"/>
        </w:rPr>
      </w:pPr>
      <w:r w:rsidRPr="00367F15">
        <w:rPr>
          <w:rStyle w:val="EndnoteReference"/>
          <w:rFonts w:cs="Arial"/>
          <w:spacing w:val="-2"/>
        </w:rPr>
        <w:endnoteRef/>
      </w:r>
      <w:r w:rsidRPr="00367F15" w:rsidDel="0069762D">
        <w:rPr>
          <w:rFonts w:cs="Arial"/>
          <w:spacing w:val="-2"/>
          <w:szCs w:val="12"/>
        </w:rPr>
        <w:t xml:space="preserve"> </w:t>
      </w:r>
      <w:r w:rsidRPr="00367F15">
        <w:rPr>
          <w:rFonts w:cs="Arial"/>
          <w:spacing w:val="-2"/>
          <w:szCs w:val="12"/>
        </w:rPr>
        <w:t xml:space="preserve">Screen for Cryptococcus antigen: </w:t>
      </w:r>
      <w:r w:rsidRPr="00367F15">
        <w:rPr>
          <w:szCs w:val="12"/>
        </w:rPr>
        <w:t>South African National Department of Health. 2023 Antiretroviral Therapy Clinical Guidelines for the Management of HIV in Adults, Pregnancy and Breastfeeding, Adolescents, Children, Infants and Neonates. April 2023.</w:t>
      </w:r>
    </w:p>
  </w:endnote>
  <w:endnote w:id="21">
    <w:p w14:paraId="4D774E97" w14:textId="77777777" w:rsidR="00B9629C" w:rsidRPr="00367F15" w:rsidRDefault="00B9629C" w:rsidP="00840AAC">
      <w:pPr>
        <w:pStyle w:val="EndnoteText"/>
        <w:tabs>
          <w:tab w:val="left" w:pos="90"/>
        </w:tabs>
        <w:jc w:val="both"/>
        <w:rPr>
          <w:rFonts w:cs="Arial"/>
          <w:spacing w:val="-2"/>
          <w:szCs w:val="12"/>
        </w:rPr>
      </w:pPr>
      <w:r w:rsidRPr="00367F15">
        <w:rPr>
          <w:rStyle w:val="EndnoteReference"/>
          <w:rFonts w:cs="Arial"/>
          <w:spacing w:val="-2"/>
        </w:rPr>
        <w:endnoteRef/>
      </w:r>
      <w:r w:rsidRPr="00367F15">
        <w:rPr>
          <w:rFonts w:cs="Arial"/>
          <w:spacing w:val="-2"/>
          <w:szCs w:val="12"/>
        </w:rPr>
        <w:t xml:space="preserve">Urine dipstick: Han TM, Naicker S, Ramdial PK, Assounga AG. A cross-sectional study of HIV-seropositive patients with varying degrees of proteinuria in South Africa. Kidney Int. 2006 Jun;69(12):2243-50. </w:t>
      </w:r>
      <w:hyperlink r:id="rId30" w:history="1">
        <w:r w:rsidRPr="00367F15">
          <w:rPr>
            <w:rStyle w:val="Hyperlink"/>
            <w:rFonts w:cs="Arial"/>
            <w:spacing w:val="-2"/>
            <w:szCs w:val="12"/>
          </w:rPr>
          <w:t>http://www.ncbi.nlm.nih.gov/pubmed/16672914</w:t>
        </w:r>
      </w:hyperlink>
    </w:p>
  </w:endnote>
  <w:endnote w:id="22">
    <w:p w14:paraId="7E5EF807" w14:textId="77777777" w:rsidR="00B9629C" w:rsidRPr="00367F15" w:rsidRDefault="00B9629C" w:rsidP="00EF0E5D">
      <w:pPr>
        <w:pStyle w:val="EndnoteText"/>
        <w:jc w:val="both"/>
        <w:rPr>
          <w:rFonts w:cs="Arial"/>
          <w:szCs w:val="12"/>
        </w:rPr>
      </w:pPr>
      <w:r w:rsidRPr="00367F15">
        <w:rPr>
          <w:rStyle w:val="EndnoteReference"/>
          <w:rFonts w:cs="Arial"/>
        </w:rPr>
        <w:endnoteRef/>
      </w:r>
      <w:r w:rsidRPr="00367F15">
        <w:rPr>
          <w:rFonts w:cs="Arial"/>
          <w:szCs w:val="12"/>
        </w:rPr>
        <w:t xml:space="preserve"> LAM urine testing (DS-TB): Bjerrum S, Schiller I, Dendukuri N, Kohli M, Nathavitharana RR, Zwerling AA,</w:t>
      </w:r>
    </w:p>
    <w:p w14:paraId="1C5E1A42" w14:textId="77777777" w:rsidR="00B9629C" w:rsidRPr="00367F15" w:rsidRDefault="00B9629C" w:rsidP="00EF0E5D">
      <w:pPr>
        <w:pStyle w:val="EndnoteText"/>
        <w:jc w:val="both"/>
        <w:rPr>
          <w:rStyle w:val="Hyperlink"/>
          <w:rFonts w:cs="Arial"/>
          <w:szCs w:val="12"/>
        </w:rPr>
      </w:pPr>
      <w:r w:rsidRPr="00367F15">
        <w:rPr>
          <w:rFonts w:cs="Arial"/>
          <w:szCs w:val="12"/>
        </w:rPr>
        <w:t xml:space="preserve">et al. Lateral flow urine lipoarabinomannan assay for detecting active tuberculosis in people living with HIV. Cochrane Database Syst Rev. 2019 Oct 21;10:CD011420. </w:t>
      </w:r>
      <w:hyperlink r:id="rId31" w:history="1">
        <w:r w:rsidRPr="00367F15">
          <w:rPr>
            <w:rStyle w:val="Hyperlink"/>
            <w:rFonts w:cs="Arial"/>
            <w:szCs w:val="12"/>
          </w:rPr>
          <w:t>https://www.ncbi.nlm.nih.gov/pubmed/31633805</w:t>
        </w:r>
      </w:hyperlink>
    </w:p>
    <w:p w14:paraId="6122173D" w14:textId="77777777" w:rsidR="00B9629C" w:rsidRPr="00367F15" w:rsidRDefault="00B9629C" w:rsidP="00EF0E5D">
      <w:pPr>
        <w:pStyle w:val="EndnoteText"/>
        <w:tabs>
          <w:tab w:val="left" w:pos="142"/>
        </w:tabs>
        <w:jc w:val="both"/>
        <w:rPr>
          <w:rFonts w:cs="Arial"/>
          <w:szCs w:val="12"/>
        </w:rPr>
      </w:pPr>
      <w:r w:rsidRPr="00367F15">
        <w:rPr>
          <w:rStyle w:val="Hyperlink"/>
          <w:rFonts w:cs="Arial"/>
          <w:szCs w:val="12"/>
        </w:rPr>
        <w:tab/>
      </w:r>
      <w:r w:rsidRPr="00367F15">
        <w:rPr>
          <w:rFonts w:cs="Arial"/>
          <w:szCs w:val="12"/>
        </w:rPr>
        <w:t xml:space="preserve">LAM urine testing (DS-TB): National Department of Health. Guidance on the use of the lipoarabinomannan lateral flow assay (LF-LAM) for the diagnosis of tuberculosis in people living with HIV, July 2017. </w:t>
      </w:r>
      <w:hyperlink r:id="rId32" w:history="1">
        <w:r w:rsidRPr="00367F15">
          <w:rPr>
            <w:rStyle w:val="Hyperlink"/>
            <w:szCs w:val="12"/>
          </w:rPr>
          <w:t>https://www.knowledgehub.org.za/</w:t>
        </w:r>
      </w:hyperlink>
      <w:r w:rsidRPr="00367F15">
        <w:rPr>
          <w:szCs w:val="12"/>
        </w:rPr>
        <w:t xml:space="preserve"> </w:t>
      </w:r>
    </w:p>
  </w:endnote>
  <w:endnote w:id="23">
    <w:p w14:paraId="0914C237" w14:textId="77777777" w:rsidR="00B9629C" w:rsidRPr="00367F15" w:rsidRDefault="00B9629C" w:rsidP="00840AAC">
      <w:pPr>
        <w:pStyle w:val="EndnoteText"/>
        <w:tabs>
          <w:tab w:val="left" w:pos="90"/>
        </w:tabs>
        <w:spacing w:before="0" w:after="0"/>
        <w:jc w:val="both"/>
        <w:rPr>
          <w:rFonts w:cs="Arial"/>
          <w:spacing w:val="-2"/>
          <w:szCs w:val="12"/>
        </w:rPr>
      </w:pPr>
      <w:r w:rsidRPr="00367F15">
        <w:rPr>
          <w:rStyle w:val="EndnoteReference"/>
          <w:rFonts w:cs="Arial"/>
          <w:spacing w:val="-2"/>
        </w:rPr>
        <w:endnoteRef/>
      </w:r>
      <w:r w:rsidRPr="00367F15">
        <w:rPr>
          <w:rFonts w:cs="Arial"/>
          <w:spacing w:val="-2"/>
          <w:szCs w:val="12"/>
        </w:rPr>
        <w:t xml:space="preserve">Emtricitabine, oral (red cell aplasia adverse drug reaction): Cohen K, Viljoen C, Njuguna C, Maartens G. Emtricitabine-associated red cell aplasia. AIDS. 2019 May 1;33(6):1095-1096. </w:t>
      </w:r>
      <w:hyperlink r:id="rId33" w:history="1">
        <w:r w:rsidRPr="00367F15">
          <w:rPr>
            <w:rStyle w:val="Hyperlink"/>
            <w:rFonts w:cs="Arial"/>
            <w:spacing w:val="-2"/>
            <w:szCs w:val="12"/>
          </w:rPr>
          <w:t>https://www.ncbi.nlm.nih.gov/pubmed/30946164</w:t>
        </w:r>
      </w:hyperlink>
      <w:r w:rsidRPr="00367F15">
        <w:rPr>
          <w:rFonts w:cs="Arial"/>
          <w:spacing w:val="-2"/>
          <w:szCs w:val="12"/>
        </w:rPr>
        <w:t xml:space="preserve"> </w:t>
      </w:r>
    </w:p>
  </w:endnote>
  <w:endnote w:id="24">
    <w:p w14:paraId="62D0509B" w14:textId="77777777" w:rsidR="00B9629C" w:rsidRPr="00367F15" w:rsidRDefault="00B9629C" w:rsidP="00840AAC">
      <w:pPr>
        <w:spacing w:before="0" w:after="0"/>
        <w:jc w:val="both"/>
        <w:rPr>
          <w:rFonts w:cs="Arial"/>
          <w:sz w:val="12"/>
          <w:szCs w:val="12"/>
        </w:rPr>
      </w:pPr>
      <w:r w:rsidRPr="00367F15">
        <w:rPr>
          <w:rStyle w:val="EndnoteReference"/>
          <w:rFonts w:cs="Arial"/>
          <w:spacing w:val="-2"/>
        </w:rPr>
        <w:endnoteRef/>
      </w:r>
      <w:r w:rsidRPr="00367F15">
        <w:rPr>
          <w:rFonts w:cs="Arial"/>
          <w:spacing w:val="-2"/>
          <w:sz w:val="12"/>
          <w:szCs w:val="12"/>
        </w:rPr>
        <w:t xml:space="preserve">Efavirenz, oral (encephalopathy adverse drug reaction): </w:t>
      </w:r>
      <w:r w:rsidRPr="00367F15">
        <w:rPr>
          <w:rFonts w:cs="Arial"/>
          <w:sz w:val="12"/>
          <w:szCs w:val="12"/>
        </w:rPr>
        <w:t xml:space="preserve">Variava E, Sigauke FR, Norman J, Rakgokong M, Muchichwa P, Mochan A, Maartens  G, Martinson NA. Brief Report: Late Efavirenz-Induced Ataxia and Encephalopathy: A Case Series. J Acquir Immune Defic Syndr. 2017 Aug 15;75(5):577-579. </w:t>
      </w:r>
      <w:hyperlink r:id="rId34" w:history="1">
        <w:r w:rsidRPr="00367F15">
          <w:rPr>
            <w:rStyle w:val="Hyperlink"/>
            <w:rFonts w:cs="Arial"/>
            <w:sz w:val="12"/>
            <w:szCs w:val="12"/>
          </w:rPr>
          <w:t>https://www.ncbi.nlm.nih.gov/pubmed/28520619</w:t>
        </w:r>
      </w:hyperlink>
    </w:p>
  </w:endnote>
  <w:endnote w:id="25">
    <w:p w14:paraId="2A440F7D" w14:textId="06E5FF33" w:rsidR="00B9629C" w:rsidRPr="00367F15" w:rsidRDefault="00B9629C" w:rsidP="00840AAC">
      <w:pPr>
        <w:pStyle w:val="EndnoteText"/>
        <w:tabs>
          <w:tab w:val="left" w:pos="90"/>
        </w:tabs>
        <w:spacing w:before="0" w:after="0"/>
        <w:jc w:val="both"/>
        <w:rPr>
          <w:rStyle w:val="Hyperlink"/>
          <w:szCs w:val="16"/>
        </w:rPr>
      </w:pPr>
      <w:r w:rsidRPr="00367F15">
        <w:rPr>
          <w:rStyle w:val="EndnoteReference"/>
          <w:rFonts w:cs="Arial"/>
          <w:spacing w:val="-2"/>
        </w:rPr>
        <w:endnoteRef/>
      </w:r>
      <w:r w:rsidRPr="00367F15">
        <w:rPr>
          <w:rFonts w:cs="Arial"/>
          <w:spacing w:val="-2"/>
          <w:szCs w:val="12"/>
        </w:rPr>
        <w:t xml:space="preserve"> Dosing of ART and  ADRs: </w:t>
      </w:r>
      <w:r w:rsidRPr="00367F15">
        <w:rPr>
          <w:rFonts w:cs="Arial"/>
          <w:spacing w:val="-2"/>
          <w:szCs w:val="16"/>
        </w:rPr>
        <w:t>Dosing of ART and  ADRs</w:t>
      </w:r>
      <w:r w:rsidRPr="00367F15">
        <w:rPr>
          <w:szCs w:val="16"/>
        </w:rPr>
        <w:t xml:space="preserve">: </w:t>
      </w:r>
      <w:r w:rsidRPr="00367F15">
        <w:rPr>
          <w:rFonts w:cs="Arial"/>
          <w:color w:val="000000"/>
          <w:szCs w:val="16"/>
          <w:lang w:eastAsia="en-ZA"/>
        </w:rPr>
        <w:t xml:space="preserve">Dosing of ART and ADRs: </w:t>
      </w:r>
      <w:r w:rsidRPr="00367F15">
        <w:rPr>
          <w:szCs w:val="12"/>
        </w:rPr>
        <w:t xml:space="preserve">South African National Department of Health. 2023 Antiretroviral Therapy Clinical Guidelines for the Management of HIV in Adults, Pregnancy and Breastfeeding, Adolescents, Children, Infants and Neonates. April 2023. </w:t>
      </w:r>
      <w:hyperlink r:id="rId35" w:history="1">
        <w:r w:rsidRPr="00367F15">
          <w:rPr>
            <w:rStyle w:val="Hyperlink"/>
            <w:szCs w:val="16"/>
          </w:rPr>
          <w:t>https://www.knowledgehub.org.za/elibrary/national-consolidated-guidelines-management-hiv-adults-adolescents-children-and-infants</w:t>
        </w:r>
      </w:hyperlink>
    </w:p>
    <w:p w14:paraId="1012EE8D" w14:textId="77777777" w:rsidR="00B9629C" w:rsidRPr="00367F15" w:rsidRDefault="00B9629C" w:rsidP="00840AAC">
      <w:pPr>
        <w:pStyle w:val="EndnoteText"/>
        <w:tabs>
          <w:tab w:val="left" w:pos="90"/>
        </w:tabs>
        <w:spacing w:before="0" w:after="0"/>
        <w:jc w:val="both"/>
        <w:rPr>
          <w:rStyle w:val="Hyperlink"/>
          <w:szCs w:val="12"/>
        </w:rPr>
      </w:pPr>
      <w:r w:rsidRPr="00367F15">
        <w:rPr>
          <w:rFonts w:cs="Arial"/>
          <w:spacing w:val="-2"/>
          <w:szCs w:val="12"/>
        </w:rPr>
        <w:tab/>
        <w:t>Dosing of ART and ADRs: South African Medicines Formulary, 14th Edition.  Division of Clinical Pharmacology.  University of Cape Town, 2022.</w:t>
      </w:r>
      <w:r w:rsidRPr="00367F15">
        <w:rPr>
          <w:rStyle w:val="Hyperlink"/>
          <w:szCs w:val="12"/>
          <w:u w:val="none"/>
        </w:rPr>
        <w:tab/>
      </w:r>
    </w:p>
    <w:p w14:paraId="41565D48" w14:textId="77777777" w:rsidR="00B9629C" w:rsidRPr="00367F15" w:rsidRDefault="00B9629C" w:rsidP="00840AAC">
      <w:pPr>
        <w:pStyle w:val="EndnoteText"/>
        <w:tabs>
          <w:tab w:val="left" w:pos="90"/>
        </w:tabs>
        <w:spacing w:before="0" w:after="0"/>
        <w:jc w:val="both"/>
        <w:rPr>
          <w:rFonts w:cs="Arial"/>
          <w:spacing w:val="-2"/>
          <w:szCs w:val="12"/>
        </w:rPr>
      </w:pPr>
      <w:r w:rsidRPr="00367F15">
        <w:rPr>
          <w:rStyle w:val="Hyperlink"/>
          <w:szCs w:val="12"/>
          <w:u w:val="none"/>
        </w:rPr>
        <w:tab/>
      </w:r>
      <w:r w:rsidRPr="00367F15">
        <w:rPr>
          <w:rFonts w:cs="Arial"/>
          <w:spacing w:val="-2"/>
          <w:szCs w:val="12"/>
        </w:rPr>
        <w:t xml:space="preserve">Dosing of ART and ADRs: Datapharm Ltd. Electronic medicines compendium (emc). [Internet][Accessed 28 November 2019] </w:t>
      </w:r>
      <w:hyperlink r:id="rId36" w:history="1">
        <w:r w:rsidRPr="00367F15">
          <w:rPr>
            <w:rStyle w:val="Hyperlink"/>
            <w:szCs w:val="12"/>
          </w:rPr>
          <w:t>https://www.medicines.org.uk/emc/</w:t>
        </w:r>
      </w:hyperlink>
      <w:r w:rsidRPr="00367F15">
        <w:rPr>
          <w:szCs w:val="12"/>
        </w:rPr>
        <w:t xml:space="preserve"> </w:t>
      </w:r>
    </w:p>
    <w:p w14:paraId="667EEF4D" w14:textId="77777777" w:rsidR="00B9629C" w:rsidRPr="00367F15" w:rsidRDefault="00B9629C" w:rsidP="00840AAC">
      <w:pPr>
        <w:pStyle w:val="EndnoteText"/>
        <w:tabs>
          <w:tab w:val="left" w:pos="90"/>
        </w:tabs>
        <w:spacing w:before="0" w:after="0"/>
        <w:jc w:val="both"/>
        <w:rPr>
          <w:szCs w:val="12"/>
        </w:rPr>
      </w:pPr>
      <w:r w:rsidRPr="00367F15">
        <w:rPr>
          <w:szCs w:val="12"/>
        </w:rPr>
        <w:tab/>
        <w:t xml:space="preserve">Dosing of ART (renal impairment): Lucas GM, Ross MJ, Stock PG, Shlipak MG, Wyatt CM, Gupta SK, et al.; HIV Medicine Association of the Infectious Diseases Society of America. Clinical practice guideline for the management of chronic kidney disease in patients infected with HIV: 2014 update by the HIV Medicine Association of the Infectious Diseases Society of America. Clin Infect Dis. 2014 Nov 1;59(9):e96-138. </w:t>
      </w:r>
      <w:hyperlink r:id="rId37" w:history="1">
        <w:r w:rsidRPr="00367F15">
          <w:rPr>
            <w:rStyle w:val="Hyperlink"/>
            <w:szCs w:val="12"/>
          </w:rPr>
          <w:t>http://www.ncbi.nlm.nih.gov/pubmed/25234519</w:t>
        </w:r>
      </w:hyperlink>
    </w:p>
    <w:p w14:paraId="2EAF3B62" w14:textId="77777777" w:rsidR="00B9629C" w:rsidRPr="00367F15" w:rsidRDefault="00B9629C" w:rsidP="00840AAC">
      <w:pPr>
        <w:pStyle w:val="EndnoteText"/>
        <w:tabs>
          <w:tab w:val="left" w:pos="90"/>
        </w:tabs>
        <w:spacing w:before="0" w:after="0"/>
        <w:jc w:val="both"/>
        <w:rPr>
          <w:szCs w:val="12"/>
        </w:rPr>
      </w:pPr>
      <w:r w:rsidRPr="00367F15">
        <w:rPr>
          <w:szCs w:val="12"/>
        </w:rPr>
        <w:tab/>
        <w:t>Dosing of ART (renal impairment): Meintjes G, Moorhouse MA, Carmona S, Davies N, Dlamini S, van Vuuren C, Manzini T, et al. Adult antiretroviral therapy guidelines 2017. South Afr J HIV Med. 2017 Jul 15;18(1):776. doi: 10.4102/sajhivmed.v18i1.776.</w:t>
      </w:r>
      <w:r w:rsidRPr="00367F15" w:rsidDel="00AF68D8">
        <w:rPr>
          <w:szCs w:val="12"/>
        </w:rPr>
        <w:t xml:space="preserve"> </w:t>
      </w:r>
      <w:hyperlink r:id="rId38" w:history="1">
        <w:r w:rsidRPr="00367F15">
          <w:rPr>
            <w:rStyle w:val="Hyperlink"/>
            <w:szCs w:val="12"/>
          </w:rPr>
          <w:t>https://pubmed.ncbi.nlm.nih.gov/29568644/</w:t>
        </w:r>
      </w:hyperlink>
      <w:r w:rsidRPr="00367F15">
        <w:rPr>
          <w:szCs w:val="12"/>
        </w:rPr>
        <w:t xml:space="preserve"> </w:t>
      </w:r>
    </w:p>
  </w:endnote>
  <w:endnote w:id="26">
    <w:p w14:paraId="66FAB5AD" w14:textId="77777777" w:rsidR="00B9629C" w:rsidRPr="00367F15" w:rsidRDefault="00B9629C" w:rsidP="00840AAC">
      <w:pPr>
        <w:pStyle w:val="EndnoteText"/>
        <w:tabs>
          <w:tab w:val="left" w:pos="90"/>
        </w:tabs>
        <w:spacing w:before="0" w:after="0"/>
        <w:jc w:val="both"/>
        <w:rPr>
          <w:rFonts w:cs="Arial"/>
          <w:color w:val="000000"/>
          <w:szCs w:val="16"/>
          <w:lang w:eastAsia="en-ZA"/>
        </w:rPr>
      </w:pPr>
      <w:r w:rsidRPr="00367F15">
        <w:rPr>
          <w:rStyle w:val="EndnoteReference"/>
          <w:rFonts w:cs="Arial"/>
          <w:spacing w:val="-2"/>
        </w:rPr>
        <w:endnoteRef/>
      </w:r>
      <w:r w:rsidRPr="00367F15">
        <w:rPr>
          <w:rFonts w:cs="Arial"/>
          <w:spacing w:val="-2"/>
          <w:szCs w:val="12"/>
        </w:rPr>
        <w:t xml:space="preserve"> ART-rifampicin drug interaction</w:t>
      </w:r>
      <w:r w:rsidRPr="00367F15">
        <w:rPr>
          <w:szCs w:val="12"/>
        </w:rPr>
        <w:t xml:space="preserve">: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39"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3B18A848" w14:textId="77777777" w:rsidR="00B9629C" w:rsidRPr="00367F15" w:rsidRDefault="00B9629C" w:rsidP="00840AAC">
      <w:pPr>
        <w:pStyle w:val="EndnoteText"/>
        <w:tabs>
          <w:tab w:val="left" w:pos="90"/>
        </w:tabs>
        <w:spacing w:before="0" w:after="0"/>
        <w:jc w:val="both"/>
        <w:rPr>
          <w:rStyle w:val="Hyperlink"/>
          <w:szCs w:val="12"/>
        </w:rPr>
      </w:pPr>
      <w:r w:rsidRPr="00367F15">
        <w:rPr>
          <w:rFonts w:cs="Arial"/>
          <w:color w:val="000000"/>
          <w:szCs w:val="16"/>
          <w:lang w:eastAsia="en-ZA"/>
        </w:rPr>
        <w:tab/>
      </w:r>
      <w:r w:rsidRPr="00367F15">
        <w:rPr>
          <w:rFonts w:cs="Arial"/>
          <w:spacing w:val="-2"/>
          <w:szCs w:val="12"/>
        </w:rPr>
        <w:t>ART-rifampicin drug interaction</w:t>
      </w:r>
      <w:r w:rsidRPr="00367F15">
        <w:rPr>
          <w:szCs w:val="12"/>
        </w:rPr>
        <w:t>: South African National Department of Health. 2023 Antiretroviral Therapy Clinical Guidelines for the Management of HIV in Adults, Pregnancy and Breastfeeding, Adolescents, Children, Infants and Neonates. April 2023.</w:t>
      </w:r>
    </w:p>
    <w:p w14:paraId="3BFCA45A" w14:textId="77777777" w:rsidR="00B9629C" w:rsidRPr="00367F15" w:rsidRDefault="00B9629C" w:rsidP="00840AAC">
      <w:pPr>
        <w:pStyle w:val="EndnoteText"/>
        <w:tabs>
          <w:tab w:val="left" w:pos="90"/>
        </w:tabs>
        <w:spacing w:before="0" w:after="0"/>
        <w:jc w:val="both"/>
      </w:pPr>
    </w:p>
  </w:endnote>
  <w:endnote w:id="27">
    <w:p w14:paraId="01EC6B93" w14:textId="77777777" w:rsidR="00B9629C" w:rsidRPr="00367F15" w:rsidRDefault="00B9629C" w:rsidP="00840AAC">
      <w:pPr>
        <w:pStyle w:val="EndnoteText"/>
        <w:tabs>
          <w:tab w:val="left" w:pos="90"/>
        </w:tabs>
        <w:spacing w:before="0" w:after="0"/>
        <w:jc w:val="both"/>
        <w:rPr>
          <w:rFonts w:cs="Arial"/>
          <w:color w:val="000000"/>
          <w:szCs w:val="16"/>
          <w:lang w:eastAsia="en-ZA"/>
        </w:rPr>
      </w:pPr>
      <w:r w:rsidRPr="00367F15">
        <w:rPr>
          <w:rStyle w:val="EndnoteReference"/>
        </w:rPr>
        <w:endnoteRef/>
      </w:r>
      <w:r w:rsidRPr="00367F15">
        <w:rPr>
          <w:szCs w:val="12"/>
        </w:rPr>
        <w:t xml:space="preserve"> Drug interactions with dolutegravir: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40"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65E791B5" w14:textId="48EDD9B8" w:rsidR="00B9629C" w:rsidRPr="00367F15" w:rsidRDefault="00B9629C" w:rsidP="00840AAC">
      <w:pPr>
        <w:pStyle w:val="EndnoteText"/>
        <w:tabs>
          <w:tab w:val="left" w:pos="142"/>
        </w:tabs>
        <w:spacing w:before="0" w:after="0"/>
        <w:jc w:val="both"/>
        <w:rPr>
          <w:color w:val="0000FF"/>
          <w:szCs w:val="16"/>
          <w:u w:val="single"/>
        </w:rPr>
      </w:pPr>
      <w:r w:rsidRPr="00367F15">
        <w:rPr>
          <w:rFonts w:cs="Arial"/>
          <w:color w:val="000000"/>
          <w:szCs w:val="16"/>
          <w:lang w:eastAsia="en-ZA"/>
        </w:rPr>
        <w:tab/>
      </w:r>
      <w:r w:rsidRPr="00367F15">
        <w:rPr>
          <w:szCs w:val="12"/>
        </w:rPr>
        <w:t>Drug interactions with dolutegravir: South African National Department of Health. 2023 Antiretroviral Therapy Clinical Guidelines for the Management of HIV in Adults, Pregnancy and Breastfeeding, Adolescents, Children, Infants and Neonates. April 2023.</w:t>
      </w:r>
    </w:p>
  </w:endnote>
  <w:endnote w:id="28">
    <w:p w14:paraId="63D4BCCD" w14:textId="7209656D" w:rsidR="00B9629C" w:rsidRPr="00367F15" w:rsidRDefault="00B9629C" w:rsidP="00840AAC">
      <w:pPr>
        <w:pStyle w:val="EndnoteText"/>
        <w:spacing w:before="0" w:after="0"/>
        <w:jc w:val="both"/>
      </w:pPr>
      <w:r w:rsidRPr="00367F15">
        <w:rPr>
          <w:rStyle w:val="EndnoteReference"/>
        </w:rPr>
        <w:endnoteRef/>
      </w:r>
      <w:r w:rsidRPr="00367F15">
        <w:tab/>
        <w:t xml:space="preserve">Atazanavir-PPI/H2-anatagonist interaction: University of Liverpool HIV Drug Interaction online tool. </w:t>
      </w:r>
      <w:hyperlink r:id="rId41" w:history="1">
        <w:r w:rsidRPr="00367F15">
          <w:rPr>
            <w:rStyle w:val="Hyperlink"/>
          </w:rPr>
          <w:t>https://www.hiv-druginteractions.org/checker</w:t>
        </w:r>
      </w:hyperlink>
      <w:r w:rsidRPr="00367F15">
        <w:rPr>
          <w:rStyle w:val="Strong"/>
          <w:b w:val="0"/>
          <w:bCs w:val="0"/>
        </w:rPr>
        <w:t xml:space="preserve"> </w:t>
      </w:r>
    </w:p>
    <w:p w14:paraId="735BEE58" w14:textId="772559A5" w:rsidR="00B9629C" w:rsidRPr="00367F15" w:rsidRDefault="00B9629C" w:rsidP="00840AAC">
      <w:pPr>
        <w:pStyle w:val="EndnoteText"/>
        <w:spacing w:before="0" w:after="0"/>
        <w:jc w:val="both"/>
      </w:pPr>
      <w:r w:rsidRPr="00367F15">
        <w:tab/>
        <w:t xml:space="preserve">Atazanavir-PPI interaction: Khanlou H, Farthing C. Co-administration of atazanavir with proton-pump inhibitors and H2 blockers. J Acquir Immune Defic Syndr. 2005 Aug 1;39(4):503. </w:t>
      </w:r>
      <w:hyperlink r:id="rId42" w:history="1">
        <w:r w:rsidRPr="00367F15">
          <w:rPr>
            <w:rStyle w:val="Hyperlink"/>
          </w:rPr>
          <w:t>https://www.ncbi.nlm.nih.gov/pubmed/16010179</w:t>
        </w:r>
      </w:hyperlink>
      <w:r w:rsidRPr="00367F15">
        <w:rPr>
          <w:rStyle w:val="Strong"/>
          <w:b w:val="0"/>
          <w:bCs w:val="0"/>
        </w:rPr>
        <w:t xml:space="preserve"> </w:t>
      </w:r>
    </w:p>
    <w:p w14:paraId="28D3990F" w14:textId="7C63877E" w:rsidR="00B9629C" w:rsidRPr="00367F15" w:rsidRDefault="00B9629C" w:rsidP="00840AAC">
      <w:pPr>
        <w:pStyle w:val="EndnoteText"/>
        <w:spacing w:before="0" w:after="0"/>
        <w:jc w:val="both"/>
      </w:pPr>
      <w:r w:rsidRPr="00367F15">
        <w:tab/>
        <w:t>Atazanavir-PPI interaction: European Medicines Agency. Public Statement: Important new pharmacokinetic data demonstrating that REYATAZ(atazanavir sulfate) combined with NORVIR (ritonavir</w:t>
      </w:r>
      <w:r w:rsidRPr="00367F15">
        <w:fldChar w:fldCharType="begin"/>
      </w:r>
      <w:r w:rsidRPr="00367F15">
        <w:instrText xml:space="preserve"> XE "ritonavir" </w:instrText>
      </w:r>
      <w:r w:rsidRPr="00367F15">
        <w:fldChar w:fldCharType="end"/>
      </w:r>
      <w:r w:rsidRPr="00367F15">
        <w:t xml:space="preserve">) and omeprazole should not be co-administered, 21 December 2004. </w:t>
      </w:r>
      <w:hyperlink r:id="rId43" w:history="1">
        <w:r w:rsidRPr="00367F15">
          <w:rPr>
            <w:rStyle w:val="Hyperlink"/>
          </w:rPr>
          <w:t>https://www.ema.europa.eu/en/documents/public-statement/important-new-pharmacokinetic-data-demonstrating-reyataz-atazanavir-sulfate-combined-norvir_en.pdf</w:t>
        </w:r>
      </w:hyperlink>
      <w:r w:rsidRPr="00367F15">
        <w:rPr>
          <w:rStyle w:val="Strong"/>
          <w:b w:val="0"/>
          <w:bCs w:val="0"/>
        </w:rPr>
        <w:t xml:space="preserve"> </w:t>
      </w:r>
    </w:p>
  </w:endnote>
  <w:endnote w:id="29">
    <w:p w14:paraId="178EC81B" w14:textId="591770A8" w:rsidR="00B9629C" w:rsidRPr="00367F15" w:rsidRDefault="00B9629C" w:rsidP="00840AAC">
      <w:pPr>
        <w:pStyle w:val="EndnoteText"/>
        <w:spacing w:before="0" w:after="0"/>
        <w:jc w:val="both"/>
      </w:pPr>
      <w:r w:rsidRPr="00367F15">
        <w:rPr>
          <w:rStyle w:val="EndnoteReference"/>
        </w:rPr>
        <w:endnoteRef/>
      </w:r>
      <w:r w:rsidRPr="00367F15">
        <w:tab/>
        <w:t>Cotrimoxazole, oral</w:t>
      </w:r>
      <w:r w:rsidRPr="00367F15">
        <w:fldChar w:fldCharType="begin"/>
      </w:r>
      <w:r w:rsidRPr="00367F15">
        <w:instrText xml:space="preserve"> XE "Cotrimoxazole, oral" </w:instrText>
      </w:r>
      <w:r w:rsidRPr="00367F15">
        <w:fldChar w:fldCharType="end"/>
      </w:r>
      <w:r w:rsidRPr="00367F15">
        <w:t xml:space="preserve"> (indications for primary prophylaxis):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44"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5B9F6C61" w14:textId="6A522743" w:rsidR="00B9629C" w:rsidRPr="00367F15" w:rsidRDefault="00B9629C" w:rsidP="00840AAC">
      <w:pPr>
        <w:pStyle w:val="EndnoteText"/>
        <w:spacing w:before="0" w:after="0"/>
        <w:jc w:val="both"/>
      </w:pPr>
      <w:r w:rsidRPr="00367F15">
        <w:tab/>
        <w:t>Cotrimoxazole, oral</w:t>
      </w:r>
      <w:r w:rsidRPr="00367F15">
        <w:fldChar w:fldCharType="begin"/>
      </w:r>
      <w:r w:rsidRPr="00367F15">
        <w:instrText xml:space="preserve"> XE "Cotrimoxazole, oral" </w:instrText>
      </w:r>
      <w:r w:rsidRPr="00367F15">
        <w:fldChar w:fldCharType="end"/>
      </w:r>
      <w:r w:rsidRPr="00367F15">
        <w:t xml:space="preserve"> (primary prophylaxis in pregnancy): </w:t>
      </w:r>
      <w:r w:rsidRPr="00367F15">
        <w:rPr>
          <w:rStyle w:val="Strong"/>
          <w:b w:val="0"/>
          <w:bCs w:val="0"/>
        </w:rPr>
        <w:t xml:space="preserve">National Department of Health: Affordable Medicines, EDP-Adult Hospital level. Evidence summary: Is co-trimoxazole safe to use in pregnancy, March 2011. </w:t>
      </w:r>
      <w:hyperlink r:id="rId45" w:history="1">
        <w:r w:rsidRPr="00367F15">
          <w:rPr>
            <w:rStyle w:val="Hyperlink"/>
          </w:rPr>
          <w:t>http://www.health.gov.za/</w:t>
        </w:r>
      </w:hyperlink>
      <w:r w:rsidRPr="00367F15">
        <w:rPr>
          <w:rStyle w:val="Strong"/>
          <w:b w:val="0"/>
          <w:bCs w:val="0"/>
        </w:rPr>
        <w:t xml:space="preserve"> </w:t>
      </w:r>
    </w:p>
  </w:endnote>
  <w:endnote w:id="30">
    <w:p w14:paraId="1087730C" w14:textId="2B98FC79" w:rsidR="00B9629C" w:rsidRPr="00367F15" w:rsidRDefault="00B9629C" w:rsidP="00840AAC">
      <w:pPr>
        <w:pStyle w:val="EndnoteText"/>
        <w:spacing w:before="0" w:after="0"/>
        <w:jc w:val="both"/>
      </w:pPr>
      <w:r w:rsidRPr="00367F15">
        <w:rPr>
          <w:rStyle w:val="EndnoteReference"/>
        </w:rPr>
        <w:endnoteRef/>
      </w:r>
      <w:r w:rsidRPr="00367F15">
        <w:tab/>
        <w:t>Cotrimoxazole, oral</w:t>
      </w:r>
      <w:r w:rsidRPr="00367F15">
        <w:fldChar w:fldCharType="begin"/>
      </w:r>
      <w:r w:rsidRPr="00367F15">
        <w:instrText xml:space="preserve"> XE "Cotrimoxazole, oral" </w:instrText>
      </w:r>
      <w:r w:rsidRPr="00367F15">
        <w:fldChar w:fldCharType="end"/>
      </w:r>
      <w:r w:rsidRPr="00367F15">
        <w:t xml:space="preserve">: </w:t>
      </w:r>
      <w:r w:rsidRPr="00367F15">
        <w:rPr>
          <w:rStyle w:val="Strong"/>
          <w:b w:val="0"/>
          <w:bCs w:val="0"/>
        </w:rPr>
        <w:t>National Department of Health: Affordable Medicines, EDP-Adult Hospital level. Medicine review: CD4 cut</w:t>
      </w:r>
      <w:r w:rsidRPr="00367F15">
        <w:rPr>
          <w:rStyle w:val="Strong"/>
          <w:rFonts w:ascii="Cambria Math" w:hAnsi="Cambria Math" w:cs="Cambria Math"/>
          <w:b w:val="0"/>
          <w:bCs w:val="0"/>
        </w:rPr>
        <w:t>‐</w:t>
      </w:r>
      <w:r w:rsidRPr="00367F15">
        <w:rPr>
          <w:rStyle w:val="Strong"/>
          <w:b w:val="0"/>
          <w:bCs w:val="0"/>
        </w:rPr>
        <w:t>off for cotrimoxazole for OI prophylaxis in PLHIV, May 2017.</w:t>
      </w:r>
      <w:r w:rsidRPr="00367F15">
        <w:t xml:space="preserve"> </w:t>
      </w:r>
      <w:hyperlink r:id="rId46" w:history="1">
        <w:r w:rsidRPr="00367F15">
          <w:rPr>
            <w:rStyle w:val="Hyperlink"/>
          </w:rPr>
          <w:t>http://www.health.gov.za/</w:t>
        </w:r>
      </w:hyperlink>
      <w:r w:rsidRPr="00367F15">
        <w:rPr>
          <w:rStyle w:val="Strong"/>
          <w:b w:val="0"/>
          <w:bCs w:val="0"/>
        </w:rPr>
        <w:t xml:space="preserve"> </w:t>
      </w:r>
    </w:p>
    <w:p w14:paraId="37555F1D" w14:textId="1DD54331" w:rsidR="00B9629C" w:rsidRPr="00367F15" w:rsidRDefault="00B9629C" w:rsidP="00840AAC">
      <w:pPr>
        <w:pStyle w:val="EndnoteText"/>
        <w:spacing w:before="0" w:after="0"/>
        <w:jc w:val="both"/>
      </w:pPr>
      <w:r w:rsidRPr="00367F15">
        <w:tab/>
        <w:t>Cotrimoxazole, oral</w:t>
      </w:r>
      <w:r w:rsidRPr="00367F15">
        <w:fldChar w:fldCharType="begin"/>
      </w:r>
      <w:r w:rsidRPr="00367F15">
        <w:instrText xml:space="preserve"> XE "Cotrimoxazole, oral" </w:instrText>
      </w:r>
      <w:r w:rsidRPr="00367F15">
        <w:fldChar w:fldCharType="end"/>
      </w:r>
      <w:r w:rsidRPr="00367F15">
        <w:t xml:space="preserve">: Grimwade K, Swingler, G. Cotrimoxazole prophylaxis for opportunistic infections in adults with HIV. Cochrane Database Syst Rev. 2003;(3):CD003108. </w:t>
      </w:r>
      <w:hyperlink r:id="rId47" w:history="1">
        <w:r w:rsidRPr="00367F15">
          <w:rPr>
            <w:rStyle w:val="Hyperlink"/>
          </w:rPr>
          <w:t>http://www.ncbi.nlm.nih.gov/pubmed/12917946</w:t>
        </w:r>
      </w:hyperlink>
      <w:r w:rsidRPr="00367F15">
        <w:rPr>
          <w:rStyle w:val="Strong"/>
          <w:b w:val="0"/>
          <w:bCs w:val="0"/>
        </w:rPr>
        <w:t xml:space="preserve"> </w:t>
      </w:r>
    </w:p>
  </w:endnote>
  <w:endnote w:id="31">
    <w:p w14:paraId="382040E5" w14:textId="38B7DE0B" w:rsidR="00B9629C" w:rsidRPr="00367F15" w:rsidRDefault="00B9629C" w:rsidP="00840AAC">
      <w:pPr>
        <w:pStyle w:val="EndnoteText"/>
        <w:tabs>
          <w:tab w:val="left" w:pos="90"/>
        </w:tabs>
        <w:spacing w:before="0" w:after="0"/>
        <w:jc w:val="both"/>
        <w:rPr>
          <w:rStyle w:val="Hyperlink"/>
          <w:rFonts w:cs="Arial"/>
          <w:color w:val="auto"/>
          <w:spacing w:val="-2"/>
          <w:szCs w:val="12"/>
          <w:u w:val="none"/>
        </w:rPr>
      </w:pPr>
      <w:r w:rsidRPr="00367F15">
        <w:rPr>
          <w:rStyle w:val="EndnoteReference"/>
        </w:rPr>
        <w:endnoteRef/>
      </w:r>
      <w:r w:rsidRPr="00367F15">
        <w:tab/>
      </w:r>
      <w:r w:rsidRPr="00367F15">
        <w:rPr>
          <w:rFonts w:cs="Arial"/>
          <w:spacing w:val="-2"/>
          <w:szCs w:val="12"/>
        </w:rPr>
        <w:t xml:space="preserve">Cotrimoxazole, oral (criteria for discontinuation):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48"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48667465" w14:textId="1356F2E7" w:rsidR="00B9629C" w:rsidRPr="00367F15" w:rsidRDefault="00B9629C" w:rsidP="00840AAC">
      <w:pPr>
        <w:pStyle w:val="EndnoteText"/>
        <w:spacing w:before="0" w:after="0"/>
        <w:jc w:val="both"/>
      </w:pPr>
      <w:r w:rsidRPr="00367F15">
        <w:rPr>
          <w:rStyle w:val="Hyperlink"/>
          <w:spacing w:val="-2"/>
          <w:szCs w:val="12"/>
          <w:u w:val="none"/>
        </w:rPr>
        <w:tab/>
      </w:r>
      <w:r w:rsidRPr="00367F15">
        <w:rPr>
          <w:rFonts w:cs="Arial"/>
          <w:spacing w:val="-2"/>
          <w:szCs w:val="12"/>
        </w:rPr>
        <w:t xml:space="preserve">Cotrimoxazole, oral (criteria for discontinuation): </w:t>
      </w:r>
      <w:r w:rsidRPr="00367F15">
        <w:rPr>
          <w:szCs w:val="12"/>
        </w:rPr>
        <w:t xml:space="preserve">National Department of Health: National Consolidated Guidelines for the Management of HIV in Adults, Adolescents, Children and Infants and Prevention of Mother-to-Child Transmission, June 2020. </w:t>
      </w:r>
      <w:hyperlink r:id="rId49" w:history="1">
        <w:r w:rsidRPr="00367F15">
          <w:rPr>
            <w:rStyle w:val="Hyperlink"/>
            <w:szCs w:val="12"/>
          </w:rPr>
          <w:t>https://www.knowledgehub.org.za/elibrary/national-consolidated-guidelines-management-hiv-adults-adolescents-children-and-infants</w:t>
        </w:r>
      </w:hyperlink>
    </w:p>
  </w:endnote>
  <w:endnote w:id="32">
    <w:p w14:paraId="50720A88" w14:textId="77777777" w:rsidR="00B9629C" w:rsidRPr="00367F15" w:rsidRDefault="00B9629C" w:rsidP="00F12F3B">
      <w:pPr>
        <w:pStyle w:val="EndnoteText"/>
        <w:tabs>
          <w:tab w:val="left" w:pos="142"/>
        </w:tabs>
        <w:spacing w:before="0" w:after="0"/>
        <w:jc w:val="both"/>
        <w:rPr>
          <w:rStyle w:val="Hyperlink"/>
          <w:szCs w:val="12"/>
        </w:rPr>
      </w:pPr>
      <w:r w:rsidRPr="00367F15">
        <w:rPr>
          <w:rStyle w:val="EndnoteReference"/>
          <w:rFonts w:cs="Arial"/>
        </w:rPr>
        <w:endnoteRef/>
      </w:r>
      <w:r w:rsidRPr="00367F15">
        <w:rPr>
          <w:rFonts w:cs="Arial"/>
          <w:szCs w:val="12"/>
        </w:rPr>
        <w:t xml:space="preserve">Isoniazid (IPT): </w:t>
      </w:r>
      <w:r w:rsidRPr="00367F15">
        <w:rPr>
          <w:szCs w:val="12"/>
        </w:rPr>
        <w:t xml:space="preserve">Affordable Medicines, EDP- Adult Hospital level. Medicine Review: Isoniazid TB prophylaxis in PLHIV, November 2018. </w:t>
      </w:r>
      <w:hyperlink r:id="rId50" w:history="1">
        <w:r w:rsidRPr="00367F15">
          <w:rPr>
            <w:rStyle w:val="Hyperlink"/>
            <w:szCs w:val="12"/>
          </w:rPr>
          <w:t>https://www.knowledgehub.org.za/content/standard-treatment-guidelines-and-essential-medicines-list</w:t>
        </w:r>
      </w:hyperlink>
    </w:p>
    <w:p w14:paraId="420ADD8C" w14:textId="77777777" w:rsidR="00B9629C" w:rsidRPr="00367F15" w:rsidRDefault="00B9629C" w:rsidP="00F12F3B">
      <w:pPr>
        <w:pStyle w:val="EndnoteText"/>
        <w:tabs>
          <w:tab w:val="left" w:pos="142"/>
        </w:tabs>
        <w:spacing w:before="0" w:after="0"/>
        <w:jc w:val="both"/>
        <w:rPr>
          <w:rStyle w:val="Hyperlink"/>
          <w:szCs w:val="12"/>
        </w:rPr>
      </w:pPr>
      <w:r w:rsidRPr="00367F15">
        <w:rPr>
          <w:rStyle w:val="Hyperlink"/>
          <w:szCs w:val="12"/>
          <w:u w:val="none"/>
        </w:rPr>
        <w:tab/>
      </w:r>
      <w:r w:rsidRPr="00367F15">
        <w:rPr>
          <w:rFonts w:cs="Arial"/>
          <w:szCs w:val="12"/>
        </w:rPr>
        <w:t xml:space="preserve">Isoniazid (IPT): Rangaka MX, Wilkinson RJ, Boulle A, Glynn JR, Fielding K, van Cutsem G, et al. Isoniazid plus antiretroviral therapy to prevent tuberculosis: a randomised double-blind placebo-controlled trial. Lancet 2014;384(9944):682-90. </w:t>
      </w:r>
      <w:hyperlink r:id="rId51" w:history="1">
        <w:r w:rsidRPr="00367F15">
          <w:rPr>
            <w:rStyle w:val="Hyperlink"/>
            <w:rFonts w:cs="Arial"/>
            <w:szCs w:val="12"/>
          </w:rPr>
          <w:t>http://www.ncbi.nlm.nih.gov/pubmed/24835842</w:t>
        </w:r>
      </w:hyperlink>
    </w:p>
    <w:p w14:paraId="35E20B0B" w14:textId="77777777" w:rsidR="00B9629C" w:rsidRPr="00367F15" w:rsidRDefault="00B9629C" w:rsidP="00F12F3B">
      <w:pPr>
        <w:pStyle w:val="EndnoteText"/>
        <w:tabs>
          <w:tab w:val="left" w:pos="142"/>
        </w:tabs>
        <w:spacing w:before="0" w:after="0"/>
        <w:jc w:val="both"/>
        <w:rPr>
          <w:szCs w:val="12"/>
        </w:rPr>
      </w:pPr>
      <w:r w:rsidRPr="00367F15">
        <w:rPr>
          <w:rFonts w:cs="Arial"/>
          <w:szCs w:val="12"/>
        </w:rPr>
        <w:tab/>
        <w:t xml:space="preserve">Isoniazid (IPT): </w:t>
      </w:r>
      <w:r w:rsidRPr="00367F15">
        <w:rPr>
          <w:szCs w:val="12"/>
        </w:rPr>
        <w:t xml:space="preserve">Affordable Medicines, EDP- Adult Hospital level. Medicine Review: Rifapentine (3HP) as TPT in PLHIV, November 2019. </w:t>
      </w:r>
      <w:hyperlink r:id="rId52" w:history="1">
        <w:r w:rsidRPr="00367F15">
          <w:rPr>
            <w:rStyle w:val="Hyperlink"/>
            <w:szCs w:val="12"/>
          </w:rPr>
          <w:t>https://www.knowledgehub.org.za/content/standard-treatment-guidelines-and-essential-medicines-list</w:t>
        </w:r>
      </w:hyperlink>
    </w:p>
    <w:p w14:paraId="3BCE6DE7" w14:textId="77777777" w:rsidR="00B9629C" w:rsidRPr="00367F15" w:rsidRDefault="00B9629C" w:rsidP="00F12F3B">
      <w:pPr>
        <w:pStyle w:val="EndnoteText"/>
        <w:tabs>
          <w:tab w:val="left" w:pos="142"/>
        </w:tabs>
        <w:spacing w:before="0" w:after="0"/>
        <w:jc w:val="both"/>
      </w:pPr>
      <w:r w:rsidRPr="00367F15">
        <w:rPr>
          <w:rFonts w:cs="Arial"/>
          <w:szCs w:val="12"/>
        </w:rPr>
        <w:tab/>
        <w:t xml:space="preserve">Isoniazid (IPT): </w:t>
      </w:r>
      <w:r w:rsidRPr="00367F15">
        <w:rPr>
          <w:szCs w:val="12"/>
        </w:rPr>
        <w:t xml:space="preserve">Affordable Medicines, EDP-Adult Hospital level. Medicine Review: Rifapentine (3HP) as TPT in PLHIV on DTG-regimens, November 2019. </w:t>
      </w:r>
      <w:hyperlink r:id="rId53" w:history="1">
        <w:r w:rsidRPr="00367F15">
          <w:rPr>
            <w:rStyle w:val="Hyperlink"/>
            <w:szCs w:val="12"/>
          </w:rPr>
          <w:t>https://www.knowledgehub.org.za/content/standard-treatment-guidelines-and-essential-medicines-list</w:t>
        </w:r>
      </w:hyperlink>
    </w:p>
  </w:endnote>
  <w:endnote w:id="33">
    <w:p w14:paraId="59F3C64D" w14:textId="77777777" w:rsidR="00B9629C" w:rsidRPr="00367F15" w:rsidRDefault="00B9629C" w:rsidP="003D30F7">
      <w:pPr>
        <w:pStyle w:val="EndnoteText"/>
        <w:tabs>
          <w:tab w:val="left" w:pos="142"/>
        </w:tabs>
        <w:jc w:val="both"/>
        <w:rPr>
          <w:szCs w:val="12"/>
        </w:rPr>
      </w:pPr>
      <w:r w:rsidRPr="00367F15">
        <w:rPr>
          <w:rStyle w:val="EndnoteReference"/>
        </w:rPr>
        <w:endnoteRef/>
      </w:r>
      <w:r w:rsidRPr="00367F15">
        <w:t xml:space="preserve"> </w:t>
      </w:r>
      <w:r w:rsidRPr="00367F15">
        <w:rPr>
          <w:rFonts w:cs="Arial"/>
          <w:szCs w:val="12"/>
        </w:rPr>
        <w:t xml:space="preserve">Rifapentine-containing regimen (3HP): </w:t>
      </w:r>
      <w:r w:rsidRPr="00367F15">
        <w:rPr>
          <w:szCs w:val="12"/>
        </w:rPr>
        <w:t xml:space="preserve">Affordable Medicines, EDP- Adult Hospital level. Medicine Review: Rifapentine (3HP) as TPT in PLHIV, November 2019. </w:t>
      </w:r>
      <w:hyperlink r:id="rId54" w:history="1">
        <w:r w:rsidRPr="00367F15">
          <w:rPr>
            <w:rStyle w:val="Hyperlink"/>
            <w:szCs w:val="12"/>
          </w:rPr>
          <w:t>https://www.knowledgehub.org.za/content/standard-treatment-guidelines-and-essential-medicines-list</w:t>
        </w:r>
      </w:hyperlink>
    </w:p>
    <w:p w14:paraId="780B704E" w14:textId="77777777" w:rsidR="00B9629C" w:rsidRPr="00367F15" w:rsidRDefault="00B9629C" w:rsidP="003D30F7">
      <w:pPr>
        <w:pStyle w:val="EndnoteText"/>
        <w:tabs>
          <w:tab w:val="left" w:pos="142"/>
        </w:tabs>
        <w:jc w:val="both"/>
      </w:pPr>
      <w:r w:rsidRPr="00367F15">
        <w:rPr>
          <w:rFonts w:cs="Arial"/>
          <w:szCs w:val="12"/>
        </w:rPr>
        <w:tab/>
        <w:t xml:space="preserve">Rifapentine-containing regimen (3HP): </w:t>
      </w:r>
      <w:r w:rsidRPr="00367F15">
        <w:rPr>
          <w:szCs w:val="12"/>
        </w:rPr>
        <w:t xml:space="preserve">Affordable Medicines, EDP-Adult Hospital level. Medicine Review: Rifapentine (3HP) as TPT in PLHIV on DTG-regimens, November 2019. </w:t>
      </w:r>
      <w:hyperlink r:id="rId55" w:history="1">
        <w:r w:rsidRPr="00367F15">
          <w:rPr>
            <w:rStyle w:val="Hyperlink"/>
            <w:szCs w:val="12"/>
          </w:rPr>
          <w:t>https://www.knowledgehub.org.za/content/standard-treatment-guidelines-and-essential-medicines-list</w:t>
        </w:r>
      </w:hyperlink>
    </w:p>
  </w:endnote>
  <w:endnote w:id="34">
    <w:p w14:paraId="59A9CFE9" w14:textId="77777777" w:rsidR="00B9629C" w:rsidRPr="00D658A4" w:rsidRDefault="00B9629C" w:rsidP="003D30F7">
      <w:pPr>
        <w:pStyle w:val="EndnoteText"/>
        <w:tabs>
          <w:tab w:val="left" w:pos="142"/>
        </w:tabs>
        <w:jc w:val="both"/>
      </w:pPr>
      <w:r w:rsidRPr="00D658A4">
        <w:rPr>
          <w:rStyle w:val="EndnoteReference"/>
        </w:rPr>
        <w:endnoteRef/>
      </w:r>
      <w:r w:rsidRPr="00D658A4">
        <w:t xml:space="preserve"> </w:t>
      </w:r>
      <w:r>
        <w:rPr>
          <w:rFonts w:cs="Arial"/>
          <w:szCs w:val="12"/>
        </w:rPr>
        <w:t>IPT in pregnancy</w:t>
      </w:r>
      <w:r w:rsidRPr="00D658A4">
        <w:rPr>
          <w:rFonts w:cs="Arial"/>
          <w:szCs w:val="12"/>
        </w:rPr>
        <w:t xml:space="preserve">: </w:t>
      </w:r>
      <w:r w:rsidRPr="00D658A4">
        <w:rPr>
          <w:szCs w:val="12"/>
        </w:rPr>
        <w:t xml:space="preserve">Affordable Medicines, EDP- Adult Hospital level. Medicine Review: </w:t>
      </w:r>
      <w:r w:rsidRPr="00513290">
        <w:rPr>
          <w:szCs w:val="12"/>
        </w:rPr>
        <w:t>Evidence review: IPT in pregnancy_v1.2_15 April 2024_final approved</w:t>
      </w:r>
      <w:r w:rsidRPr="00D658A4">
        <w:rPr>
          <w:szCs w:val="12"/>
        </w:rPr>
        <w:t xml:space="preserve">. </w:t>
      </w:r>
      <w:hyperlink r:id="rId56" w:history="1">
        <w:r w:rsidRPr="00D658A4">
          <w:rPr>
            <w:rStyle w:val="Hyperlink"/>
            <w:szCs w:val="12"/>
          </w:rPr>
          <w:t>https://www.knowledgehub.org.za/content/standard-treatment-guidelines-and-essential-medicines-list</w:t>
        </w:r>
      </w:hyperlink>
      <w:r w:rsidRPr="00D658A4">
        <w:t xml:space="preserve"> </w:t>
      </w:r>
    </w:p>
  </w:endnote>
  <w:endnote w:id="35">
    <w:p w14:paraId="1B1C44F8" w14:textId="77777777" w:rsidR="00B9629C" w:rsidRPr="00367F15" w:rsidRDefault="00B9629C" w:rsidP="00840AAC">
      <w:pPr>
        <w:pStyle w:val="EndnoteText"/>
        <w:spacing w:before="0" w:after="0"/>
        <w:jc w:val="both"/>
      </w:pPr>
      <w:r w:rsidRPr="00367F15">
        <w:rPr>
          <w:rStyle w:val="EndnoteReference"/>
        </w:rPr>
        <w:endnoteRef/>
      </w:r>
      <w:r w:rsidRPr="00367F15">
        <w:t xml:space="preserve"> ART - Candidiasis, oesophageal: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57"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endnote>
  <w:endnote w:id="36">
    <w:p w14:paraId="2D056D58" w14:textId="02C368C9" w:rsidR="00B9629C" w:rsidRPr="00367F15" w:rsidRDefault="00B9629C" w:rsidP="00831610">
      <w:pPr>
        <w:pStyle w:val="EndnoteText"/>
        <w:tabs>
          <w:tab w:val="left" w:pos="90"/>
        </w:tabs>
        <w:jc w:val="both"/>
        <w:rPr>
          <w:rFonts w:eastAsia="Calibri" w:cs="Arial"/>
          <w:color w:val="1122CC"/>
          <w:szCs w:val="12"/>
        </w:rPr>
      </w:pPr>
      <w:r w:rsidRPr="00367F15">
        <w:rPr>
          <w:rStyle w:val="EndnoteReference"/>
          <w:rFonts w:cs="Arial"/>
          <w:spacing w:val="-2"/>
        </w:rPr>
        <w:endnoteRef/>
      </w:r>
      <w:r w:rsidRPr="00367F15">
        <w:rPr>
          <w:rFonts w:cs="Arial"/>
          <w:spacing w:val="-2"/>
          <w:szCs w:val="12"/>
        </w:rPr>
        <w:t xml:space="preserve">CrAg screening (CD4 </w:t>
      </w:r>
      <w:r>
        <w:rPr>
          <w:rFonts w:cs="Arial"/>
          <w:spacing w:val="-2"/>
          <w:szCs w:val="12"/>
        </w:rPr>
        <w:t>&lt;</w:t>
      </w:r>
      <w:r w:rsidRPr="00367F15">
        <w:rPr>
          <w:rFonts w:cs="Arial"/>
          <w:spacing w:val="-2"/>
          <w:szCs w:val="12"/>
        </w:rPr>
        <w:t>100 cells/mm</w:t>
      </w:r>
      <w:r w:rsidRPr="00367F15">
        <w:rPr>
          <w:rFonts w:cs="Arial"/>
          <w:spacing w:val="-2"/>
          <w:szCs w:val="12"/>
          <w:vertAlign w:val="superscript"/>
        </w:rPr>
        <w:t>3</w:t>
      </w:r>
      <w:r w:rsidRPr="00367F15">
        <w:rPr>
          <w:rFonts w:cs="Arial"/>
          <w:spacing w:val="-2"/>
          <w:szCs w:val="12"/>
        </w:rPr>
        <w:t xml:space="preserve">): </w:t>
      </w:r>
      <w:r w:rsidRPr="00367F15">
        <w:rPr>
          <w:rFonts w:eastAsia="Calibri" w:cs="Arial"/>
          <w:szCs w:val="12"/>
        </w:rPr>
        <w:t xml:space="preserve">Meya DB, Manabe YC, Castelnuovo B, Cook BA, Elbireer AM, Kambugu A, et al. Cost-effectiveness of serum cryptococcal antigen screening to prevent deaths among HIV-infected persons with a CD4+ cell count </w:t>
      </w:r>
      <w:r>
        <w:rPr>
          <w:rFonts w:eastAsia="Calibri" w:cs="Arial"/>
          <w:szCs w:val="12"/>
        </w:rPr>
        <w:t>&lt;</w:t>
      </w:r>
      <w:r w:rsidRPr="00367F15">
        <w:rPr>
          <w:rFonts w:eastAsia="Calibri" w:cs="Arial"/>
          <w:szCs w:val="12"/>
        </w:rPr>
        <w:t xml:space="preserve">or = 100 cells/microL who start HIV therapy in resource-limited settings. Clin Infect Dis. 2010 Aug 15;51(4):448-55. </w:t>
      </w:r>
      <w:hyperlink r:id="rId58" w:history="1">
        <w:r w:rsidRPr="00367F15">
          <w:rPr>
            <w:rStyle w:val="Hyperlink"/>
            <w:rFonts w:cs="Arial"/>
            <w:szCs w:val="12"/>
          </w:rPr>
          <w:t>http://www.ncbi.nlm.nih.gov/pubmed/20597693</w:t>
        </w:r>
      </w:hyperlink>
      <w:r w:rsidRPr="00367F15">
        <w:rPr>
          <w:rFonts w:eastAsia="Calibri" w:cs="Arial"/>
          <w:color w:val="1122CC"/>
          <w:szCs w:val="12"/>
        </w:rPr>
        <w:t xml:space="preserve">  </w:t>
      </w:r>
    </w:p>
    <w:p w14:paraId="44409971" w14:textId="77777777" w:rsidR="00B9629C" w:rsidRPr="00367F15" w:rsidRDefault="00B9629C" w:rsidP="00831610">
      <w:pPr>
        <w:pStyle w:val="EndnoteText"/>
        <w:tabs>
          <w:tab w:val="left" w:pos="90"/>
        </w:tabs>
        <w:jc w:val="both"/>
        <w:rPr>
          <w:rFonts w:eastAsia="Calibri" w:cs="Arial"/>
          <w:color w:val="1122CC"/>
          <w:szCs w:val="12"/>
        </w:rPr>
      </w:pPr>
    </w:p>
    <w:p w14:paraId="7D4B6109" w14:textId="1D97A344" w:rsidR="00B9629C" w:rsidRPr="00367F15" w:rsidRDefault="00B9629C" w:rsidP="00831610">
      <w:pPr>
        <w:pStyle w:val="EndnoteText"/>
        <w:tabs>
          <w:tab w:val="left" w:pos="90"/>
        </w:tabs>
        <w:jc w:val="both"/>
        <w:rPr>
          <w:rFonts w:eastAsia="Calibri" w:cs="Arial"/>
          <w:color w:val="1122CC"/>
          <w:szCs w:val="12"/>
        </w:rPr>
      </w:pPr>
      <w:r w:rsidRPr="00367F15">
        <w:rPr>
          <w:rFonts w:eastAsia="Calibri" w:cs="Arial"/>
          <w:color w:val="1122CC"/>
          <w:szCs w:val="12"/>
        </w:rPr>
        <w:tab/>
      </w:r>
      <w:r w:rsidRPr="00367F15">
        <w:rPr>
          <w:rFonts w:cs="Arial"/>
          <w:spacing w:val="-2"/>
          <w:szCs w:val="12"/>
        </w:rPr>
        <w:t xml:space="preserve">CrAg screening (CD4 </w:t>
      </w:r>
      <w:r>
        <w:rPr>
          <w:rFonts w:cs="Arial"/>
          <w:spacing w:val="-2"/>
          <w:szCs w:val="12"/>
        </w:rPr>
        <w:t>&lt;</w:t>
      </w:r>
      <w:r w:rsidRPr="00367F15">
        <w:rPr>
          <w:rFonts w:cs="Arial"/>
          <w:spacing w:val="-2"/>
          <w:szCs w:val="12"/>
        </w:rPr>
        <w:t>100 cells/mm</w:t>
      </w:r>
      <w:r w:rsidRPr="00367F15">
        <w:rPr>
          <w:rFonts w:cs="Arial"/>
          <w:spacing w:val="-2"/>
          <w:szCs w:val="12"/>
          <w:vertAlign w:val="superscript"/>
        </w:rPr>
        <w:t>3</w:t>
      </w:r>
      <w:r w:rsidRPr="00367F15">
        <w:rPr>
          <w:rFonts w:cs="Arial"/>
          <w:spacing w:val="-2"/>
          <w:szCs w:val="12"/>
        </w:rPr>
        <w:t xml:space="preserve">): </w:t>
      </w:r>
      <w:r w:rsidRPr="00367F15">
        <w:rPr>
          <w:rFonts w:eastAsia="Calibri" w:cs="Arial"/>
          <w:szCs w:val="12"/>
        </w:rPr>
        <w:t xml:space="preserve">Ford N, Shubber Z, Jarvis JN, Chiller T, Greene G, Migone C, Vitoria M, Doherty M, Meintjes G. CD4 Cell Count Threshold for Cryptococcal Antigen Screening of HIV-Infected Individuals: A Systematic Review and Meta-analysis. Clin Infect Dis. 2018 Mar 4;66(suppl_2):S152-S159. </w:t>
      </w:r>
      <w:hyperlink r:id="rId59" w:history="1">
        <w:r w:rsidRPr="00367F15">
          <w:rPr>
            <w:rStyle w:val="Hyperlink"/>
            <w:rFonts w:cs="Arial"/>
            <w:szCs w:val="12"/>
          </w:rPr>
          <w:t>https://pubmed.ncbi.nlm.nih.gov/29514236/</w:t>
        </w:r>
      </w:hyperlink>
      <w:r w:rsidRPr="00367F15">
        <w:rPr>
          <w:rFonts w:eastAsia="Calibri" w:cs="Arial"/>
          <w:color w:val="1122CC"/>
          <w:szCs w:val="12"/>
        </w:rPr>
        <w:t xml:space="preserve"> </w:t>
      </w:r>
    </w:p>
    <w:p w14:paraId="4FD68011" w14:textId="5D5F1CAE" w:rsidR="00B9629C" w:rsidRPr="00367F15" w:rsidRDefault="00B9629C" w:rsidP="00831610">
      <w:pPr>
        <w:pStyle w:val="EndnoteText"/>
        <w:tabs>
          <w:tab w:val="left" w:pos="90"/>
        </w:tabs>
        <w:jc w:val="both"/>
        <w:rPr>
          <w:rFonts w:cs="Arial"/>
          <w:spacing w:val="-2"/>
          <w:szCs w:val="12"/>
        </w:rPr>
      </w:pPr>
      <w:r w:rsidRPr="00367F15">
        <w:rPr>
          <w:rFonts w:cs="Arial"/>
          <w:spacing w:val="-2"/>
          <w:szCs w:val="12"/>
        </w:rPr>
        <w:tab/>
        <w:t xml:space="preserve">CrAg screening (CD4 </w:t>
      </w:r>
      <w:r>
        <w:rPr>
          <w:rFonts w:cs="Arial"/>
          <w:spacing w:val="-2"/>
          <w:szCs w:val="12"/>
        </w:rPr>
        <w:t>&lt;</w:t>
      </w:r>
      <w:r w:rsidRPr="00367F15">
        <w:rPr>
          <w:rFonts w:cs="Arial"/>
          <w:spacing w:val="-2"/>
          <w:szCs w:val="12"/>
        </w:rPr>
        <w:t>100 cells/mm</w:t>
      </w:r>
      <w:r w:rsidRPr="00367F15">
        <w:rPr>
          <w:rFonts w:cs="Arial"/>
          <w:spacing w:val="-2"/>
          <w:szCs w:val="12"/>
          <w:vertAlign w:val="superscript"/>
        </w:rPr>
        <w:t>3</w:t>
      </w:r>
      <w:r w:rsidRPr="00367F15">
        <w:rPr>
          <w:rFonts w:cs="Arial"/>
          <w:spacing w:val="-2"/>
          <w:szCs w:val="12"/>
        </w:rPr>
        <w:t xml:space="preserve">):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60" w:history="1">
        <w:r w:rsidRPr="00367F15">
          <w:rPr>
            <w:rStyle w:val="Hyperlink"/>
            <w:rFonts w:cs="Arial"/>
            <w:szCs w:val="16"/>
            <w:lang w:eastAsia="en-ZA"/>
          </w:rPr>
          <w:t>https://www.who.int/publications/i/item/9789240031593</w:t>
        </w:r>
      </w:hyperlink>
    </w:p>
  </w:endnote>
  <w:endnote w:id="37">
    <w:p w14:paraId="26E7209A" w14:textId="1C164C4D" w:rsidR="00B9629C" w:rsidRPr="00367F15" w:rsidRDefault="00B9629C" w:rsidP="00840AAC">
      <w:pPr>
        <w:pStyle w:val="EndnoteText"/>
        <w:spacing w:before="0" w:after="0"/>
        <w:jc w:val="both"/>
      </w:pPr>
      <w:r w:rsidRPr="00367F15">
        <w:rPr>
          <w:rStyle w:val="EndnoteReference"/>
        </w:rPr>
        <w:endnoteRef/>
      </w:r>
      <w:r w:rsidRPr="00367F15">
        <w:tab/>
        <w:t>Fluconazole, oral</w:t>
      </w:r>
      <w:r w:rsidRPr="00367F15">
        <w:fldChar w:fldCharType="begin"/>
      </w:r>
      <w:r w:rsidRPr="00367F15">
        <w:instrText xml:space="preserve"> XE "Fluconazole, oral" </w:instrText>
      </w:r>
      <w:r w:rsidRPr="00367F15">
        <w:fldChar w:fldCharType="end"/>
      </w:r>
      <w:r w:rsidRPr="00367F15">
        <w:t xml:space="preserve"> (pre-referral dose for cryptococcosis): National Department of Health, Essential Drugs Programme: Adult Hospital Level STGs and EML, 2019. </w:t>
      </w:r>
      <w:hyperlink r:id="rId61" w:history="1">
        <w:r w:rsidRPr="00367F15">
          <w:rPr>
            <w:rStyle w:val="Hyperlink"/>
          </w:rPr>
          <w:t>http://www.health.gov.za/</w:t>
        </w:r>
      </w:hyperlink>
      <w:r w:rsidRPr="00367F15">
        <w:rPr>
          <w:rStyle w:val="Strong"/>
          <w:b w:val="0"/>
          <w:bCs w:val="0"/>
        </w:rPr>
        <w:t xml:space="preserve"> </w:t>
      </w:r>
    </w:p>
  </w:endnote>
  <w:endnote w:id="38">
    <w:p w14:paraId="0BDA7D14" w14:textId="2A5FE4EE" w:rsidR="00B9629C" w:rsidRPr="00367F15" w:rsidRDefault="00B9629C" w:rsidP="00840AAC">
      <w:pPr>
        <w:pStyle w:val="EndnoteText"/>
        <w:spacing w:before="0" w:after="0"/>
        <w:jc w:val="both"/>
      </w:pPr>
      <w:r w:rsidRPr="00367F15">
        <w:rPr>
          <w:rStyle w:val="EndnoteReference"/>
        </w:rPr>
        <w:endnoteRef/>
      </w:r>
      <w:r w:rsidRPr="00367F15">
        <w:tab/>
        <w:t>Fluconazole, oral</w:t>
      </w:r>
      <w:r w:rsidRPr="00367F15">
        <w:fldChar w:fldCharType="begin"/>
      </w:r>
      <w:r w:rsidRPr="00367F15">
        <w:instrText xml:space="preserve"> XE "Fluconazole, oral" </w:instrText>
      </w:r>
      <w:r w:rsidRPr="00367F15">
        <w:fldChar w:fldCharType="end"/>
      </w:r>
      <w:r w:rsidRPr="00367F15">
        <w:t xml:space="preserve"> (cryptococcosis):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62"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57FD2688" w14:textId="052C6033" w:rsidR="00B9629C" w:rsidRPr="00367F15" w:rsidRDefault="00B9629C" w:rsidP="00840AAC">
      <w:pPr>
        <w:pStyle w:val="EndnoteText"/>
        <w:spacing w:before="0" w:after="0"/>
        <w:jc w:val="both"/>
      </w:pPr>
      <w:r w:rsidRPr="00367F15">
        <w:tab/>
        <w:t>Fluconazole, oral</w:t>
      </w:r>
      <w:r w:rsidRPr="00367F15">
        <w:fldChar w:fldCharType="begin"/>
      </w:r>
      <w:r w:rsidRPr="00367F15">
        <w:instrText xml:space="preserve"> XE "Fluconazole, oral" </w:instrText>
      </w:r>
      <w:r w:rsidRPr="00367F15">
        <w:fldChar w:fldCharType="end"/>
      </w:r>
      <w:r w:rsidRPr="00367F15">
        <w:t xml:space="preserve"> (cryptococcosis): </w:t>
      </w:r>
      <w:r w:rsidRPr="00367F15">
        <w:rPr>
          <w:rFonts w:cs="Arial"/>
          <w:szCs w:val="12"/>
        </w:rPr>
        <w:t xml:space="preserve">Govender NP, Meintjes G, Mangena P, Nel J, Potgieter S, Reddy D, et al. Southern African HIV Clinicians Society guideline for the prevention, diagnosis and management of cryptococcal disease among HIV-infected persons: 2019 update. S Afr J HIV Med 2019;20(1):a1030. </w:t>
      </w:r>
      <w:hyperlink r:id="rId63" w:history="1">
        <w:r w:rsidRPr="00367F15">
          <w:rPr>
            <w:rStyle w:val="Hyperlink"/>
            <w:rFonts w:cs="Arial"/>
            <w:szCs w:val="12"/>
          </w:rPr>
          <w:t>https://doi.org/10.4102/sajhivmed.v20i1.1030</w:t>
        </w:r>
      </w:hyperlink>
    </w:p>
    <w:p w14:paraId="25BC0713" w14:textId="7C5C3624" w:rsidR="00B9629C" w:rsidRPr="00367F15" w:rsidRDefault="00B9629C" w:rsidP="00840AAC">
      <w:pPr>
        <w:pStyle w:val="EndnoteText"/>
        <w:spacing w:before="0" w:after="0"/>
        <w:jc w:val="both"/>
      </w:pPr>
      <w:r w:rsidRPr="00367F15">
        <w:tab/>
        <w:t>Fluconazole, oral</w:t>
      </w:r>
      <w:r w:rsidRPr="00367F15">
        <w:fldChar w:fldCharType="begin"/>
      </w:r>
      <w:r w:rsidRPr="00367F15">
        <w:instrText xml:space="preserve"> XE "Fluconazole, oral" </w:instrText>
      </w:r>
      <w:r w:rsidRPr="00367F15">
        <w:fldChar w:fldCharType="end"/>
      </w:r>
      <w:r w:rsidRPr="00367F15">
        <w:t xml:space="preserve"> (cryptococcosis): NICD data on file</w:t>
      </w:r>
    </w:p>
  </w:endnote>
  <w:endnote w:id="39">
    <w:p w14:paraId="6547F309" w14:textId="77777777" w:rsidR="00B9629C" w:rsidRPr="00367F15" w:rsidRDefault="00B9629C" w:rsidP="00840AAC">
      <w:pPr>
        <w:pStyle w:val="EndnoteText"/>
        <w:jc w:val="both"/>
        <w:rPr>
          <w:szCs w:val="12"/>
        </w:rPr>
      </w:pPr>
      <w:r w:rsidRPr="00367F15">
        <w:rPr>
          <w:rStyle w:val="EndnoteReference"/>
          <w:rFonts w:cs="Arial"/>
          <w:spacing w:val="-2"/>
        </w:rPr>
        <w:endnoteRef/>
      </w:r>
      <w:r w:rsidRPr="00367F15">
        <w:rPr>
          <w:szCs w:val="12"/>
        </w:rPr>
        <w:t xml:space="preserve">Fluconazole, oral (cryptococcosis):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64" w:history="1">
        <w:r w:rsidRPr="00367F15">
          <w:rPr>
            <w:rStyle w:val="Hyperlink"/>
            <w:rFonts w:cs="Arial"/>
            <w:szCs w:val="16"/>
            <w:lang w:eastAsia="en-ZA"/>
          </w:rPr>
          <w:t>https://www.who.int/publications/i/item/9789240031593</w:t>
        </w:r>
      </w:hyperlink>
    </w:p>
    <w:p w14:paraId="14438F77" w14:textId="77777777" w:rsidR="00B9629C" w:rsidRPr="00367F15" w:rsidRDefault="00B9629C" w:rsidP="00840AAC">
      <w:pPr>
        <w:pStyle w:val="EndnoteText"/>
        <w:tabs>
          <w:tab w:val="left" w:pos="142"/>
        </w:tabs>
        <w:jc w:val="both"/>
        <w:rPr>
          <w:szCs w:val="12"/>
        </w:rPr>
      </w:pPr>
      <w:r w:rsidRPr="00367F15">
        <w:rPr>
          <w:szCs w:val="12"/>
        </w:rPr>
        <w:tab/>
        <w:t xml:space="preserve">Fluconazole, oral (cryptococcosis): </w:t>
      </w:r>
      <w:r w:rsidRPr="00367F15">
        <w:rPr>
          <w:rFonts w:cs="Arial"/>
          <w:szCs w:val="12"/>
        </w:rPr>
        <w:t xml:space="preserve">Govender NP, Meintjes G, Mangena P, Nel J, Potgieter S, Reddy D, et al. Southern African HIV Clinicians Society guideline for the prevention, diagnosis and management of cryptococcal disease among HIV-infected persons: 2019 update. S Afr J HIV Med 2019;20(1):a1030. </w:t>
      </w:r>
      <w:hyperlink r:id="rId65" w:history="1">
        <w:r w:rsidRPr="00367F15">
          <w:rPr>
            <w:rStyle w:val="Hyperlink"/>
            <w:rFonts w:cs="Arial"/>
            <w:szCs w:val="12"/>
          </w:rPr>
          <w:t>https://doi.org/10.4102/sajhivmed.v20i1.1030</w:t>
        </w:r>
      </w:hyperlink>
    </w:p>
    <w:p w14:paraId="7EE390FB" w14:textId="77777777" w:rsidR="00B9629C" w:rsidRPr="00367F15" w:rsidRDefault="00B9629C" w:rsidP="00840AAC">
      <w:pPr>
        <w:pStyle w:val="EndnoteText"/>
        <w:tabs>
          <w:tab w:val="left" w:pos="90"/>
        </w:tabs>
        <w:jc w:val="both"/>
        <w:rPr>
          <w:rFonts w:cs="Arial"/>
          <w:spacing w:val="-2"/>
          <w:szCs w:val="12"/>
        </w:rPr>
      </w:pPr>
      <w:r w:rsidRPr="00367F15">
        <w:rPr>
          <w:szCs w:val="12"/>
        </w:rPr>
        <w:tab/>
        <w:t>Fluconazole, oral (cryptococcosis): NICD data on file</w:t>
      </w:r>
      <w:r w:rsidRPr="00367F15">
        <w:rPr>
          <w:rFonts w:cs="Arial"/>
          <w:szCs w:val="12"/>
        </w:rPr>
        <w:t>.</w:t>
      </w:r>
    </w:p>
  </w:endnote>
  <w:endnote w:id="40">
    <w:p w14:paraId="709DE33C" w14:textId="77777777" w:rsidR="00B9629C" w:rsidRPr="00367F15" w:rsidRDefault="00B9629C" w:rsidP="00840AAC">
      <w:pPr>
        <w:pStyle w:val="EndnoteText"/>
        <w:tabs>
          <w:tab w:val="left" w:pos="90"/>
        </w:tabs>
        <w:jc w:val="both"/>
        <w:rPr>
          <w:rFonts w:cs="Arial"/>
          <w:spacing w:val="-2"/>
          <w:szCs w:val="12"/>
        </w:rPr>
      </w:pPr>
      <w:r w:rsidRPr="00367F15">
        <w:rPr>
          <w:rStyle w:val="EndnoteReference"/>
          <w:rFonts w:cs="Arial"/>
          <w:spacing w:val="-2"/>
        </w:rPr>
        <w:endnoteRef/>
      </w:r>
      <w:r w:rsidRPr="00367F15">
        <w:rPr>
          <w:rFonts w:cs="Arial"/>
          <w:spacing w:val="-2"/>
          <w:szCs w:val="12"/>
        </w:rPr>
        <w:t xml:space="preserve"> ART (delayed): Makadzange AT, Ndhlovu CE, Takarinda K, Reid M, Kurangwa M, Gona P, Hakim JG. Early versus delayed initiation of antiretroviral therapy for concurrent HIV infection and cryptococcal meningitis in sub-saharan Africa. Clin Infect Dis. 2010 Jun 1;50(11):1532-8.</w:t>
      </w:r>
      <w:hyperlink r:id="rId66" w:history="1">
        <w:r w:rsidRPr="00367F15">
          <w:rPr>
            <w:rStyle w:val="Hyperlink"/>
            <w:spacing w:val="-2"/>
            <w:szCs w:val="12"/>
          </w:rPr>
          <w:t>http://www.ncbi.nlm.nih.gov/pubmed/20415574</w:t>
        </w:r>
      </w:hyperlink>
    </w:p>
    <w:p w14:paraId="74236184" w14:textId="77777777" w:rsidR="00B9629C" w:rsidRPr="00367F15" w:rsidRDefault="00B9629C" w:rsidP="00840AAC">
      <w:pPr>
        <w:pStyle w:val="EndnoteText"/>
        <w:tabs>
          <w:tab w:val="left" w:pos="90"/>
        </w:tabs>
        <w:jc w:val="both"/>
        <w:rPr>
          <w:rFonts w:cs="Arial"/>
          <w:szCs w:val="12"/>
        </w:rPr>
      </w:pPr>
      <w:r w:rsidRPr="00367F15">
        <w:rPr>
          <w:rFonts w:cs="Arial"/>
          <w:spacing w:val="-2"/>
          <w:szCs w:val="12"/>
        </w:rPr>
        <w:tab/>
        <w:t xml:space="preserve">ART (delayed):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67" w:history="1">
        <w:r w:rsidRPr="00367F15">
          <w:rPr>
            <w:rStyle w:val="Hyperlink"/>
            <w:rFonts w:cs="Arial"/>
            <w:szCs w:val="16"/>
            <w:lang w:eastAsia="en-ZA"/>
          </w:rPr>
          <w:t>https://www.who.int/publications/i/item/9789240031593</w:t>
        </w:r>
      </w:hyperlink>
    </w:p>
    <w:p w14:paraId="0C60F460" w14:textId="77777777" w:rsidR="00B9629C" w:rsidRPr="00367F15" w:rsidRDefault="00B9629C" w:rsidP="00840AAC">
      <w:pPr>
        <w:pStyle w:val="EndnoteText"/>
        <w:tabs>
          <w:tab w:val="left" w:pos="142"/>
        </w:tabs>
        <w:jc w:val="both"/>
        <w:rPr>
          <w:szCs w:val="12"/>
        </w:rPr>
      </w:pPr>
      <w:r w:rsidRPr="00367F15">
        <w:rPr>
          <w:szCs w:val="12"/>
        </w:rPr>
        <w:tab/>
        <w:t xml:space="preserve">ART (delayed): </w:t>
      </w:r>
      <w:r w:rsidRPr="00367F15">
        <w:rPr>
          <w:rFonts w:cs="Arial"/>
          <w:szCs w:val="12"/>
        </w:rPr>
        <w:t xml:space="preserve">Govender NP, Meintjes G, Mangena P, Nel J, Potgieter S, Reddy D, et al. Southern African HIV Clinicians Society guideline for the prevention, diagnosis and management of cryptococcal disease among HIV-infected persons: 2019 update. S Afr J HIV Med 2019;20(1):a1030. </w:t>
      </w:r>
      <w:hyperlink r:id="rId68" w:history="1">
        <w:r w:rsidRPr="00367F15">
          <w:rPr>
            <w:rStyle w:val="Hyperlink"/>
            <w:rFonts w:cs="Arial"/>
            <w:szCs w:val="12"/>
          </w:rPr>
          <w:t>https://doi.org/10.4102/sajhivmed.v20i1.1030</w:t>
        </w:r>
      </w:hyperlink>
      <w:r w:rsidRPr="00367F15">
        <w:rPr>
          <w:rStyle w:val="Hyperlink"/>
          <w:rFonts w:cs="Arial"/>
          <w:szCs w:val="12"/>
        </w:rPr>
        <w:t xml:space="preserve"> </w:t>
      </w:r>
    </w:p>
  </w:endnote>
  <w:endnote w:id="41">
    <w:p w14:paraId="7589E5A8" w14:textId="70DE0C40" w:rsidR="00B9629C" w:rsidRPr="00367F15" w:rsidRDefault="00B9629C" w:rsidP="00840AAC">
      <w:pPr>
        <w:pStyle w:val="EndnoteText"/>
        <w:spacing w:before="0" w:after="0"/>
        <w:jc w:val="both"/>
      </w:pPr>
      <w:r w:rsidRPr="00367F15">
        <w:rPr>
          <w:rStyle w:val="EndnoteReference"/>
        </w:rPr>
        <w:endnoteRef/>
      </w:r>
      <w:r w:rsidRPr="00367F15">
        <w:tab/>
        <w:t>Fluconazole, oral</w:t>
      </w:r>
      <w:r w:rsidRPr="00367F15">
        <w:fldChar w:fldCharType="begin"/>
      </w:r>
      <w:r w:rsidRPr="00367F15">
        <w:instrText xml:space="preserve"> XE "Fluconazole, oral" </w:instrText>
      </w:r>
      <w:r w:rsidRPr="00367F15">
        <w:fldChar w:fldCharType="end"/>
      </w:r>
      <w:r w:rsidRPr="00367F15">
        <w:t xml:space="preserve"> (pregnancy): Mølgaard-Nielsen D, Pasternak B, Hviid A. Use of oral fluconazole during pregnancy and the risk of birth defects. N Engl J Med. 2013 Aug 29;369(9):830-9. </w:t>
      </w:r>
      <w:hyperlink r:id="rId69" w:history="1">
        <w:r w:rsidRPr="00367F15">
          <w:rPr>
            <w:rStyle w:val="Hyperlink"/>
          </w:rPr>
          <w:t>http://www.ncbi.nlm.nih.gov/pubmed/23984730</w:t>
        </w:r>
      </w:hyperlink>
      <w:r w:rsidRPr="00367F15">
        <w:rPr>
          <w:rStyle w:val="Strong"/>
          <w:b w:val="0"/>
          <w:bCs w:val="0"/>
        </w:rPr>
        <w:t xml:space="preserve"> </w:t>
      </w:r>
    </w:p>
    <w:p w14:paraId="463C50AC" w14:textId="5249E2B6" w:rsidR="00B9629C" w:rsidRPr="00367F15" w:rsidRDefault="00B9629C" w:rsidP="00840AAC">
      <w:pPr>
        <w:pStyle w:val="EndnoteText"/>
        <w:spacing w:before="0" w:after="0"/>
        <w:jc w:val="both"/>
      </w:pPr>
      <w:r w:rsidRPr="00367F15">
        <w:tab/>
        <w:t>Fluconazole, oral</w:t>
      </w:r>
      <w:r w:rsidRPr="00367F15">
        <w:fldChar w:fldCharType="begin"/>
      </w:r>
      <w:r w:rsidRPr="00367F15">
        <w:instrText xml:space="preserve"> XE "Fluconazole, oral" </w:instrText>
      </w:r>
      <w:r w:rsidRPr="00367F15">
        <w:fldChar w:fldCharType="end"/>
      </w:r>
      <w:r w:rsidRPr="00367F15">
        <w:t xml:space="preserve"> (pregnancy): Mølgaard-Nielsen D, Svanström H, Melbye M, Hviid A, Pasternak B. Association Between Use of Oral Fluconazole During Pregnancy and Risk of Spontaneous Abortion and Stillbirth. JAMA. 2016 Jan 5;315(1):58-67. </w:t>
      </w:r>
      <w:hyperlink r:id="rId70" w:history="1">
        <w:r w:rsidRPr="00367F15">
          <w:rPr>
            <w:rStyle w:val="Hyperlink"/>
          </w:rPr>
          <w:t>http://www.ncbi.nlm.nih.gov/pubmed/26746458</w:t>
        </w:r>
      </w:hyperlink>
      <w:r w:rsidRPr="00367F15">
        <w:rPr>
          <w:rStyle w:val="Strong"/>
          <w:b w:val="0"/>
          <w:bCs w:val="0"/>
        </w:rPr>
        <w:t xml:space="preserve"> </w:t>
      </w:r>
    </w:p>
    <w:p w14:paraId="12EFAD08" w14:textId="67E849EE" w:rsidR="00B9629C" w:rsidRPr="00367F15" w:rsidRDefault="00B9629C" w:rsidP="00840AAC">
      <w:pPr>
        <w:pStyle w:val="EndnoteText"/>
        <w:spacing w:before="0" w:after="0"/>
        <w:jc w:val="both"/>
      </w:pPr>
      <w:r w:rsidRPr="00367F15">
        <w:tab/>
        <w:t>Fluconazole, oral</w:t>
      </w:r>
      <w:r w:rsidRPr="00367F15">
        <w:fldChar w:fldCharType="begin"/>
      </w:r>
      <w:r w:rsidRPr="00367F15">
        <w:instrText xml:space="preserve"> XE "Fluconazole, oral" </w:instrText>
      </w:r>
      <w:r w:rsidRPr="00367F15">
        <w:fldChar w:fldCharType="end"/>
      </w:r>
      <w:r w:rsidRPr="00367F15">
        <w:t xml:space="preserve"> (pregnancy): </w:t>
      </w:r>
      <w:r w:rsidRPr="00367F15">
        <w:rPr>
          <w:rFonts w:cs="Arial"/>
          <w:szCs w:val="12"/>
        </w:rPr>
        <w:t xml:space="preserve">Govender NP, Meintjes G, Mangena P, Nel J, Potgieter S, Reddy D, et al. Southern African HIV Clinicians Society guideline for the prevention, diagnosis and management of cryptococcal disease among HIV-infected persons: 2019 update. S Afr J HIV Med 2019;20(1):a1030. </w:t>
      </w:r>
      <w:hyperlink r:id="rId71" w:history="1">
        <w:r w:rsidRPr="00367F15">
          <w:rPr>
            <w:rStyle w:val="Hyperlink"/>
            <w:rFonts w:cs="Arial"/>
            <w:szCs w:val="12"/>
          </w:rPr>
          <w:t>https://doi.org/10.4102/sajhivmed.v20i1.1030</w:t>
        </w:r>
      </w:hyperlink>
    </w:p>
  </w:endnote>
  <w:endnote w:id="42">
    <w:p w14:paraId="367BD802" w14:textId="77777777" w:rsidR="00B9629C" w:rsidRPr="00367F15" w:rsidRDefault="00B9629C" w:rsidP="00014361">
      <w:pPr>
        <w:pStyle w:val="EndnoteText"/>
        <w:spacing w:before="0" w:after="0"/>
        <w:jc w:val="both"/>
      </w:pPr>
      <w:r w:rsidRPr="00367F15">
        <w:rPr>
          <w:rStyle w:val="EndnoteReference"/>
        </w:rPr>
        <w:endnoteRef/>
      </w:r>
      <w:r w:rsidRPr="00367F15">
        <w:tab/>
        <w:t>Fluconazole, oral</w:t>
      </w:r>
      <w:r w:rsidRPr="00367F15">
        <w:fldChar w:fldCharType="begin"/>
      </w:r>
      <w:r w:rsidRPr="00367F15">
        <w:instrText xml:space="preserve"> XE "Fluconazole, oral" </w:instrText>
      </w:r>
      <w:r w:rsidRPr="00367F15">
        <w:fldChar w:fldCharType="end"/>
      </w:r>
      <w:r w:rsidRPr="00367F15">
        <w:t xml:space="preserve"> (breastfeeding): South African Medicines Formulary.  14th Edition.  Division of Clinical Pharmacology.  University of Cape Town, 2022.</w:t>
      </w:r>
    </w:p>
    <w:p w14:paraId="481A9FC4" w14:textId="77777777" w:rsidR="00B9629C" w:rsidRPr="00367F15" w:rsidRDefault="00B9629C" w:rsidP="00014361">
      <w:pPr>
        <w:pStyle w:val="EndnoteText"/>
        <w:spacing w:before="0" w:after="0"/>
        <w:jc w:val="both"/>
      </w:pPr>
      <w:r w:rsidRPr="00367F15">
        <w:tab/>
        <w:t>Fluconazole, oral</w:t>
      </w:r>
      <w:r w:rsidRPr="00367F15">
        <w:fldChar w:fldCharType="begin"/>
      </w:r>
      <w:r w:rsidRPr="00367F15">
        <w:instrText xml:space="preserve"> XE "Fluconazole, oral" </w:instrText>
      </w:r>
      <w:r w:rsidRPr="00367F15">
        <w:fldChar w:fldCharType="end"/>
      </w:r>
      <w:r w:rsidRPr="00367F15">
        <w:t xml:space="preserve"> (breastfeeding): </w:t>
      </w:r>
      <w:r w:rsidRPr="00367F15">
        <w:rPr>
          <w:rFonts w:cs="Arial"/>
          <w:szCs w:val="12"/>
        </w:rPr>
        <w:t xml:space="preserve">Govender NP, Meintjes G, Mangena P, Nel J, Potgieter S, Reddy D, et al. Southern African HIV Clinicians Society guideline for the prevention, diagnosis and management of cryptococcal disease among HIV-infected persons: 2019 update. S Afr J HIV Med 2019;20(1):a1030. </w:t>
      </w:r>
      <w:hyperlink r:id="rId72" w:history="1">
        <w:r w:rsidRPr="00367F15">
          <w:rPr>
            <w:rStyle w:val="Hyperlink"/>
            <w:rFonts w:cs="Arial"/>
            <w:szCs w:val="12"/>
          </w:rPr>
          <w:t>https://doi.org/10.4102/sajhivmed.v20i1.1030</w:t>
        </w:r>
      </w:hyperlink>
    </w:p>
  </w:endnote>
  <w:endnote w:id="43">
    <w:p w14:paraId="4327C373" w14:textId="51BF6F35" w:rsidR="00B9629C" w:rsidRPr="00367F15" w:rsidRDefault="00B9629C" w:rsidP="00840AAC">
      <w:pPr>
        <w:pStyle w:val="EndnoteText"/>
        <w:spacing w:before="0" w:after="0"/>
        <w:jc w:val="both"/>
      </w:pPr>
      <w:r w:rsidRPr="00367F15">
        <w:rPr>
          <w:rStyle w:val="EndnoteReference"/>
        </w:rPr>
        <w:endnoteRef/>
      </w:r>
      <w:r w:rsidRPr="00367F15">
        <w:tab/>
        <w:t xml:space="preserve">Antivirals to treat herpes simplex (therapeutic class): Workowski KA, Bolan GA; Centers for Disease Control and Prevention. Sexually transmitted diseases treatment guidelines, 2015. MMWR Recomm Rep. 2015 Jun 5;64(RR-03):1-137. Erratum in: MMWR Recomm Rep. 2015 Aug 28;64(33):924. </w:t>
      </w:r>
      <w:hyperlink r:id="rId73" w:history="1">
        <w:r w:rsidRPr="00367F15">
          <w:rPr>
            <w:rStyle w:val="Hyperlink"/>
          </w:rPr>
          <w:t>https://www.ncbi.nlm.nih.gov/pubmed/26042815</w:t>
        </w:r>
      </w:hyperlink>
      <w:r w:rsidRPr="00367F15">
        <w:rPr>
          <w:rStyle w:val="Strong"/>
          <w:b w:val="0"/>
          <w:bCs w:val="0"/>
        </w:rPr>
        <w:t xml:space="preserve"> </w:t>
      </w:r>
    </w:p>
  </w:endnote>
  <w:endnote w:id="44">
    <w:p w14:paraId="6781DDEE" w14:textId="388BAEF9" w:rsidR="00B9629C" w:rsidRPr="00367F15" w:rsidRDefault="00B9629C" w:rsidP="00840AAC">
      <w:pPr>
        <w:pStyle w:val="EndnoteText"/>
        <w:spacing w:before="0" w:after="0"/>
        <w:jc w:val="both"/>
      </w:pPr>
      <w:r w:rsidRPr="00367F15">
        <w:rPr>
          <w:rStyle w:val="EndnoteReference"/>
        </w:rPr>
        <w:endnoteRef/>
      </w:r>
      <w:r w:rsidRPr="00367F15">
        <w:tab/>
        <w:t>Antivirals to treat herpes zoster (therapeutic class): McDonald EM, De Kock J, Ram FS. Antivirals for management of herpes zoster including ophthalmicus: a systematic review of high-quality randomized controlled trials. Antiviral</w:t>
      </w:r>
      <w:r w:rsidRPr="00367F15">
        <w:fldChar w:fldCharType="begin"/>
      </w:r>
      <w:r w:rsidRPr="00367F15">
        <w:instrText xml:space="preserve"> XE "Antiviral" </w:instrText>
      </w:r>
      <w:r w:rsidRPr="00367F15">
        <w:fldChar w:fldCharType="end"/>
      </w:r>
      <w:r w:rsidRPr="00367F15">
        <w:t xml:space="preserve"> Therapy 2012; 17(2): 255-264. </w:t>
      </w:r>
      <w:hyperlink r:id="rId74" w:history="1">
        <w:r w:rsidRPr="00367F15">
          <w:rPr>
            <w:rStyle w:val="Hyperlink"/>
          </w:rPr>
          <w:t>https://www.ncbi.nlm.nih.gov/pubmed/22300753</w:t>
        </w:r>
      </w:hyperlink>
      <w:r w:rsidRPr="00367F15">
        <w:rPr>
          <w:rStyle w:val="Strong"/>
          <w:b w:val="0"/>
          <w:bCs w:val="0"/>
        </w:rPr>
        <w:t xml:space="preserve"> </w:t>
      </w:r>
    </w:p>
  </w:endnote>
  <w:endnote w:id="45">
    <w:p w14:paraId="505B38E0" w14:textId="7C4C3914" w:rsidR="00B9629C" w:rsidRPr="00367F15" w:rsidRDefault="00B9629C" w:rsidP="00840AAC">
      <w:pPr>
        <w:pStyle w:val="EndnoteText"/>
        <w:tabs>
          <w:tab w:val="left" w:pos="90"/>
        </w:tabs>
        <w:spacing w:before="0" w:after="0"/>
        <w:jc w:val="both"/>
        <w:rPr>
          <w:rStyle w:val="Hyperlink"/>
          <w:rFonts w:cs="Arial"/>
          <w:color w:val="000000"/>
          <w:szCs w:val="16"/>
          <w:u w:val="none"/>
          <w:lang w:eastAsia="en-ZA"/>
        </w:rPr>
      </w:pPr>
      <w:r w:rsidRPr="00367F15">
        <w:rPr>
          <w:rStyle w:val="EndnoteReference"/>
        </w:rPr>
        <w:endnoteRef/>
      </w:r>
      <w:r w:rsidRPr="00367F15">
        <w:t xml:space="preserve"> </w:t>
      </w:r>
      <w:r w:rsidRPr="00367F15">
        <w:tab/>
        <w:t xml:space="preserve">Management HIV-infected children and adolescents: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75"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52A088FF" w14:textId="3B964AF6" w:rsidR="00B9629C" w:rsidRPr="00367F15" w:rsidRDefault="00B9629C" w:rsidP="00840AAC">
      <w:pPr>
        <w:pStyle w:val="EndnoteText"/>
        <w:spacing w:before="0" w:after="0"/>
        <w:jc w:val="both"/>
      </w:pPr>
      <w:r w:rsidRPr="00367F15">
        <w:rPr>
          <w:rStyle w:val="Hyperlink"/>
          <w:spacing w:val="-2"/>
          <w:szCs w:val="12"/>
          <w:u w:val="none"/>
        </w:rPr>
        <w:tab/>
      </w:r>
      <w:r w:rsidRPr="00367F15">
        <w:rPr>
          <w:szCs w:val="12"/>
        </w:rPr>
        <w:t>South African National Department of Health. 2023 Antiretroviral Therapy Clinical Guidelines for the Management of HIV in Adults, Pregnancy and Breastfeeding, Adolescents, Children, Infants and Neonates. April 2023.</w:t>
      </w:r>
    </w:p>
  </w:endnote>
  <w:endnote w:id="46">
    <w:p w14:paraId="0C88DAC4" w14:textId="7CCCE6FB" w:rsidR="00B9629C" w:rsidRPr="00367F15" w:rsidRDefault="00B9629C" w:rsidP="00840AAC">
      <w:pPr>
        <w:pStyle w:val="EndnoteText"/>
        <w:spacing w:before="0" w:after="0"/>
        <w:jc w:val="both"/>
      </w:pPr>
      <w:r w:rsidRPr="00367F15">
        <w:rPr>
          <w:rStyle w:val="EndnoteReference"/>
        </w:rPr>
        <w:endnoteRef/>
      </w:r>
      <w:r w:rsidRPr="00367F15">
        <w:tab/>
        <w:t xml:space="preserve">PMTCT(risk-stratified): Beste S, Essajee S, Siberry G, Hannaford A, Dara J, Sugandhi N, Penazzato M. Optimal Antiretroviral Prophylaxis in Infants at High Risk of Acquiring HIV: A Systematic Review. Pediatr Infect Dis J. 2018 Feb;37(2):169-175. </w:t>
      </w:r>
      <w:hyperlink r:id="rId76" w:history="1">
        <w:r w:rsidRPr="00367F15">
          <w:rPr>
            <w:rStyle w:val="Hyperlink"/>
          </w:rPr>
          <w:t>https://www.ncbi.nlm.nih.gov/pubmed/29319636</w:t>
        </w:r>
      </w:hyperlink>
      <w:r w:rsidRPr="00367F15">
        <w:rPr>
          <w:rStyle w:val="Strong"/>
          <w:b w:val="0"/>
          <w:bCs w:val="0"/>
        </w:rPr>
        <w:t xml:space="preserve"> </w:t>
      </w:r>
    </w:p>
    <w:p w14:paraId="4035853A" w14:textId="48B07510" w:rsidR="00B9629C" w:rsidRPr="00367F15" w:rsidRDefault="00B9629C" w:rsidP="00840AAC">
      <w:pPr>
        <w:pStyle w:val="EndnoteText"/>
        <w:spacing w:before="0" w:after="0"/>
        <w:jc w:val="both"/>
      </w:pPr>
      <w:r w:rsidRPr="00367F15">
        <w:tab/>
        <w:t xml:space="preserve">PMTCT(risk-stratified):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77"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endnote>
  <w:endnote w:id="47">
    <w:p w14:paraId="29F7A446" w14:textId="3A32AA59" w:rsidR="00B9629C" w:rsidRPr="00367F15" w:rsidRDefault="00B9629C" w:rsidP="00840AAC">
      <w:pPr>
        <w:pStyle w:val="EndnoteText"/>
        <w:tabs>
          <w:tab w:val="left" w:pos="90"/>
        </w:tabs>
        <w:spacing w:before="0" w:after="0"/>
        <w:jc w:val="both"/>
        <w:rPr>
          <w:rFonts w:cs="Arial"/>
          <w:color w:val="000000"/>
          <w:szCs w:val="16"/>
          <w:lang w:eastAsia="en-ZA"/>
        </w:rPr>
      </w:pPr>
      <w:r w:rsidRPr="00367F15">
        <w:rPr>
          <w:rStyle w:val="EndnoteReference"/>
        </w:rPr>
        <w:endnoteRef/>
      </w:r>
      <w:r w:rsidRPr="00367F15">
        <w:tab/>
        <w:t xml:space="preserve">PMTCT (HIV prophylaxis in high risk infants – management of high maternal VL after delivery):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78"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586DCC29" w14:textId="5257A7C2" w:rsidR="00B9629C" w:rsidRPr="00367F15" w:rsidRDefault="00B9629C" w:rsidP="00840AAC">
      <w:pPr>
        <w:pStyle w:val="EndnoteText"/>
        <w:spacing w:before="0" w:after="0"/>
        <w:jc w:val="both"/>
      </w:pPr>
      <w:r w:rsidRPr="00367F15">
        <w:rPr>
          <w:rStyle w:val="Hyperlink"/>
          <w:spacing w:val="-2"/>
          <w:szCs w:val="12"/>
          <w:u w:val="none"/>
        </w:rPr>
        <w:tab/>
      </w:r>
      <w:r w:rsidRPr="00367F15">
        <w:t xml:space="preserve">PMTCT (HIV prophylaxis in high risk infants – management of high maternal VL after delivery): </w:t>
      </w:r>
      <w:r w:rsidRPr="00367F15">
        <w:rPr>
          <w:szCs w:val="12"/>
        </w:rPr>
        <w:t>South African National Department of Health. 2023 Antiretroviral Therapy Clinical Guidelines for the Management of HIV in Adults, Pregnancy and Breastfeeding, Adolescents, Children, Infants and Neonates. April 2023.</w:t>
      </w:r>
    </w:p>
  </w:endnote>
  <w:endnote w:id="48">
    <w:p w14:paraId="5D23E33D" w14:textId="77777777" w:rsidR="00B9629C" w:rsidRPr="00367F15" w:rsidRDefault="00B9629C" w:rsidP="00840AAC">
      <w:pPr>
        <w:pStyle w:val="EndnoteText"/>
        <w:tabs>
          <w:tab w:val="left" w:pos="90"/>
        </w:tabs>
        <w:spacing w:before="0" w:after="0"/>
        <w:jc w:val="both"/>
        <w:rPr>
          <w:rStyle w:val="Hyperlink"/>
          <w:rFonts w:cs="Arial"/>
          <w:color w:val="000000"/>
          <w:szCs w:val="16"/>
          <w:u w:val="none"/>
          <w:lang w:eastAsia="en-ZA"/>
        </w:rPr>
      </w:pPr>
      <w:r w:rsidRPr="00367F15">
        <w:rPr>
          <w:rStyle w:val="EndnoteReference"/>
        </w:rPr>
        <w:endnoteRef/>
      </w:r>
      <w:r w:rsidRPr="00367F15">
        <w:tab/>
        <w:t xml:space="preserve">PMTCT (Infant of unknown HIV-exposure):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79"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44D18C27" w14:textId="77777777" w:rsidR="00B9629C" w:rsidRPr="00367F15" w:rsidRDefault="00B9629C" w:rsidP="00840AAC">
      <w:pPr>
        <w:pStyle w:val="EndnoteText"/>
        <w:spacing w:before="0" w:after="0"/>
        <w:jc w:val="both"/>
      </w:pPr>
      <w:r w:rsidRPr="00367F15">
        <w:rPr>
          <w:rStyle w:val="Hyperlink"/>
          <w:spacing w:val="-2"/>
          <w:szCs w:val="12"/>
          <w:u w:val="none"/>
        </w:rPr>
        <w:tab/>
      </w:r>
      <w:r w:rsidRPr="00367F15">
        <w:t xml:space="preserve">PMTCT (Infant of unknown HIV-exposure): </w:t>
      </w:r>
      <w:r w:rsidRPr="00367F15">
        <w:rPr>
          <w:szCs w:val="12"/>
        </w:rPr>
        <w:t>South African National Department of Health. 2023 Antiretroviral Therapy Clinical Guidelines for the Management of HIV in Adults, Pregnancy and Breastfeeding, Adolescents, Children, Infants and Neonates. April 2023.</w:t>
      </w:r>
    </w:p>
  </w:endnote>
  <w:endnote w:id="49">
    <w:p w14:paraId="11E73CCA" w14:textId="3C4852BF" w:rsidR="00B9629C" w:rsidRPr="00367F15" w:rsidRDefault="00B9629C" w:rsidP="00840AAC">
      <w:pPr>
        <w:pStyle w:val="EndnoteText"/>
        <w:tabs>
          <w:tab w:val="left" w:pos="90"/>
        </w:tabs>
        <w:spacing w:before="0" w:after="0"/>
        <w:jc w:val="both"/>
      </w:pPr>
      <w:r w:rsidRPr="00367F15">
        <w:rPr>
          <w:rStyle w:val="EndnoteReference"/>
        </w:rPr>
        <w:endnoteRef/>
      </w:r>
      <w:r w:rsidRPr="00367F15">
        <w:tab/>
        <w:t xml:space="preserve">PMTCT </w:t>
      </w:r>
      <w:r w:rsidRPr="00367F15">
        <w:rPr>
          <w:rFonts w:cs="Arial"/>
          <w:color w:val="000000"/>
          <w:szCs w:val="16"/>
          <w:lang w:eastAsia="en-ZA"/>
        </w:rPr>
        <w:t>Nielsen-Saines K, et. al. Three Postpartum Antiretroviral Regimens to prevent Intrapartum HIV infection. NEJM. 2012;366:2368-2379.</w:t>
      </w:r>
    </w:p>
  </w:endnote>
  <w:endnote w:id="50">
    <w:p w14:paraId="1BDA5B06" w14:textId="5B0D7E47" w:rsidR="00B9629C" w:rsidRPr="00367F15" w:rsidRDefault="00B9629C" w:rsidP="00840AAC">
      <w:pPr>
        <w:pStyle w:val="EndnoteText"/>
        <w:tabs>
          <w:tab w:val="left" w:pos="90"/>
        </w:tabs>
        <w:spacing w:before="0" w:after="0"/>
        <w:jc w:val="both"/>
        <w:rPr>
          <w:rStyle w:val="Hyperlink"/>
          <w:rFonts w:cs="Arial"/>
          <w:color w:val="000000"/>
          <w:szCs w:val="16"/>
          <w:u w:val="none"/>
          <w:lang w:eastAsia="en-ZA"/>
        </w:rPr>
      </w:pPr>
      <w:r w:rsidRPr="00367F15">
        <w:rPr>
          <w:rStyle w:val="EndnoteReference"/>
        </w:rPr>
        <w:endnoteRef/>
      </w:r>
      <w:r w:rsidRPr="00367F15">
        <w:tab/>
        <w:t xml:space="preserve">Monitoring in HIV-infected children: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80"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2CF01924" w14:textId="41AF6260" w:rsidR="00B9629C" w:rsidRPr="00367F15" w:rsidRDefault="00B9629C" w:rsidP="00840AAC">
      <w:pPr>
        <w:pStyle w:val="EndnoteText"/>
        <w:spacing w:before="0" w:after="0"/>
        <w:jc w:val="both"/>
      </w:pPr>
      <w:r w:rsidRPr="00367F15">
        <w:rPr>
          <w:rStyle w:val="Hyperlink"/>
          <w:spacing w:val="-2"/>
          <w:szCs w:val="12"/>
          <w:u w:val="none"/>
        </w:rPr>
        <w:tab/>
      </w:r>
      <w:r w:rsidRPr="00367F15">
        <w:t xml:space="preserve">Monitoring in HIV-infected children: </w:t>
      </w:r>
      <w:r w:rsidRPr="00367F15">
        <w:rPr>
          <w:szCs w:val="12"/>
        </w:rPr>
        <w:t>South African National Department of Health. 2023 Antiretroviral Therapy Clinical Guidelines for the Management of HIV in Adults, Pregnancy and Breastfeeding, Adolescents, Children, Infants and Neonates. April 2023.</w:t>
      </w:r>
    </w:p>
  </w:endnote>
  <w:endnote w:id="51">
    <w:p w14:paraId="2D96AB45" w14:textId="7AEDA013" w:rsidR="00B9629C" w:rsidRPr="00367F15" w:rsidRDefault="00B9629C" w:rsidP="00840AAC">
      <w:pPr>
        <w:pStyle w:val="EndnoteText"/>
        <w:tabs>
          <w:tab w:val="left" w:pos="90"/>
        </w:tabs>
        <w:spacing w:before="0" w:after="0"/>
        <w:jc w:val="both"/>
        <w:rPr>
          <w:rStyle w:val="Hyperlink"/>
          <w:rFonts w:cs="Arial"/>
          <w:color w:val="000000"/>
          <w:szCs w:val="16"/>
          <w:u w:val="none"/>
          <w:lang w:eastAsia="en-ZA"/>
        </w:rPr>
      </w:pPr>
      <w:r w:rsidRPr="00367F15">
        <w:rPr>
          <w:rStyle w:val="EndnoteReference"/>
        </w:rPr>
        <w:endnoteRef/>
      </w:r>
      <w:r w:rsidRPr="00367F15">
        <w:tab/>
        <w:t xml:space="preserve">Eligibility criteria for ART (children): World Health Organisation.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81"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5EA3EE08" w14:textId="2CA98925" w:rsidR="00B9629C" w:rsidRPr="00367F15" w:rsidRDefault="00B9629C" w:rsidP="00840AAC">
      <w:pPr>
        <w:pStyle w:val="EndnoteText"/>
        <w:spacing w:before="0" w:after="0"/>
        <w:jc w:val="both"/>
      </w:pPr>
      <w:r w:rsidRPr="00367F15">
        <w:rPr>
          <w:rStyle w:val="Hyperlink"/>
          <w:spacing w:val="-2"/>
          <w:szCs w:val="12"/>
          <w:u w:val="none"/>
        </w:rPr>
        <w:tab/>
      </w:r>
      <w:r w:rsidRPr="00367F15">
        <w:t xml:space="preserve">Eligibility criteria for ART (children): </w:t>
      </w:r>
      <w:r w:rsidRPr="00367F15">
        <w:rPr>
          <w:szCs w:val="12"/>
        </w:rPr>
        <w:t>South African National Department of Health. 2023 Antiretroviral Therapy Clinical Guidelines for the Management of HIV in Adults, Pregnancy and Breastfeeding, Adolescents, Children, Infants and Neonates. April 2023.</w:t>
      </w:r>
    </w:p>
  </w:endnote>
  <w:endnote w:id="52">
    <w:p w14:paraId="66461747" w14:textId="77777777" w:rsidR="00B9629C" w:rsidRPr="00367F15" w:rsidRDefault="00B9629C" w:rsidP="00840AAC">
      <w:pPr>
        <w:pStyle w:val="EndnoteText"/>
        <w:tabs>
          <w:tab w:val="left" w:pos="90"/>
        </w:tabs>
        <w:spacing w:before="0" w:after="0"/>
        <w:jc w:val="both"/>
      </w:pPr>
      <w:r w:rsidRPr="00367F15">
        <w:rPr>
          <w:rStyle w:val="EndnoteReference"/>
        </w:rPr>
        <w:endnoteRef/>
      </w:r>
      <w:r w:rsidRPr="00367F15">
        <w:tab/>
      </w:r>
      <w:r w:rsidRPr="00367F15">
        <w:rPr>
          <w:rFonts w:cs="Arial"/>
          <w:color w:val="000000"/>
          <w:szCs w:val="16"/>
          <w:lang w:eastAsia="en-ZA"/>
        </w:rPr>
        <w:t xml:space="preserve"> </w:t>
      </w:r>
      <w:r w:rsidRPr="00367F15">
        <w:t xml:space="preserve">ART regimen algorithm (children): </w:t>
      </w:r>
      <w:r w:rsidRPr="00367F15">
        <w:rPr>
          <w:szCs w:val="12"/>
        </w:rPr>
        <w:t>South African National Department of Health. 2023 Antiretroviral Therapy Clinical Guidelines for the Management of HIV in Adults, Pregnancy and Breastfeeding, Adolescents, Children, Infants and Neonates. April 2023.</w:t>
      </w:r>
    </w:p>
  </w:endnote>
  <w:endnote w:id="53">
    <w:p w14:paraId="427DF56A" w14:textId="77777777" w:rsidR="00B9629C" w:rsidRPr="00367F15" w:rsidRDefault="00B9629C" w:rsidP="00840AAC">
      <w:pPr>
        <w:pStyle w:val="EndnoteText"/>
        <w:tabs>
          <w:tab w:val="left" w:pos="90"/>
        </w:tabs>
        <w:spacing w:before="0" w:after="0"/>
        <w:jc w:val="both"/>
        <w:rPr>
          <w:rStyle w:val="Hyperlink"/>
          <w:rFonts w:cs="Arial"/>
          <w:color w:val="000000"/>
          <w:szCs w:val="16"/>
          <w:u w:val="none"/>
          <w:lang w:eastAsia="en-ZA"/>
        </w:rPr>
      </w:pPr>
      <w:r w:rsidRPr="00367F15">
        <w:rPr>
          <w:rStyle w:val="EndnoteReference"/>
        </w:rPr>
        <w:endnoteRef/>
      </w:r>
      <w:r w:rsidRPr="00367F15">
        <w:tab/>
        <w:t xml:space="preserve">Adjustment of previous 1st line regimens/switching algorithm (children):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82"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753CC716" w14:textId="77777777" w:rsidR="00B9629C" w:rsidRPr="00367F15" w:rsidRDefault="00B9629C" w:rsidP="00840AAC">
      <w:pPr>
        <w:pStyle w:val="EndnoteText"/>
        <w:spacing w:before="0" w:after="0"/>
        <w:jc w:val="both"/>
      </w:pPr>
      <w:r w:rsidRPr="00367F15">
        <w:rPr>
          <w:rStyle w:val="Hyperlink"/>
          <w:spacing w:val="-2"/>
          <w:szCs w:val="12"/>
          <w:u w:val="none"/>
        </w:rPr>
        <w:tab/>
      </w:r>
      <w:r w:rsidRPr="00367F15">
        <w:t xml:space="preserve">Adjustment of previous 1st line regimens/switching algorithm (children): </w:t>
      </w:r>
      <w:r w:rsidRPr="00367F15">
        <w:rPr>
          <w:szCs w:val="12"/>
        </w:rPr>
        <w:t>South African National Department of Health. 2023 Antiretroviral Therapy Clinical Guidelines for the Management of HIV in Adults, Pregnancy and Breastfeeding, Adolescents, Children, Infants and Neonates. April 2023.</w:t>
      </w:r>
    </w:p>
  </w:endnote>
  <w:endnote w:id="54">
    <w:p w14:paraId="7531E39D" w14:textId="44D53D40" w:rsidR="00B9629C" w:rsidRPr="00367F15" w:rsidRDefault="00B9629C" w:rsidP="00840AAC">
      <w:pPr>
        <w:pStyle w:val="EndnoteText"/>
        <w:tabs>
          <w:tab w:val="left" w:pos="90"/>
        </w:tabs>
        <w:spacing w:before="0" w:after="0"/>
        <w:jc w:val="both"/>
        <w:rPr>
          <w:rStyle w:val="Hyperlink"/>
          <w:rFonts w:cs="Arial"/>
          <w:color w:val="000000"/>
          <w:szCs w:val="16"/>
          <w:u w:val="none"/>
          <w:lang w:eastAsia="en-ZA"/>
        </w:rPr>
      </w:pPr>
      <w:r w:rsidRPr="00367F15">
        <w:rPr>
          <w:rStyle w:val="EndnoteReference"/>
        </w:rPr>
        <w:endnoteRef/>
      </w:r>
      <w:r w:rsidRPr="00367F15">
        <w:tab/>
        <w:t>Lopinavir/ritonavir</w:t>
      </w:r>
      <w:r w:rsidRPr="00367F15">
        <w:fldChar w:fldCharType="begin"/>
      </w:r>
      <w:r w:rsidRPr="00367F15">
        <w:instrText xml:space="preserve"> XE "ritonavir" </w:instrText>
      </w:r>
      <w:r w:rsidRPr="00367F15">
        <w:fldChar w:fldCharType="end"/>
      </w:r>
      <w:r w:rsidRPr="00367F15">
        <w:t xml:space="preserve"> weight-band dosing (children):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83"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p w14:paraId="73D7F0A7" w14:textId="1C429279" w:rsidR="00B9629C" w:rsidRPr="00367F15" w:rsidRDefault="00B9629C" w:rsidP="00840AAC">
      <w:pPr>
        <w:pStyle w:val="EndnoteText"/>
        <w:spacing w:before="0" w:after="0"/>
        <w:jc w:val="both"/>
      </w:pPr>
      <w:r w:rsidRPr="00367F15">
        <w:rPr>
          <w:rStyle w:val="Hyperlink"/>
          <w:spacing w:val="-2"/>
          <w:szCs w:val="12"/>
          <w:u w:val="none"/>
        </w:rPr>
        <w:tab/>
      </w:r>
      <w:r w:rsidRPr="00367F15">
        <w:t>Lopinavir/ritonavir</w:t>
      </w:r>
      <w:r w:rsidRPr="00367F15">
        <w:fldChar w:fldCharType="begin"/>
      </w:r>
      <w:r w:rsidRPr="00367F15">
        <w:instrText xml:space="preserve"> XE "ritonavir" </w:instrText>
      </w:r>
      <w:r w:rsidRPr="00367F15">
        <w:fldChar w:fldCharType="end"/>
      </w:r>
      <w:r w:rsidRPr="00367F15">
        <w:t xml:space="preserve"> weight-band dosing (children):</w:t>
      </w:r>
      <w:r w:rsidRPr="00367F15">
        <w:rPr>
          <w:szCs w:val="12"/>
        </w:rPr>
        <w:t xml:space="preserve"> South African National Department of Health. 2023 Antiretroviral Therapy Clinical Guidelines for the Management of HIV in Adults, Pregnancy and Breastfeeding, Adolescents, Children, Infants and Neonates. April 2023.</w:t>
      </w:r>
    </w:p>
  </w:endnote>
  <w:endnote w:id="55">
    <w:p w14:paraId="1AA09482" w14:textId="77777777" w:rsidR="00B9629C" w:rsidRPr="00367F15" w:rsidRDefault="00B9629C" w:rsidP="00840AAC">
      <w:pPr>
        <w:pStyle w:val="EndnoteText"/>
        <w:tabs>
          <w:tab w:val="left" w:pos="90"/>
        </w:tabs>
        <w:spacing w:before="0" w:after="0"/>
        <w:jc w:val="both"/>
        <w:rPr>
          <w:rStyle w:val="Hyperlink"/>
          <w:rFonts w:cs="Arial"/>
          <w:color w:val="000000"/>
          <w:szCs w:val="16"/>
          <w:u w:val="none"/>
          <w:lang w:eastAsia="en-ZA"/>
        </w:rPr>
      </w:pPr>
      <w:r w:rsidRPr="00367F15">
        <w:rPr>
          <w:rStyle w:val="EndnoteReference"/>
        </w:rPr>
        <w:endnoteRef/>
      </w:r>
      <w:r w:rsidRPr="00367F15">
        <w:tab/>
        <w:t>NDoH Paeditraic EML. 2023.Ed July 2023.</w:t>
      </w:r>
    </w:p>
    <w:p w14:paraId="1D6DF63A" w14:textId="77777777" w:rsidR="00B9629C" w:rsidRPr="00367F15" w:rsidRDefault="00B9629C" w:rsidP="00840AAC">
      <w:pPr>
        <w:pStyle w:val="EndnoteText"/>
        <w:spacing w:before="0" w:after="0"/>
        <w:jc w:val="both"/>
      </w:pPr>
      <w:r w:rsidRPr="00367F15">
        <w:rPr>
          <w:rStyle w:val="Hyperlink"/>
          <w:spacing w:val="-2"/>
          <w:szCs w:val="12"/>
          <w:u w:val="none"/>
        </w:rPr>
        <w:tab/>
      </w:r>
      <w:hyperlink r:id="rId84" w:history="1">
        <w:r w:rsidRPr="00367F15">
          <w:rPr>
            <w:rStyle w:val="Hyperlink"/>
          </w:rPr>
          <w:t>Temporal Trends in Co-trimoxazole Use Among Children on Antiretroviral Therapy and the Impact of Co-trimoxazole on Mortality Rates in Children Without Severe Immunodeficiency | Journal of the Pediatric Infectious Diseases Society | Oxford Academic (oup.com)</w:t>
        </w:r>
      </w:hyperlink>
    </w:p>
  </w:endnote>
  <w:endnote w:id="56">
    <w:p w14:paraId="797C3891" w14:textId="77777777" w:rsidR="00D71DCA" w:rsidRPr="00367F15" w:rsidRDefault="00D71DCA" w:rsidP="00D71DCA">
      <w:pPr>
        <w:pStyle w:val="EndnoteText"/>
        <w:spacing w:before="0" w:after="0"/>
        <w:jc w:val="both"/>
      </w:pPr>
      <w:r w:rsidRPr="00367F15">
        <w:rPr>
          <w:rStyle w:val="EndnoteReference"/>
        </w:rPr>
        <w:endnoteRef/>
      </w:r>
      <w:r w:rsidRPr="00367F15">
        <w:tab/>
        <w:t xml:space="preserve">PrEP regimen (Tenofovir + emtricitabine): Fonner VA, Dalglish SL, Kennedy CE, Baggaley R, O'reilly KR, Koechlin FM, Rodolph M, Hodges-Mameletzis I, Grant RM. Effectiveness and safety of oral HIV pre-exposure prophylaxis (PrEP) for all populations: A systematic review and meta-analysis. AIDS. AIDS. 2016 Jul 31;30(12):1973-83. </w:t>
      </w:r>
      <w:hyperlink r:id="rId85" w:history="1">
        <w:r w:rsidRPr="00367F15">
          <w:rPr>
            <w:rStyle w:val="Hyperlink"/>
          </w:rPr>
          <w:t>http://www.ncbi.nlm.nih.gov/pubmed/27149090</w:t>
        </w:r>
      </w:hyperlink>
      <w:r w:rsidRPr="00367F15">
        <w:rPr>
          <w:rStyle w:val="Strong"/>
          <w:b w:val="0"/>
          <w:bCs w:val="0"/>
        </w:rPr>
        <w:t xml:space="preserve"> </w:t>
      </w:r>
    </w:p>
    <w:p w14:paraId="2D930551" w14:textId="77777777" w:rsidR="00D71DCA" w:rsidRPr="00367F15" w:rsidRDefault="00D71DCA" w:rsidP="00D71DCA">
      <w:pPr>
        <w:pStyle w:val="EndnoteText"/>
        <w:spacing w:before="0" w:after="0"/>
        <w:jc w:val="both"/>
      </w:pPr>
      <w:r w:rsidRPr="00367F15">
        <w:tab/>
        <w:t xml:space="preserve">PrEP regimen (Tenofovir + emtricitabine): </w:t>
      </w:r>
      <w:r w:rsidRPr="00367F15">
        <w:rPr>
          <w:rFonts w:cs="Arial"/>
          <w:color w:val="000000"/>
          <w:szCs w:val="16"/>
          <w:lang w:eastAsia="en-ZA"/>
        </w:rPr>
        <w:t xml:space="preserve">WHO. Consolidated guidelines on HIV prevention, testing, treatment, service delivery and monitoring: recommendations for a public health approach, July 2021. </w:t>
      </w:r>
      <w:hyperlink r:id="rId86" w:history="1">
        <w:r w:rsidRPr="00367F15">
          <w:rPr>
            <w:rStyle w:val="Hyperlink"/>
            <w:rFonts w:cs="Arial"/>
            <w:szCs w:val="16"/>
            <w:lang w:eastAsia="en-ZA"/>
          </w:rPr>
          <w:t>https://www.who.int/publications/i/item/9789240031593</w:t>
        </w:r>
      </w:hyperlink>
      <w:r w:rsidRPr="00367F15">
        <w:rPr>
          <w:rFonts w:cs="Arial"/>
          <w:color w:val="000000"/>
          <w:szCs w:val="16"/>
          <w:lang w:eastAsia="en-ZA"/>
        </w:rPr>
        <w:t xml:space="preserve">   </w:t>
      </w:r>
    </w:p>
  </w:endnote>
  <w:endnote w:id="57">
    <w:p w14:paraId="1596DDE9" w14:textId="77777777" w:rsidR="00D71DCA" w:rsidRPr="003D7E3E" w:rsidRDefault="00D71DCA" w:rsidP="00D71DCA">
      <w:pPr>
        <w:pStyle w:val="EndnoteText"/>
        <w:spacing w:before="0" w:after="0"/>
        <w:rPr>
          <w:sz w:val="16"/>
          <w:szCs w:val="22"/>
        </w:rPr>
      </w:pPr>
    </w:p>
  </w:endnote>
  <w:endnote w:id="58">
    <w:p w14:paraId="4B7AFD86" w14:textId="77777777" w:rsidR="00D71DCA" w:rsidRPr="00367F15" w:rsidRDefault="00D71DCA" w:rsidP="00D71DCA">
      <w:pPr>
        <w:pStyle w:val="EndnoteText"/>
        <w:spacing w:before="0" w:after="0"/>
        <w:jc w:val="both"/>
        <w:rPr>
          <w:rStyle w:val="Strong"/>
          <w:b w:val="0"/>
          <w:bCs w:val="0"/>
        </w:rPr>
      </w:pPr>
      <w:r w:rsidRPr="00367F15">
        <w:rPr>
          <w:rStyle w:val="EndnoteReference"/>
        </w:rPr>
        <w:endnoteRef/>
      </w:r>
      <w:r w:rsidRPr="00367F15">
        <w:tab/>
        <w:t xml:space="preserve">PrEP regimen (Tenofovir + emtricitabine: adequate dosing): Patterson KB, Prince HA, Kraft E, Jenkins AJ, Shaheen NJ, Rooney JF, Cohen MS, Kashuba AD. Penetration of tenofovir and emtricitabine in mucosal tissues: implications for prevention of HIV-1 transmission. Sci Transl Med. 2011 Dec 7;3(112):112re4. </w:t>
      </w:r>
      <w:hyperlink r:id="rId87" w:history="1">
        <w:r w:rsidRPr="00367F15">
          <w:rPr>
            <w:rStyle w:val="Hyperlink"/>
          </w:rPr>
          <w:t>https://www.ncbi.nlm.nih.gov/pubmed/22158861</w:t>
        </w:r>
      </w:hyperlink>
      <w:r w:rsidRPr="00367F15">
        <w:rPr>
          <w:rStyle w:val="Strong"/>
          <w:b w:val="0"/>
          <w:bCs w:val="0"/>
        </w:rPr>
        <w:t xml:space="preserve"> </w:t>
      </w:r>
    </w:p>
    <w:p w14:paraId="485CD4D2" w14:textId="77777777" w:rsidR="00D71DCA" w:rsidRPr="00367F15" w:rsidRDefault="00D71DCA" w:rsidP="00D71DCA">
      <w:pPr>
        <w:pStyle w:val="EndnoteText"/>
        <w:spacing w:before="0" w:after="0"/>
        <w:jc w:val="both"/>
        <w:rPr>
          <w:sz w:val="16"/>
          <w:szCs w:val="22"/>
        </w:rPr>
      </w:pPr>
      <w:r w:rsidRPr="00367F15">
        <w:rPr>
          <w:rStyle w:val="Strong"/>
          <w:b w:val="0"/>
          <w:bCs w:val="0"/>
        </w:rPr>
        <w:tab/>
      </w:r>
      <w:r w:rsidRPr="00367F15">
        <w:t xml:space="preserve">PrEP regimen (Tenofovir + emtricitabine: adequate dosing): National Department of Health. 2021 Updated guidelines for the provision of oral pre-exposure prophylaxis (prep) to persons at substantial risk of HIV infection. </w:t>
      </w:r>
      <w:hyperlink r:id="rId88" w:history="1">
        <w:r w:rsidRPr="00367F15">
          <w:rPr>
            <w:rStyle w:val="Hyperlink"/>
          </w:rPr>
          <w:t>https://www.knowledgehub.org.za/</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Bold">
    <w:altName w:val="Arial"/>
    <w:charset w:val="59"/>
    <w:family w:val="auto"/>
    <w:pitch w:val="variable"/>
    <w:sig w:usb0="00000000" w:usb1="C0007843" w:usb2="00000009" w:usb3="00000000" w:csb0="000001FF" w:csb1="00000000"/>
  </w:font>
  <w:font w:name="Aptos">
    <w:charset w:val="00"/>
    <w:family w:val="swiss"/>
    <w:pitch w:val="variable"/>
    <w:sig w:usb0="20000287" w:usb1="00000003" w:usb2="00000000" w:usb3="00000000" w:csb0="0000019F" w:csb1="00000000"/>
  </w:font>
  <w:font w:name="Aria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F6DFA" w14:textId="78464273" w:rsidR="00B9629C" w:rsidRPr="00367F15" w:rsidRDefault="00B9629C" w:rsidP="00F50EF9">
    <w:pPr>
      <w:pStyle w:val="Footer"/>
    </w:pPr>
    <w:r>
      <w:t>PHCh11_HIV_4 Nov 2025_4C</w:t>
    </w:r>
    <w:r w:rsidRPr="00367F15">
      <w:tab/>
    </w:r>
    <w:r w:rsidRPr="00367F15">
      <w:fldChar w:fldCharType="begin"/>
    </w:r>
    <w:r w:rsidRPr="00367F15">
      <w:instrText xml:space="preserve"> PAGE   \* MERGEFORMAT </w:instrText>
    </w:r>
    <w:r w:rsidRPr="00367F15">
      <w:fldChar w:fldCharType="separate"/>
    </w:r>
    <w:r w:rsidR="00887374">
      <w:rPr>
        <w:noProof/>
      </w:rPr>
      <w:t>11.59</w:t>
    </w:r>
    <w:r w:rsidRPr="00367F1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0FE46D" w14:textId="77777777" w:rsidR="00F80853" w:rsidRPr="00367F15" w:rsidRDefault="00F80853" w:rsidP="00AD1B9A">
      <w:r w:rsidRPr="00367F15">
        <w:separator/>
      </w:r>
    </w:p>
  </w:footnote>
  <w:footnote w:type="continuationSeparator" w:id="0">
    <w:p w14:paraId="4C85F3A1" w14:textId="77777777" w:rsidR="00F80853" w:rsidRPr="00367F15" w:rsidRDefault="00F80853" w:rsidP="00AD1B9A">
      <w:r w:rsidRPr="00367F15">
        <w:continuationSeparator/>
      </w:r>
    </w:p>
  </w:footnote>
  <w:footnote w:type="continuationNotice" w:id="1">
    <w:p w14:paraId="3DD4C70E" w14:textId="77777777" w:rsidR="00F80853" w:rsidRDefault="00F80853">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9DDB0" w14:textId="3AF7A1CD" w:rsidR="00B9629C" w:rsidRPr="00367F15" w:rsidRDefault="00B9629C" w:rsidP="0005561D">
    <w:pPr>
      <w:pStyle w:val="Header"/>
    </w:pPr>
    <w:r w:rsidRPr="00367F15">
      <w:t>Chapter 11</w:t>
    </w:r>
    <w:r w:rsidRPr="00367F15">
      <w:tab/>
    </w:r>
    <w:r w:rsidRPr="00367F15">
      <w:tab/>
      <w:t>HIV AND AIDS</w:t>
    </w:r>
  </w:p>
  <w:p w14:paraId="174A8C4C" w14:textId="77777777" w:rsidR="00B9629C" w:rsidRPr="00367F15" w:rsidRDefault="00B9629C" w:rsidP="00A56815">
    <w:pPr>
      <w:pStyle w:val="NoSpacing"/>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73044"/>
    <w:multiLevelType w:val="multilevel"/>
    <w:tmpl w:val="ABCAFC5E"/>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567" w:hanging="283"/>
      </w:pPr>
      <w:rPr>
        <w:rFonts w:ascii="Courier New" w:hAnsi="Courier New" w:hint="default"/>
        <w:b/>
        <w:i w:val="0"/>
        <w:color w:val="000000"/>
        <w:sz w:val="1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
    <w:nsid w:val="14566573"/>
    <w:multiLevelType w:val="hybridMultilevel"/>
    <w:tmpl w:val="98047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C341C3"/>
    <w:multiLevelType w:val="hybridMultilevel"/>
    <w:tmpl w:val="3D6E1F8E"/>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1ABC4D55"/>
    <w:multiLevelType w:val="hybridMultilevel"/>
    <w:tmpl w:val="D0306406"/>
    <w:lvl w:ilvl="0" w:tplc="94866534">
      <w:start w:val="1"/>
      <w:numFmt w:val="bullet"/>
      <w:lvlText w:val="»"/>
      <w:lvlJc w:val="left"/>
      <w:pPr>
        <w:ind w:left="360" w:hanging="360"/>
      </w:pPr>
      <w:rPr>
        <w:rFonts w:ascii="Arial" w:hAnsi="Arial" w:hint="default"/>
        <w:b w:val="0"/>
        <w:i w:val="0"/>
        <w:color w:val="000000"/>
        <w:sz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AE916BB"/>
    <w:multiLevelType w:val="hybridMultilevel"/>
    <w:tmpl w:val="83EA1826"/>
    <w:lvl w:ilvl="0" w:tplc="48E00C04">
      <w:start w:val="1"/>
      <w:numFmt w:val="bullet"/>
      <w:lvlText w:val="»"/>
      <w:lvlJc w:val="left"/>
      <w:pPr>
        <w:ind w:left="360" w:hanging="360"/>
      </w:pPr>
      <w:rPr>
        <w:rFonts w:ascii="Arial" w:hAnsi="Arial" w:hint="default"/>
        <w:b w:val="0"/>
        <w:i w:val="0"/>
        <w:color w:val="000000"/>
        <w:sz w:val="1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F8320C"/>
    <w:multiLevelType w:val="multilevel"/>
    <w:tmpl w:val="86063E46"/>
    <w:lvl w:ilvl="0">
      <w:start w:val="1"/>
      <w:numFmt w:val="bullet"/>
      <w:lvlText w:val="»"/>
      <w:lvlJc w:val="left"/>
      <w:pPr>
        <w:ind w:left="360" w:hanging="360"/>
      </w:pPr>
      <w:rPr>
        <w:rFonts w:ascii="Arial" w:hAnsi="Arial" w:hint="default"/>
        <w:b w:val="0"/>
        <w:i w:val="0"/>
        <w:color w:val="000000"/>
        <w:sz w:val="18"/>
      </w:rPr>
    </w:lvl>
    <w:lvl w:ilvl="1">
      <w:start w:val="1"/>
      <w:numFmt w:val="bullet"/>
      <w:lvlText w:val="-"/>
      <w:lvlJc w:val="left"/>
      <w:pPr>
        <w:ind w:left="567" w:hanging="283"/>
      </w:pPr>
      <w:rPr>
        <w:rFonts w:ascii="Courier New" w:hAnsi="Courier New" w:hint="default"/>
        <w:b/>
        <w:i w:val="0"/>
        <w:color w:val="000000"/>
        <w:sz w:val="1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nsid w:val="228F000E"/>
    <w:multiLevelType w:val="hybridMultilevel"/>
    <w:tmpl w:val="716A5B9E"/>
    <w:lvl w:ilvl="0" w:tplc="04090003">
      <w:start w:val="1"/>
      <w:numFmt w:val="bullet"/>
      <w:lvlText w:val="o"/>
      <w:lvlJc w:val="left"/>
      <w:pPr>
        <w:ind w:left="928" w:hanging="360"/>
      </w:pPr>
      <w:rPr>
        <w:rFonts w:ascii="Courier New" w:hAnsi="Courier New" w:cs="Courier New"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
    <w:nsid w:val="23F9345E"/>
    <w:multiLevelType w:val="multilevel"/>
    <w:tmpl w:val="7B5291FE"/>
    <w:lvl w:ilvl="0">
      <w:start w:val="1"/>
      <w:numFmt w:val="bullet"/>
      <w:lvlText w:val="»"/>
      <w:lvlJc w:val="left"/>
      <w:pPr>
        <w:ind w:left="720" w:hanging="360"/>
      </w:pPr>
      <w:rPr>
        <w:rFonts w:ascii="Arial" w:hAnsi="Arial" w:hint="default"/>
        <w:b w:val="0"/>
        <w:i w:val="0"/>
        <w:color w:val="000000"/>
        <w:sz w:val="18"/>
      </w:rPr>
    </w:lvl>
    <w:lvl w:ilvl="1">
      <w:start w:val="1"/>
      <w:numFmt w:val="bullet"/>
      <w:lvlText w:val="-"/>
      <w:lvlJc w:val="left"/>
      <w:pPr>
        <w:ind w:left="927" w:hanging="283"/>
      </w:pPr>
      <w:rPr>
        <w:rFonts w:ascii="Courier New" w:hAnsi="Courier New" w:hint="default"/>
        <w:b/>
        <w:i w:val="0"/>
        <w:color w:val="000000"/>
        <w:sz w:val="1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295554AB"/>
    <w:multiLevelType w:val="hybridMultilevel"/>
    <w:tmpl w:val="C5FABA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14677AD"/>
    <w:multiLevelType w:val="hybridMultilevel"/>
    <w:tmpl w:val="DD54856E"/>
    <w:lvl w:ilvl="0" w:tplc="48E00C04">
      <w:start w:val="1"/>
      <w:numFmt w:val="bullet"/>
      <w:lvlText w:val="»"/>
      <w:lvlJc w:val="left"/>
      <w:pPr>
        <w:ind w:left="720" w:hanging="360"/>
      </w:pPr>
      <w:rPr>
        <w:rFonts w:ascii="Arial" w:hAnsi="Arial" w:hint="default"/>
        <w:b w:val="0"/>
        <w:i w:val="0"/>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B150AD"/>
    <w:multiLevelType w:val="hybridMultilevel"/>
    <w:tmpl w:val="FF96ABF8"/>
    <w:lvl w:ilvl="0" w:tplc="713ED004">
      <w:numFmt w:val="none"/>
      <w:pStyle w:val="Textbullet"/>
      <w:lvlText w:val="»"/>
      <w:lvlJc w:val="left"/>
      <w:pPr>
        <w:ind w:left="360" w:hanging="360"/>
      </w:pPr>
      <w:rPr>
        <w:rFonts w:hint="default"/>
      </w:rPr>
    </w:lvl>
    <w:lvl w:ilvl="1" w:tplc="1EB45E38">
      <w:numFmt w:val="bullet"/>
      <w:lvlText w:val="&gt;"/>
      <w:lvlJc w:val="left"/>
      <w:pPr>
        <w:ind w:left="1080" w:hanging="360"/>
      </w:pPr>
      <w:rPr>
        <w:rFonts w:ascii="Courier New" w:hAnsi="Courier New" w:hint="default"/>
        <w:b/>
        <w:i w:val="0"/>
        <w:sz w:val="14"/>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Arial"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Arial"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363546DB"/>
    <w:multiLevelType w:val="multilevel"/>
    <w:tmpl w:val="FBBABBFA"/>
    <w:lvl w:ilvl="0">
      <w:start w:val="11"/>
      <w:numFmt w:val="decimal"/>
      <w:pStyle w:val="Heading1"/>
      <w:lvlText w:val="PHC Chapter %1:"/>
      <w:lvlJc w:val="left"/>
      <w:pPr>
        <w:ind w:left="2693" w:hanging="2948"/>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36674731"/>
    <w:multiLevelType w:val="multilevel"/>
    <w:tmpl w:val="846208FC"/>
    <w:lvl w:ilvl="0">
      <w:start w:val="1"/>
      <w:numFmt w:val="bullet"/>
      <w:pStyle w:val="BulletDirectionsInstructions"/>
      <w:lvlText w:val="o"/>
      <w:lvlJc w:val="left"/>
      <w:pPr>
        <w:ind w:left="567"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C251272"/>
    <w:multiLevelType w:val="multilevel"/>
    <w:tmpl w:val="3208DCEC"/>
    <w:lvl w:ilvl="0">
      <w:start w:val="1"/>
      <w:numFmt w:val="decimal"/>
      <w:pStyle w:val="ListParagraphNumbered"/>
      <w:lvlText w:val="%1."/>
      <w:lvlJc w:val="left"/>
      <w:pPr>
        <w:ind w:left="284" w:hanging="284"/>
      </w:pPr>
      <w:rPr>
        <w:rFonts w:ascii="Arial" w:hAnsi="Arial" w:hint="default"/>
        <w:b w:val="0"/>
        <w:i w:val="0"/>
        <w:color w:val="000000"/>
        <w:sz w:val="18"/>
      </w:rPr>
    </w:lvl>
    <w:lvl w:ilvl="1">
      <w:start w:val="1"/>
      <w:numFmt w:val="lowerLetter"/>
      <w:lvlText w:val="%2."/>
      <w:lvlJc w:val="left"/>
      <w:pPr>
        <w:ind w:left="567" w:hanging="283"/>
      </w:pPr>
      <w:rPr>
        <w:rFonts w:ascii="Arial" w:hAnsi="Arial" w:hint="default"/>
        <w:b w:val="0"/>
        <w:i w:val="0"/>
        <w:caps w:val="0"/>
        <w:strike w:val="0"/>
        <w:dstrike w:val="0"/>
        <w:vanish w:val="0"/>
        <w:sz w:val="18"/>
        <w:vertAlign w:val="baseline"/>
      </w:rPr>
    </w:lvl>
    <w:lvl w:ilvl="2">
      <w:start w:val="1"/>
      <w:numFmt w:val="bullet"/>
      <w:lvlText w:val="-"/>
      <w:lvlJc w:val="left"/>
      <w:pPr>
        <w:ind w:left="851" w:hanging="284"/>
      </w:pPr>
      <w:rPr>
        <w:rFonts w:ascii="Courier New" w:hAnsi="Courier New" w:hint="default"/>
        <w:color w:val="000000"/>
      </w:rPr>
    </w:lvl>
    <w:lvl w:ilvl="3">
      <w:start w:val="1"/>
      <w:numFmt w:val="bullet"/>
      <w:lvlText w:val=""/>
      <w:lvlJc w:val="left"/>
      <w:pPr>
        <w:ind w:left="1134" w:hanging="283"/>
      </w:pPr>
      <w:rPr>
        <w:rFonts w:ascii="Symbol" w:hAnsi="Symbol"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3FAA2837"/>
    <w:multiLevelType w:val="hybridMultilevel"/>
    <w:tmpl w:val="FBC079F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FD16C0D"/>
    <w:multiLevelType w:val="hybridMultilevel"/>
    <w:tmpl w:val="0B389E9E"/>
    <w:lvl w:ilvl="0" w:tplc="48E00C04">
      <w:start w:val="1"/>
      <w:numFmt w:val="bullet"/>
      <w:lvlText w:val="»"/>
      <w:lvlJc w:val="left"/>
      <w:pPr>
        <w:ind w:left="360" w:hanging="360"/>
      </w:pPr>
      <w:rPr>
        <w:rFonts w:ascii="Arial" w:hAnsi="Arial" w:hint="default"/>
        <w:b w:val="0"/>
        <w:i w:val="0"/>
        <w:color w:val="000000"/>
        <w:sz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9B01A0C"/>
    <w:multiLevelType w:val="multilevel"/>
    <w:tmpl w:val="D47AF1DE"/>
    <w:lvl w:ilvl="0">
      <w:start w:val="1"/>
      <w:numFmt w:val="bullet"/>
      <w:pStyle w:val="ListParagraph"/>
      <w:lvlText w:val=""/>
      <w:lvlJc w:val="left"/>
      <w:pPr>
        <w:ind w:left="360" w:hanging="360"/>
      </w:pPr>
      <w:rPr>
        <w:rFonts w:ascii="Symbol" w:hAnsi="Symbol" w:hint="default"/>
        <w:color w:val="auto"/>
      </w:rPr>
    </w:lvl>
    <w:lvl w:ilvl="1">
      <w:start w:val="1"/>
      <w:numFmt w:val="bullet"/>
      <w:lvlText w:val="-"/>
      <w:lvlJc w:val="left"/>
      <w:pPr>
        <w:ind w:left="567" w:hanging="283"/>
      </w:pPr>
      <w:rPr>
        <w:rFonts w:ascii="Courier New" w:hAnsi="Courier New" w:hint="default"/>
        <w:b/>
        <w:i w:val="0"/>
        <w:color w:val="000000"/>
        <w:sz w:val="1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nsid w:val="4A513BB4"/>
    <w:multiLevelType w:val="hybridMultilevel"/>
    <w:tmpl w:val="3F0E7CBC"/>
    <w:lvl w:ilvl="0" w:tplc="9AD689B0">
      <w:start w:val="1"/>
      <w:numFmt w:val="bullet"/>
      <w:lvlText w:val="»"/>
      <w:lvlJc w:val="left"/>
      <w:pPr>
        <w:ind w:left="360" w:hanging="360"/>
      </w:pPr>
      <w:rPr>
        <w:rFonts w:ascii="Arial" w:hAnsi="Arial" w:hint="default"/>
        <w:b w:val="0"/>
        <w:i w:val="0"/>
        <w:color w:val="000000"/>
        <w:sz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B176382"/>
    <w:multiLevelType w:val="hybridMultilevel"/>
    <w:tmpl w:val="929017B0"/>
    <w:lvl w:ilvl="0" w:tplc="48E00C04">
      <w:start w:val="1"/>
      <w:numFmt w:val="bullet"/>
      <w:lvlText w:val="»"/>
      <w:lvlJc w:val="left"/>
      <w:pPr>
        <w:ind w:left="502" w:hanging="360"/>
      </w:pPr>
      <w:rPr>
        <w:rFonts w:ascii="Arial" w:hAnsi="Arial" w:hint="default"/>
        <w:b w:val="0"/>
        <w:i w:val="0"/>
        <w:color w:val="000000"/>
        <w:sz w:val="18"/>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9">
    <w:nsid w:val="4C534782"/>
    <w:multiLevelType w:val="multilevel"/>
    <w:tmpl w:val="7A56BADA"/>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567" w:hanging="283"/>
      </w:pPr>
      <w:rPr>
        <w:rFonts w:ascii="Courier New" w:hAnsi="Courier New" w:hint="default"/>
        <w:b/>
        <w:i w:val="0"/>
        <w:color w:val="000000"/>
        <w:sz w:val="14"/>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4D2F3DE8"/>
    <w:multiLevelType w:val="hybridMultilevel"/>
    <w:tmpl w:val="3F308204"/>
    <w:lvl w:ilvl="0" w:tplc="34BC6ACC">
      <w:numFmt w:val="none"/>
      <w:lvlText w:val="»"/>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6626B3"/>
    <w:multiLevelType w:val="hybridMultilevel"/>
    <w:tmpl w:val="CEE6D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80148B"/>
    <w:multiLevelType w:val="hybridMultilevel"/>
    <w:tmpl w:val="8EC232CC"/>
    <w:lvl w:ilvl="0" w:tplc="147AD4A2">
      <w:start w:val="1"/>
      <w:numFmt w:val="bullet"/>
      <w:lvlText w:val="»"/>
      <w:lvlJc w:val="left"/>
      <w:pPr>
        <w:ind w:left="360" w:hanging="360"/>
      </w:pPr>
      <w:rPr>
        <w:rFonts w:ascii="Arial" w:hAnsi="Arial" w:hint="default"/>
        <w:b w:val="0"/>
        <w:i w:val="0"/>
        <w:color w:val="000000"/>
        <w:sz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49A67D1"/>
    <w:multiLevelType w:val="hybridMultilevel"/>
    <w:tmpl w:val="1506DE4E"/>
    <w:lvl w:ilvl="0" w:tplc="48E00C04">
      <w:start w:val="1"/>
      <w:numFmt w:val="bullet"/>
      <w:lvlText w:val="»"/>
      <w:lvlJc w:val="left"/>
      <w:pPr>
        <w:ind w:left="360" w:hanging="360"/>
      </w:pPr>
      <w:rPr>
        <w:rFonts w:ascii="Arial" w:hAnsi="Arial" w:hint="default"/>
        <w:b w:val="0"/>
        <w:i w:val="0"/>
        <w:color w:val="000000"/>
        <w:sz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53C167A"/>
    <w:multiLevelType w:val="hybridMultilevel"/>
    <w:tmpl w:val="58B0AC2A"/>
    <w:lvl w:ilvl="0" w:tplc="6D50380E">
      <w:start w:val="1"/>
      <w:numFmt w:val="bullet"/>
      <w:lvlText w:val="»"/>
      <w:lvlJc w:val="left"/>
      <w:pPr>
        <w:ind w:left="360" w:hanging="360"/>
      </w:pPr>
      <w:rPr>
        <w:rFonts w:ascii="Arial" w:hAnsi="Arial" w:hint="default"/>
        <w:b w:val="0"/>
        <w:i w:val="0"/>
        <w:color w:val="000000"/>
        <w:sz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8A62CF4"/>
    <w:multiLevelType w:val="hybridMultilevel"/>
    <w:tmpl w:val="5D7CB138"/>
    <w:lvl w:ilvl="0" w:tplc="5A1AF25E">
      <w:start w:val="1"/>
      <w:numFmt w:val="bullet"/>
      <w:lvlText w:val="»"/>
      <w:lvlJc w:val="left"/>
      <w:pPr>
        <w:ind w:left="360" w:hanging="360"/>
      </w:pPr>
      <w:rPr>
        <w:rFonts w:ascii="Arial" w:hAnsi="Arial" w:hint="default"/>
        <w:b w:val="0"/>
        <w:i w:val="0"/>
        <w:color w:val="000000"/>
        <w:sz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F1371D"/>
    <w:multiLevelType w:val="hybridMultilevel"/>
    <w:tmpl w:val="DDA254C0"/>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63A2143D"/>
    <w:multiLevelType w:val="hybridMultilevel"/>
    <w:tmpl w:val="53A0BA0A"/>
    <w:lvl w:ilvl="0" w:tplc="8F263A3A">
      <w:start w:val="1"/>
      <w:numFmt w:val="bullet"/>
      <w:lvlText w:val="»"/>
      <w:lvlJc w:val="left"/>
      <w:pPr>
        <w:ind w:left="360" w:hanging="360"/>
      </w:pPr>
      <w:rPr>
        <w:rFonts w:ascii="Arial" w:hAnsi="Arial" w:hint="default"/>
        <w:b w:val="0"/>
        <w:i w:val="0"/>
        <w:color w:val="000000"/>
        <w:sz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41842FE"/>
    <w:multiLevelType w:val="hybridMultilevel"/>
    <w:tmpl w:val="948A1288"/>
    <w:lvl w:ilvl="0" w:tplc="48E00C04">
      <w:start w:val="1"/>
      <w:numFmt w:val="bullet"/>
      <w:lvlText w:val="»"/>
      <w:lvlJc w:val="left"/>
      <w:pPr>
        <w:ind w:left="720" w:hanging="360"/>
      </w:pPr>
      <w:rPr>
        <w:rFonts w:ascii="Arial" w:hAnsi="Arial" w:hint="default"/>
        <w:b w:val="0"/>
        <w:i w:val="0"/>
        <w:color w:val="00000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C60991"/>
    <w:multiLevelType w:val="hybridMultilevel"/>
    <w:tmpl w:val="D7C41868"/>
    <w:lvl w:ilvl="0" w:tplc="BA78103A">
      <w:start w:val="1"/>
      <w:numFmt w:val="bullet"/>
      <w:lvlText w:val="»"/>
      <w:lvlJc w:val="left"/>
      <w:pPr>
        <w:ind w:left="360" w:hanging="360"/>
      </w:pPr>
      <w:rPr>
        <w:rFonts w:ascii="Arial" w:hAnsi="Arial" w:hint="default"/>
        <w:b w:val="0"/>
        <w:i w:val="0"/>
        <w:color w:val="000000"/>
        <w:sz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B01CC4"/>
    <w:multiLevelType w:val="hybridMultilevel"/>
    <w:tmpl w:val="69B00CE0"/>
    <w:lvl w:ilvl="0" w:tplc="34BC6ACC">
      <w:numFmt w:val="none"/>
      <w:lvlText w:val="»"/>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6BF731A7"/>
    <w:multiLevelType w:val="multilevel"/>
    <w:tmpl w:val="BDA4EB8A"/>
    <w:lvl w:ilvl="0">
      <w:start w:val="1"/>
      <w:numFmt w:val="bullet"/>
      <w:pStyle w:val="BulletMedicine"/>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06B037D"/>
    <w:multiLevelType w:val="hybridMultilevel"/>
    <w:tmpl w:val="FD52D3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714D6206"/>
    <w:multiLevelType w:val="hybridMultilevel"/>
    <w:tmpl w:val="ADC27028"/>
    <w:lvl w:ilvl="0" w:tplc="48E00C04">
      <w:start w:val="1"/>
      <w:numFmt w:val="bullet"/>
      <w:lvlText w:val="»"/>
      <w:lvlJc w:val="left"/>
      <w:pPr>
        <w:ind w:left="360" w:hanging="360"/>
      </w:pPr>
      <w:rPr>
        <w:rFonts w:ascii="Arial" w:hAnsi="Arial" w:hint="default"/>
        <w:b w:val="0"/>
        <w:i w:val="0"/>
        <w:color w:val="000000"/>
        <w:sz w:val="18"/>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nsid w:val="72377879"/>
    <w:multiLevelType w:val="hybridMultilevel"/>
    <w:tmpl w:val="3F76F28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nsid w:val="73571811"/>
    <w:multiLevelType w:val="multilevel"/>
    <w:tmpl w:val="F17A6458"/>
    <w:lvl w:ilvl="0">
      <w:start w:val="1"/>
      <w:numFmt w:val="bullet"/>
      <w:pStyle w:val="BulletNutrition"/>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9132D17"/>
    <w:multiLevelType w:val="multilevel"/>
    <w:tmpl w:val="2F7C0F42"/>
    <w:lvl w:ilvl="0">
      <w:start w:val="1"/>
      <w:numFmt w:val="bullet"/>
      <w:pStyle w:val="BulletTherapeuticclass"/>
      <w:lvlText w:val=""/>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DEE545B"/>
    <w:multiLevelType w:val="hybridMultilevel"/>
    <w:tmpl w:val="CC9AA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2"/>
    <w:lvlOverride w:ilvl="0">
      <w:lvl w:ilvl="0">
        <w:start w:val="1"/>
        <w:numFmt w:val="bullet"/>
        <w:pStyle w:val="BulletDirectionsInstructions"/>
        <w:lvlText w:val="o"/>
        <w:lvlJc w:val="left"/>
        <w:pPr>
          <w:ind w:left="567" w:hanging="283"/>
        </w:pPr>
        <w:rPr>
          <w:rFonts w:ascii="Courier New" w:hAnsi="Courier New" w:hint="default"/>
        </w:rPr>
      </w:lvl>
    </w:lvlOverride>
    <w:lvlOverride w:ilvl="1">
      <w:lvl w:ilvl="1">
        <w:start w:val="1"/>
        <w:numFmt w:val="bullet"/>
        <w:lvlText w:val="-"/>
        <w:lvlJc w:val="left"/>
        <w:pPr>
          <w:ind w:left="851" w:hanging="284"/>
        </w:pPr>
        <w:rPr>
          <w:rFonts w:ascii="Courier New" w:hAnsi="Courier New" w:hint="default"/>
          <w:color w:val="000000"/>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abstractNumId w:val="35"/>
    <w:lvlOverride w:ilvl="0">
      <w:lvl w:ilvl="0">
        <w:start w:val="1"/>
        <w:numFmt w:val="bullet"/>
        <w:pStyle w:val="BulletNutrition"/>
        <w:lvlText w:val="-"/>
        <w:lvlJc w:val="left"/>
        <w:pPr>
          <w:ind w:left="284" w:hanging="284"/>
        </w:pPr>
        <w:rPr>
          <w:rFonts w:ascii="Courier New" w:hAnsi="Courier New" w:hint="default"/>
          <w:color w:val="000000"/>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abstractNumId w:val="11"/>
  </w:num>
  <w:num w:numId="5">
    <w:abstractNumId w:val="16"/>
  </w:num>
  <w:num w:numId="6">
    <w:abstractNumId w:val="31"/>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33"/>
  </w:num>
  <w:num w:numId="11">
    <w:abstractNumId w:val="21"/>
  </w:num>
  <w:num w:numId="12">
    <w:abstractNumId w:val="37"/>
  </w:num>
  <w:num w:numId="13">
    <w:abstractNumId w:val="17"/>
  </w:num>
  <w:num w:numId="14">
    <w:abstractNumId w:val="27"/>
  </w:num>
  <w:num w:numId="15">
    <w:abstractNumId w:val="3"/>
  </w:num>
  <w:num w:numId="16">
    <w:abstractNumId w:val="25"/>
  </w:num>
  <w:num w:numId="17">
    <w:abstractNumId w:val="22"/>
  </w:num>
  <w:num w:numId="18">
    <w:abstractNumId w:val="24"/>
  </w:num>
  <w:num w:numId="19">
    <w:abstractNumId w:val="29"/>
  </w:num>
  <w:num w:numId="20">
    <w:abstractNumId w:val="2"/>
  </w:num>
  <w:num w:numId="21">
    <w:abstractNumId w:val="10"/>
  </w:num>
  <w:num w:numId="22">
    <w:abstractNumId w:val="30"/>
  </w:num>
  <w:num w:numId="23">
    <w:abstractNumId w:val="20"/>
  </w:num>
  <w:num w:numId="24">
    <w:abstractNumId w:val="23"/>
  </w:num>
  <w:num w:numId="25">
    <w:abstractNumId w:val="15"/>
  </w:num>
  <w:num w:numId="26">
    <w:abstractNumId w:val="4"/>
  </w:num>
  <w:num w:numId="27">
    <w:abstractNumId w:val="31"/>
  </w:num>
  <w:num w:numId="28">
    <w:abstractNumId w:val="9"/>
  </w:num>
  <w:num w:numId="29">
    <w:abstractNumId w:val="1"/>
  </w:num>
  <w:num w:numId="30">
    <w:abstractNumId w:val="6"/>
  </w:num>
  <w:num w:numId="31">
    <w:abstractNumId w:val="0"/>
  </w:num>
  <w:num w:numId="32">
    <w:abstractNumId w:val="19"/>
  </w:num>
  <w:num w:numId="33">
    <w:abstractNumId w:val="28"/>
  </w:num>
  <w:num w:numId="34">
    <w:abstractNumId w:val="7"/>
  </w:num>
  <w:num w:numId="35">
    <w:abstractNumId w:val="26"/>
  </w:num>
  <w:num w:numId="36">
    <w:abstractNumId w:val="12"/>
    <w:lvlOverride w:ilvl="0">
      <w:lvl w:ilvl="0">
        <w:start w:val="1"/>
        <w:numFmt w:val="bullet"/>
        <w:pStyle w:val="BulletDirectionsInstructions"/>
        <w:lvlText w:val="o"/>
        <w:lvlJc w:val="left"/>
        <w:pPr>
          <w:ind w:left="567" w:hanging="283"/>
        </w:pPr>
        <w:rPr>
          <w:rFonts w:ascii="Courier New" w:hAnsi="Courier New" w:hint="default"/>
        </w:rPr>
      </w:lvl>
    </w:lvlOverride>
    <w:lvlOverride w:ilvl="1">
      <w:lvl w:ilvl="1">
        <w:start w:val="1"/>
        <w:numFmt w:val="bullet"/>
        <w:lvlText w:val="-"/>
        <w:lvlJc w:val="left"/>
        <w:pPr>
          <w:ind w:left="851" w:hanging="284"/>
        </w:pPr>
        <w:rPr>
          <w:rFonts w:ascii="Courier New" w:hAnsi="Courier New" w:hint="default"/>
          <w:color w:val="000000"/>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abstractNumId w:val="14"/>
  </w:num>
  <w:num w:numId="38">
    <w:abstractNumId w:val="34"/>
  </w:num>
  <w:num w:numId="39">
    <w:abstractNumId w:val="32"/>
  </w:num>
  <w:num w:numId="40">
    <w:abstractNumId w:val="8"/>
  </w:num>
  <w:num w:numId="41">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hideSpellingErrors/>
  <w:hideGrammaticalErrors/>
  <w:attachedTemplate r:id="rId1"/>
  <w:documentProtection w:formatting="1" w:enforcement="0"/>
  <w:defaultTabStop w:val="284"/>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wMDa2MDe0NLIwMDdU0lEKTi0uzszPAykwrgUAzA+OFCwAAAA="/>
  </w:docVars>
  <w:rsids>
    <w:rsidRoot w:val="00E96213"/>
    <w:rsid w:val="0000016B"/>
    <w:rsid w:val="00000EF0"/>
    <w:rsid w:val="00003865"/>
    <w:rsid w:val="00011BCE"/>
    <w:rsid w:val="00011F7C"/>
    <w:rsid w:val="000140F7"/>
    <w:rsid w:val="00014361"/>
    <w:rsid w:val="00014B32"/>
    <w:rsid w:val="00016629"/>
    <w:rsid w:val="00017245"/>
    <w:rsid w:val="00017ED8"/>
    <w:rsid w:val="00021F0D"/>
    <w:rsid w:val="000225CE"/>
    <w:rsid w:val="00023F9B"/>
    <w:rsid w:val="000242F7"/>
    <w:rsid w:val="0002433F"/>
    <w:rsid w:val="00024411"/>
    <w:rsid w:val="00024DC2"/>
    <w:rsid w:val="0002520B"/>
    <w:rsid w:val="0002656A"/>
    <w:rsid w:val="000271F1"/>
    <w:rsid w:val="00027AC7"/>
    <w:rsid w:val="00031C41"/>
    <w:rsid w:val="00031D5F"/>
    <w:rsid w:val="0003217D"/>
    <w:rsid w:val="000344BE"/>
    <w:rsid w:val="00036036"/>
    <w:rsid w:val="000377A2"/>
    <w:rsid w:val="000402F7"/>
    <w:rsid w:val="00040583"/>
    <w:rsid w:val="000412CF"/>
    <w:rsid w:val="00041E15"/>
    <w:rsid w:val="000427DB"/>
    <w:rsid w:val="00042E17"/>
    <w:rsid w:val="000452AC"/>
    <w:rsid w:val="00045500"/>
    <w:rsid w:val="000455EB"/>
    <w:rsid w:val="00045A19"/>
    <w:rsid w:val="00052CCC"/>
    <w:rsid w:val="00052FB2"/>
    <w:rsid w:val="00054747"/>
    <w:rsid w:val="00054977"/>
    <w:rsid w:val="0005561D"/>
    <w:rsid w:val="00055CF0"/>
    <w:rsid w:val="00055EAE"/>
    <w:rsid w:val="00056C22"/>
    <w:rsid w:val="00057360"/>
    <w:rsid w:val="0006370D"/>
    <w:rsid w:val="00064902"/>
    <w:rsid w:val="00064C76"/>
    <w:rsid w:val="000651E5"/>
    <w:rsid w:val="000669FF"/>
    <w:rsid w:val="00067A37"/>
    <w:rsid w:val="00071186"/>
    <w:rsid w:val="0007182A"/>
    <w:rsid w:val="00072BBF"/>
    <w:rsid w:val="00072F25"/>
    <w:rsid w:val="00074273"/>
    <w:rsid w:val="00074303"/>
    <w:rsid w:val="00075B23"/>
    <w:rsid w:val="0007627C"/>
    <w:rsid w:val="000764C2"/>
    <w:rsid w:val="00081B39"/>
    <w:rsid w:val="00081D42"/>
    <w:rsid w:val="0008248F"/>
    <w:rsid w:val="00084697"/>
    <w:rsid w:val="00085033"/>
    <w:rsid w:val="0008667D"/>
    <w:rsid w:val="000867AB"/>
    <w:rsid w:val="00091E8E"/>
    <w:rsid w:val="00092087"/>
    <w:rsid w:val="00092337"/>
    <w:rsid w:val="00095571"/>
    <w:rsid w:val="00095823"/>
    <w:rsid w:val="000960D8"/>
    <w:rsid w:val="00096D74"/>
    <w:rsid w:val="00097039"/>
    <w:rsid w:val="000A1037"/>
    <w:rsid w:val="000A3097"/>
    <w:rsid w:val="000A440B"/>
    <w:rsid w:val="000A49D4"/>
    <w:rsid w:val="000A6B83"/>
    <w:rsid w:val="000A6C6B"/>
    <w:rsid w:val="000A753A"/>
    <w:rsid w:val="000A7A66"/>
    <w:rsid w:val="000B13F3"/>
    <w:rsid w:val="000B29DD"/>
    <w:rsid w:val="000B3F94"/>
    <w:rsid w:val="000B43A6"/>
    <w:rsid w:val="000B4724"/>
    <w:rsid w:val="000B510E"/>
    <w:rsid w:val="000B5AEE"/>
    <w:rsid w:val="000B5BD4"/>
    <w:rsid w:val="000B6802"/>
    <w:rsid w:val="000B7E25"/>
    <w:rsid w:val="000C00B3"/>
    <w:rsid w:val="000C02E3"/>
    <w:rsid w:val="000C12FD"/>
    <w:rsid w:val="000C1F5B"/>
    <w:rsid w:val="000C39D5"/>
    <w:rsid w:val="000C44AD"/>
    <w:rsid w:val="000C4724"/>
    <w:rsid w:val="000C5669"/>
    <w:rsid w:val="000C5B1B"/>
    <w:rsid w:val="000C5B1D"/>
    <w:rsid w:val="000C69EC"/>
    <w:rsid w:val="000C69FE"/>
    <w:rsid w:val="000C6F1F"/>
    <w:rsid w:val="000C7CAB"/>
    <w:rsid w:val="000D0005"/>
    <w:rsid w:val="000D0F8A"/>
    <w:rsid w:val="000D1713"/>
    <w:rsid w:val="000D2396"/>
    <w:rsid w:val="000D293B"/>
    <w:rsid w:val="000D2E09"/>
    <w:rsid w:val="000D3831"/>
    <w:rsid w:val="000D4712"/>
    <w:rsid w:val="000D6107"/>
    <w:rsid w:val="000D7AEA"/>
    <w:rsid w:val="000D7E56"/>
    <w:rsid w:val="000E02CF"/>
    <w:rsid w:val="000E11D6"/>
    <w:rsid w:val="000E333C"/>
    <w:rsid w:val="000E49EC"/>
    <w:rsid w:val="000E7F88"/>
    <w:rsid w:val="000F1160"/>
    <w:rsid w:val="000F143B"/>
    <w:rsid w:val="000F18D9"/>
    <w:rsid w:val="000F1F95"/>
    <w:rsid w:val="000F36B4"/>
    <w:rsid w:val="000F3E35"/>
    <w:rsid w:val="000F516C"/>
    <w:rsid w:val="000F6BC9"/>
    <w:rsid w:val="000F7937"/>
    <w:rsid w:val="000F7D02"/>
    <w:rsid w:val="00100BF3"/>
    <w:rsid w:val="0010117D"/>
    <w:rsid w:val="00101528"/>
    <w:rsid w:val="00102D62"/>
    <w:rsid w:val="00102EDB"/>
    <w:rsid w:val="001034EA"/>
    <w:rsid w:val="00103637"/>
    <w:rsid w:val="0010366D"/>
    <w:rsid w:val="00104C84"/>
    <w:rsid w:val="001064C3"/>
    <w:rsid w:val="00106E49"/>
    <w:rsid w:val="00107368"/>
    <w:rsid w:val="00107E0C"/>
    <w:rsid w:val="001102BF"/>
    <w:rsid w:val="00110983"/>
    <w:rsid w:val="00111ABF"/>
    <w:rsid w:val="00112243"/>
    <w:rsid w:val="0011332D"/>
    <w:rsid w:val="001136D9"/>
    <w:rsid w:val="00113E9A"/>
    <w:rsid w:val="001144C0"/>
    <w:rsid w:val="0011479D"/>
    <w:rsid w:val="0011480B"/>
    <w:rsid w:val="00115EFE"/>
    <w:rsid w:val="001166D5"/>
    <w:rsid w:val="00117ED8"/>
    <w:rsid w:val="00117FD4"/>
    <w:rsid w:val="001218E9"/>
    <w:rsid w:val="00121D7F"/>
    <w:rsid w:val="00121F74"/>
    <w:rsid w:val="00122000"/>
    <w:rsid w:val="001223B1"/>
    <w:rsid w:val="00123320"/>
    <w:rsid w:val="00123329"/>
    <w:rsid w:val="0012334A"/>
    <w:rsid w:val="00123479"/>
    <w:rsid w:val="00123521"/>
    <w:rsid w:val="0012366C"/>
    <w:rsid w:val="00123999"/>
    <w:rsid w:val="00125277"/>
    <w:rsid w:val="00125EF3"/>
    <w:rsid w:val="00126437"/>
    <w:rsid w:val="00127B4E"/>
    <w:rsid w:val="001302C4"/>
    <w:rsid w:val="001311D1"/>
    <w:rsid w:val="00135592"/>
    <w:rsid w:val="00135658"/>
    <w:rsid w:val="0013656D"/>
    <w:rsid w:val="001368FF"/>
    <w:rsid w:val="00137CAA"/>
    <w:rsid w:val="0014049E"/>
    <w:rsid w:val="00141A1A"/>
    <w:rsid w:val="0014308D"/>
    <w:rsid w:val="001436CD"/>
    <w:rsid w:val="00144113"/>
    <w:rsid w:val="001458D8"/>
    <w:rsid w:val="001468BE"/>
    <w:rsid w:val="00150413"/>
    <w:rsid w:val="00150D01"/>
    <w:rsid w:val="001510A7"/>
    <w:rsid w:val="00152CB0"/>
    <w:rsid w:val="001562D0"/>
    <w:rsid w:val="0015640A"/>
    <w:rsid w:val="001609C6"/>
    <w:rsid w:val="00160ACE"/>
    <w:rsid w:val="00160BAE"/>
    <w:rsid w:val="00161478"/>
    <w:rsid w:val="001621DC"/>
    <w:rsid w:val="00163925"/>
    <w:rsid w:val="001643E1"/>
    <w:rsid w:val="00164E61"/>
    <w:rsid w:val="00165ACD"/>
    <w:rsid w:val="00166C20"/>
    <w:rsid w:val="00167C13"/>
    <w:rsid w:val="001736AB"/>
    <w:rsid w:val="00174A73"/>
    <w:rsid w:val="00174BB0"/>
    <w:rsid w:val="0017531D"/>
    <w:rsid w:val="001755F9"/>
    <w:rsid w:val="00177296"/>
    <w:rsid w:val="00177A56"/>
    <w:rsid w:val="00180A01"/>
    <w:rsid w:val="00180F11"/>
    <w:rsid w:val="00180FA1"/>
    <w:rsid w:val="00181E34"/>
    <w:rsid w:val="00182CAD"/>
    <w:rsid w:val="00183283"/>
    <w:rsid w:val="0018374A"/>
    <w:rsid w:val="001837E4"/>
    <w:rsid w:val="00183BB7"/>
    <w:rsid w:val="00184D20"/>
    <w:rsid w:val="00184DB6"/>
    <w:rsid w:val="0018652B"/>
    <w:rsid w:val="00186C48"/>
    <w:rsid w:val="00190F73"/>
    <w:rsid w:val="00191268"/>
    <w:rsid w:val="00191788"/>
    <w:rsid w:val="00191E0A"/>
    <w:rsid w:val="00192586"/>
    <w:rsid w:val="001930F7"/>
    <w:rsid w:val="00193BA1"/>
    <w:rsid w:val="00193BBA"/>
    <w:rsid w:val="00194AFF"/>
    <w:rsid w:val="001963BD"/>
    <w:rsid w:val="00196D08"/>
    <w:rsid w:val="00196F6D"/>
    <w:rsid w:val="00196FA6"/>
    <w:rsid w:val="001970B7"/>
    <w:rsid w:val="00197ED2"/>
    <w:rsid w:val="001A0144"/>
    <w:rsid w:val="001A1618"/>
    <w:rsid w:val="001A2267"/>
    <w:rsid w:val="001A286A"/>
    <w:rsid w:val="001A2B59"/>
    <w:rsid w:val="001A3390"/>
    <w:rsid w:val="001A3AE4"/>
    <w:rsid w:val="001A5D8C"/>
    <w:rsid w:val="001A68F5"/>
    <w:rsid w:val="001A6E9A"/>
    <w:rsid w:val="001A7078"/>
    <w:rsid w:val="001B025D"/>
    <w:rsid w:val="001B03F1"/>
    <w:rsid w:val="001B0FF5"/>
    <w:rsid w:val="001B12C3"/>
    <w:rsid w:val="001B2500"/>
    <w:rsid w:val="001B270E"/>
    <w:rsid w:val="001B2A17"/>
    <w:rsid w:val="001B2BCF"/>
    <w:rsid w:val="001B3161"/>
    <w:rsid w:val="001B4011"/>
    <w:rsid w:val="001B44E0"/>
    <w:rsid w:val="001B7C1E"/>
    <w:rsid w:val="001C1A13"/>
    <w:rsid w:val="001C251A"/>
    <w:rsid w:val="001C271C"/>
    <w:rsid w:val="001C3895"/>
    <w:rsid w:val="001C3F9F"/>
    <w:rsid w:val="001C5C18"/>
    <w:rsid w:val="001C6ED3"/>
    <w:rsid w:val="001C7078"/>
    <w:rsid w:val="001C709F"/>
    <w:rsid w:val="001C7B9F"/>
    <w:rsid w:val="001D0808"/>
    <w:rsid w:val="001D265C"/>
    <w:rsid w:val="001D31A3"/>
    <w:rsid w:val="001D6881"/>
    <w:rsid w:val="001D7FDF"/>
    <w:rsid w:val="001E1244"/>
    <w:rsid w:val="001E18B9"/>
    <w:rsid w:val="001E2181"/>
    <w:rsid w:val="001E2C9A"/>
    <w:rsid w:val="001E31CF"/>
    <w:rsid w:val="001E32A4"/>
    <w:rsid w:val="001E3848"/>
    <w:rsid w:val="001E449F"/>
    <w:rsid w:val="001E5A6B"/>
    <w:rsid w:val="001E7370"/>
    <w:rsid w:val="001E7CD2"/>
    <w:rsid w:val="001F299B"/>
    <w:rsid w:val="001F47E0"/>
    <w:rsid w:val="00200639"/>
    <w:rsid w:val="00200FAE"/>
    <w:rsid w:val="00202358"/>
    <w:rsid w:val="00202797"/>
    <w:rsid w:val="00203804"/>
    <w:rsid w:val="00206503"/>
    <w:rsid w:val="00210032"/>
    <w:rsid w:val="002103AF"/>
    <w:rsid w:val="00210608"/>
    <w:rsid w:val="00211653"/>
    <w:rsid w:val="00211918"/>
    <w:rsid w:val="00211F38"/>
    <w:rsid w:val="002123F2"/>
    <w:rsid w:val="002142F0"/>
    <w:rsid w:val="00214C9D"/>
    <w:rsid w:val="00215BD6"/>
    <w:rsid w:val="00216227"/>
    <w:rsid w:val="002176BC"/>
    <w:rsid w:val="00217DCB"/>
    <w:rsid w:val="0022015C"/>
    <w:rsid w:val="00221208"/>
    <w:rsid w:val="0022224A"/>
    <w:rsid w:val="00223C33"/>
    <w:rsid w:val="00223E12"/>
    <w:rsid w:val="00224039"/>
    <w:rsid w:val="00224E81"/>
    <w:rsid w:val="00225259"/>
    <w:rsid w:val="00225A97"/>
    <w:rsid w:val="00226A37"/>
    <w:rsid w:val="002276C5"/>
    <w:rsid w:val="00230E7C"/>
    <w:rsid w:val="002315AD"/>
    <w:rsid w:val="0023291B"/>
    <w:rsid w:val="00233623"/>
    <w:rsid w:val="002336C8"/>
    <w:rsid w:val="00234B24"/>
    <w:rsid w:val="00235786"/>
    <w:rsid w:val="00235F44"/>
    <w:rsid w:val="00241453"/>
    <w:rsid w:val="00241A4E"/>
    <w:rsid w:val="00241A60"/>
    <w:rsid w:val="00242DC6"/>
    <w:rsid w:val="0024380B"/>
    <w:rsid w:val="002448E0"/>
    <w:rsid w:val="00244A81"/>
    <w:rsid w:val="00245220"/>
    <w:rsid w:val="00245685"/>
    <w:rsid w:val="00247D21"/>
    <w:rsid w:val="0025075E"/>
    <w:rsid w:val="00250DE5"/>
    <w:rsid w:val="0025412D"/>
    <w:rsid w:val="002542D9"/>
    <w:rsid w:val="00256078"/>
    <w:rsid w:val="0025640E"/>
    <w:rsid w:val="0025782E"/>
    <w:rsid w:val="00260532"/>
    <w:rsid w:val="0026109D"/>
    <w:rsid w:val="002625D7"/>
    <w:rsid w:val="00262FFE"/>
    <w:rsid w:val="00263AB4"/>
    <w:rsid w:val="00265785"/>
    <w:rsid w:val="0027057A"/>
    <w:rsid w:val="00270A60"/>
    <w:rsid w:val="002712A7"/>
    <w:rsid w:val="00271F25"/>
    <w:rsid w:val="0027228A"/>
    <w:rsid w:val="00274AD8"/>
    <w:rsid w:val="00275EFF"/>
    <w:rsid w:val="00277DDD"/>
    <w:rsid w:val="00277EE4"/>
    <w:rsid w:val="00280218"/>
    <w:rsid w:val="002802F8"/>
    <w:rsid w:val="00280D71"/>
    <w:rsid w:val="0028126C"/>
    <w:rsid w:val="00283B7C"/>
    <w:rsid w:val="00285408"/>
    <w:rsid w:val="00285C0E"/>
    <w:rsid w:val="0028647B"/>
    <w:rsid w:val="00286D5F"/>
    <w:rsid w:val="00290045"/>
    <w:rsid w:val="0029033D"/>
    <w:rsid w:val="00290D9B"/>
    <w:rsid w:val="00290DB7"/>
    <w:rsid w:val="002916EF"/>
    <w:rsid w:val="00291DB9"/>
    <w:rsid w:val="00291E93"/>
    <w:rsid w:val="0029223A"/>
    <w:rsid w:val="0029257A"/>
    <w:rsid w:val="002942E4"/>
    <w:rsid w:val="0029474A"/>
    <w:rsid w:val="00294DEC"/>
    <w:rsid w:val="00294F46"/>
    <w:rsid w:val="0029503D"/>
    <w:rsid w:val="00295378"/>
    <w:rsid w:val="002957E7"/>
    <w:rsid w:val="00295C77"/>
    <w:rsid w:val="002A1A5B"/>
    <w:rsid w:val="002A2159"/>
    <w:rsid w:val="002A38B6"/>
    <w:rsid w:val="002A7172"/>
    <w:rsid w:val="002A78CC"/>
    <w:rsid w:val="002B04B5"/>
    <w:rsid w:val="002B0C58"/>
    <w:rsid w:val="002B2128"/>
    <w:rsid w:val="002B29EE"/>
    <w:rsid w:val="002B5368"/>
    <w:rsid w:val="002B5F06"/>
    <w:rsid w:val="002B6D77"/>
    <w:rsid w:val="002B7D8E"/>
    <w:rsid w:val="002C11B6"/>
    <w:rsid w:val="002C223F"/>
    <w:rsid w:val="002C50FC"/>
    <w:rsid w:val="002C53B5"/>
    <w:rsid w:val="002C7203"/>
    <w:rsid w:val="002C7935"/>
    <w:rsid w:val="002D03B2"/>
    <w:rsid w:val="002D04FF"/>
    <w:rsid w:val="002D06F5"/>
    <w:rsid w:val="002D251D"/>
    <w:rsid w:val="002D27B5"/>
    <w:rsid w:val="002D4283"/>
    <w:rsid w:val="002D451C"/>
    <w:rsid w:val="002D6935"/>
    <w:rsid w:val="002D6CA8"/>
    <w:rsid w:val="002D6F30"/>
    <w:rsid w:val="002D7EBF"/>
    <w:rsid w:val="002E06C5"/>
    <w:rsid w:val="002E14F1"/>
    <w:rsid w:val="002E14F7"/>
    <w:rsid w:val="002E1A25"/>
    <w:rsid w:val="002E1B6A"/>
    <w:rsid w:val="002E3E47"/>
    <w:rsid w:val="002E4B38"/>
    <w:rsid w:val="002E53DE"/>
    <w:rsid w:val="002E6D6F"/>
    <w:rsid w:val="002E7E26"/>
    <w:rsid w:val="002E7EC9"/>
    <w:rsid w:val="002E7F99"/>
    <w:rsid w:val="002F27B6"/>
    <w:rsid w:val="002F2C4D"/>
    <w:rsid w:val="002F3FB5"/>
    <w:rsid w:val="002F4475"/>
    <w:rsid w:val="002F4B94"/>
    <w:rsid w:val="002F4E11"/>
    <w:rsid w:val="002F5FC2"/>
    <w:rsid w:val="002F72B1"/>
    <w:rsid w:val="003020C7"/>
    <w:rsid w:val="00302FF3"/>
    <w:rsid w:val="003047C6"/>
    <w:rsid w:val="00304857"/>
    <w:rsid w:val="00304D77"/>
    <w:rsid w:val="00305C6B"/>
    <w:rsid w:val="00306767"/>
    <w:rsid w:val="00306BBF"/>
    <w:rsid w:val="00306C16"/>
    <w:rsid w:val="003073E0"/>
    <w:rsid w:val="00311748"/>
    <w:rsid w:val="00311BF9"/>
    <w:rsid w:val="00312C17"/>
    <w:rsid w:val="00313114"/>
    <w:rsid w:val="003153BB"/>
    <w:rsid w:val="003156EB"/>
    <w:rsid w:val="00315D79"/>
    <w:rsid w:val="0032057A"/>
    <w:rsid w:val="003215F9"/>
    <w:rsid w:val="00322224"/>
    <w:rsid w:val="003224DB"/>
    <w:rsid w:val="00325A1A"/>
    <w:rsid w:val="00326302"/>
    <w:rsid w:val="00326933"/>
    <w:rsid w:val="00326B21"/>
    <w:rsid w:val="003273F4"/>
    <w:rsid w:val="00327E72"/>
    <w:rsid w:val="0033010F"/>
    <w:rsid w:val="00331728"/>
    <w:rsid w:val="00332B6C"/>
    <w:rsid w:val="00333717"/>
    <w:rsid w:val="0033377B"/>
    <w:rsid w:val="003366E2"/>
    <w:rsid w:val="003371E2"/>
    <w:rsid w:val="00337DD5"/>
    <w:rsid w:val="0034017C"/>
    <w:rsid w:val="00340465"/>
    <w:rsid w:val="0034068C"/>
    <w:rsid w:val="0034231A"/>
    <w:rsid w:val="00342719"/>
    <w:rsid w:val="00342ED5"/>
    <w:rsid w:val="00343214"/>
    <w:rsid w:val="003434DC"/>
    <w:rsid w:val="003437BA"/>
    <w:rsid w:val="00343E3B"/>
    <w:rsid w:val="00344086"/>
    <w:rsid w:val="00344FD3"/>
    <w:rsid w:val="00345FB9"/>
    <w:rsid w:val="003460FD"/>
    <w:rsid w:val="0034614B"/>
    <w:rsid w:val="00346A70"/>
    <w:rsid w:val="00347051"/>
    <w:rsid w:val="003470B5"/>
    <w:rsid w:val="003500CA"/>
    <w:rsid w:val="0035154F"/>
    <w:rsid w:val="00352DAD"/>
    <w:rsid w:val="00353E2A"/>
    <w:rsid w:val="00353F7D"/>
    <w:rsid w:val="003550AB"/>
    <w:rsid w:val="003553F6"/>
    <w:rsid w:val="00356594"/>
    <w:rsid w:val="00356F61"/>
    <w:rsid w:val="0036018A"/>
    <w:rsid w:val="003624DC"/>
    <w:rsid w:val="00363946"/>
    <w:rsid w:val="00364731"/>
    <w:rsid w:val="00366AA5"/>
    <w:rsid w:val="00367F15"/>
    <w:rsid w:val="00371A94"/>
    <w:rsid w:val="00371BA8"/>
    <w:rsid w:val="0037237F"/>
    <w:rsid w:val="003724FA"/>
    <w:rsid w:val="0037258C"/>
    <w:rsid w:val="003741AC"/>
    <w:rsid w:val="003742AB"/>
    <w:rsid w:val="0037469B"/>
    <w:rsid w:val="00374DD1"/>
    <w:rsid w:val="00376A8A"/>
    <w:rsid w:val="003777D5"/>
    <w:rsid w:val="003811DC"/>
    <w:rsid w:val="00381661"/>
    <w:rsid w:val="00381BDF"/>
    <w:rsid w:val="00383C11"/>
    <w:rsid w:val="0039039C"/>
    <w:rsid w:val="003907DD"/>
    <w:rsid w:val="00396747"/>
    <w:rsid w:val="00396844"/>
    <w:rsid w:val="00397E65"/>
    <w:rsid w:val="003A01CD"/>
    <w:rsid w:val="003A070C"/>
    <w:rsid w:val="003A08DF"/>
    <w:rsid w:val="003A0DA1"/>
    <w:rsid w:val="003A0EB1"/>
    <w:rsid w:val="003A159C"/>
    <w:rsid w:val="003A2FE9"/>
    <w:rsid w:val="003A30D5"/>
    <w:rsid w:val="003A70DF"/>
    <w:rsid w:val="003A77BF"/>
    <w:rsid w:val="003B044E"/>
    <w:rsid w:val="003B2355"/>
    <w:rsid w:val="003B3D06"/>
    <w:rsid w:val="003B593D"/>
    <w:rsid w:val="003B69D1"/>
    <w:rsid w:val="003B7613"/>
    <w:rsid w:val="003C019A"/>
    <w:rsid w:val="003C0926"/>
    <w:rsid w:val="003C1107"/>
    <w:rsid w:val="003C19B6"/>
    <w:rsid w:val="003C1E42"/>
    <w:rsid w:val="003C3581"/>
    <w:rsid w:val="003C3B7F"/>
    <w:rsid w:val="003C53FC"/>
    <w:rsid w:val="003C5625"/>
    <w:rsid w:val="003C790A"/>
    <w:rsid w:val="003D0A9A"/>
    <w:rsid w:val="003D0C14"/>
    <w:rsid w:val="003D1023"/>
    <w:rsid w:val="003D14D6"/>
    <w:rsid w:val="003D2884"/>
    <w:rsid w:val="003D298D"/>
    <w:rsid w:val="003D30F7"/>
    <w:rsid w:val="003D33A6"/>
    <w:rsid w:val="003D389E"/>
    <w:rsid w:val="003D66A0"/>
    <w:rsid w:val="003D79DF"/>
    <w:rsid w:val="003D7C83"/>
    <w:rsid w:val="003D7E3E"/>
    <w:rsid w:val="003D7E8C"/>
    <w:rsid w:val="003E1479"/>
    <w:rsid w:val="003E4128"/>
    <w:rsid w:val="003E4418"/>
    <w:rsid w:val="003E47A6"/>
    <w:rsid w:val="003E64AF"/>
    <w:rsid w:val="003E69A2"/>
    <w:rsid w:val="003F3291"/>
    <w:rsid w:val="003F4D9D"/>
    <w:rsid w:val="003F53C7"/>
    <w:rsid w:val="003F5BA0"/>
    <w:rsid w:val="00400B2D"/>
    <w:rsid w:val="0040467C"/>
    <w:rsid w:val="00404E4F"/>
    <w:rsid w:val="004061CD"/>
    <w:rsid w:val="00407A1E"/>
    <w:rsid w:val="00407C55"/>
    <w:rsid w:val="00407DC1"/>
    <w:rsid w:val="00410F7E"/>
    <w:rsid w:val="0041162A"/>
    <w:rsid w:val="004116C6"/>
    <w:rsid w:val="00411BB9"/>
    <w:rsid w:val="004134A5"/>
    <w:rsid w:val="00415F00"/>
    <w:rsid w:val="00416FE9"/>
    <w:rsid w:val="00417DEC"/>
    <w:rsid w:val="00417EFA"/>
    <w:rsid w:val="00420432"/>
    <w:rsid w:val="004208D8"/>
    <w:rsid w:val="00421336"/>
    <w:rsid w:val="00421381"/>
    <w:rsid w:val="00421C2B"/>
    <w:rsid w:val="00424607"/>
    <w:rsid w:val="004250B8"/>
    <w:rsid w:val="00426806"/>
    <w:rsid w:val="00426D3C"/>
    <w:rsid w:val="004309E4"/>
    <w:rsid w:val="00431C38"/>
    <w:rsid w:val="00432873"/>
    <w:rsid w:val="0043300D"/>
    <w:rsid w:val="00433DC3"/>
    <w:rsid w:val="0043492D"/>
    <w:rsid w:val="00434A8A"/>
    <w:rsid w:val="004350A9"/>
    <w:rsid w:val="00440FCE"/>
    <w:rsid w:val="00441AAF"/>
    <w:rsid w:val="00441B4D"/>
    <w:rsid w:val="004426DA"/>
    <w:rsid w:val="00443C00"/>
    <w:rsid w:val="00443E0D"/>
    <w:rsid w:val="004444CA"/>
    <w:rsid w:val="004445A2"/>
    <w:rsid w:val="00444B87"/>
    <w:rsid w:val="00445F73"/>
    <w:rsid w:val="00446506"/>
    <w:rsid w:val="004473BE"/>
    <w:rsid w:val="0045022C"/>
    <w:rsid w:val="004503F8"/>
    <w:rsid w:val="004507AE"/>
    <w:rsid w:val="0045153D"/>
    <w:rsid w:val="00451AD2"/>
    <w:rsid w:val="00451BD6"/>
    <w:rsid w:val="00451D53"/>
    <w:rsid w:val="004535EA"/>
    <w:rsid w:val="00454288"/>
    <w:rsid w:val="00455016"/>
    <w:rsid w:val="0045519A"/>
    <w:rsid w:val="00455496"/>
    <w:rsid w:val="00455C4E"/>
    <w:rsid w:val="00456D16"/>
    <w:rsid w:val="004622A7"/>
    <w:rsid w:val="004627E4"/>
    <w:rsid w:val="004630C7"/>
    <w:rsid w:val="00463B2F"/>
    <w:rsid w:val="004652F4"/>
    <w:rsid w:val="004656C2"/>
    <w:rsid w:val="00467366"/>
    <w:rsid w:val="00467EB3"/>
    <w:rsid w:val="00470DA6"/>
    <w:rsid w:val="004727AA"/>
    <w:rsid w:val="00474BB4"/>
    <w:rsid w:val="00475109"/>
    <w:rsid w:val="00476E4F"/>
    <w:rsid w:val="00477DCB"/>
    <w:rsid w:val="00481078"/>
    <w:rsid w:val="004818BC"/>
    <w:rsid w:val="00482330"/>
    <w:rsid w:val="00483F8C"/>
    <w:rsid w:val="00484494"/>
    <w:rsid w:val="00484B0B"/>
    <w:rsid w:val="00485B2E"/>
    <w:rsid w:val="00487010"/>
    <w:rsid w:val="00490629"/>
    <w:rsid w:val="00493793"/>
    <w:rsid w:val="00494AA5"/>
    <w:rsid w:val="00496906"/>
    <w:rsid w:val="004A1651"/>
    <w:rsid w:val="004A2680"/>
    <w:rsid w:val="004A283C"/>
    <w:rsid w:val="004A3099"/>
    <w:rsid w:val="004A3385"/>
    <w:rsid w:val="004A42C3"/>
    <w:rsid w:val="004A4F59"/>
    <w:rsid w:val="004A5342"/>
    <w:rsid w:val="004A5D99"/>
    <w:rsid w:val="004A6236"/>
    <w:rsid w:val="004A6630"/>
    <w:rsid w:val="004A6BF0"/>
    <w:rsid w:val="004A7DD9"/>
    <w:rsid w:val="004B018F"/>
    <w:rsid w:val="004B060E"/>
    <w:rsid w:val="004B11B7"/>
    <w:rsid w:val="004B1496"/>
    <w:rsid w:val="004B1D86"/>
    <w:rsid w:val="004B2576"/>
    <w:rsid w:val="004B319E"/>
    <w:rsid w:val="004B496F"/>
    <w:rsid w:val="004B4FBF"/>
    <w:rsid w:val="004B6858"/>
    <w:rsid w:val="004B7628"/>
    <w:rsid w:val="004C0103"/>
    <w:rsid w:val="004C1C57"/>
    <w:rsid w:val="004C23E5"/>
    <w:rsid w:val="004C3E2A"/>
    <w:rsid w:val="004C4EA5"/>
    <w:rsid w:val="004C54CA"/>
    <w:rsid w:val="004C5ECA"/>
    <w:rsid w:val="004C5FAF"/>
    <w:rsid w:val="004C74EB"/>
    <w:rsid w:val="004C7896"/>
    <w:rsid w:val="004D003A"/>
    <w:rsid w:val="004D1B7A"/>
    <w:rsid w:val="004D2952"/>
    <w:rsid w:val="004D2A22"/>
    <w:rsid w:val="004D3782"/>
    <w:rsid w:val="004D3A09"/>
    <w:rsid w:val="004D4466"/>
    <w:rsid w:val="004D5657"/>
    <w:rsid w:val="004D75A7"/>
    <w:rsid w:val="004E24C1"/>
    <w:rsid w:val="004E2DBE"/>
    <w:rsid w:val="004E3BD8"/>
    <w:rsid w:val="004E4627"/>
    <w:rsid w:val="004E4D6A"/>
    <w:rsid w:val="004E4E92"/>
    <w:rsid w:val="004E5CCE"/>
    <w:rsid w:val="004E60E0"/>
    <w:rsid w:val="004E6229"/>
    <w:rsid w:val="004F13F5"/>
    <w:rsid w:val="004F178D"/>
    <w:rsid w:val="004F1C79"/>
    <w:rsid w:val="004F202A"/>
    <w:rsid w:val="004F258A"/>
    <w:rsid w:val="004F3C9F"/>
    <w:rsid w:val="004F407D"/>
    <w:rsid w:val="004F4351"/>
    <w:rsid w:val="004F515D"/>
    <w:rsid w:val="004F57BF"/>
    <w:rsid w:val="004F5FF3"/>
    <w:rsid w:val="004F60CA"/>
    <w:rsid w:val="00500565"/>
    <w:rsid w:val="00501749"/>
    <w:rsid w:val="0050244E"/>
    <w:rsid w:val="00502CAE"/>
    <w:rsid w:val="005048A1"/>
    <w:rsid w:val="00506BEA"/>
    <w:rsid w:val="00506E36"/>
    <w:rsid w:val="00507432"/>
    <w:rsid w:val="0050763A"/>
    <w:rsid w:val="00507EC1"/>
    <w:rsid w:val="00511EA9"/>
    <w:rsid w:val="00512CBD"/>
    <w:rsid w:val="00513E20"/>
    <w:rsid w:val="00513FDD"/>
    <w:rsid w:val="005168CD"/>
    <w:rsid w:val="0051692B"/>
    <w:rsid w:val="00517992"/>
    <w:rsid w:val="005201CA"/>
    <w:rsid w:val="0052032D"/>
    <w:rsid w:val="00521B0B"/>
    <w:rsid w:val="005220FE"/>
    <w:rsid w:val="005224B6"/>
    <w:rsid w:val="0052290D"/>
    <w:rsid w:val="00523A54"/>
    <w:rsid w:val="0052566F"/>
    <w:rsid w:val="0052638B"/>
    <w:rsid w:val="0052652A"/>
    <w:rsid w:val="00527E59"/>
    <w:rsid w:val="00527FD5"/>
    <w:rsid w:val="00531A21"/>
    <w:rsid w:val="00533F05"/>
    <w:rsid w:val="005342DD"/>
    <w:rsid w:val="005343F8"/>
    <w:rsid w:val="00534EA5"/>
    <w:rsid w:val="00535232"/>
    <w:rsid w:val="005367B4"/>
    <w:rsid w:val="00536848"/>
    <w:rsid w:val="00537D71"/>
    <w:rsid w:val="00537FD7"/>
    <w:rsid w:val="00540D5C"/>
    <w:rsid w:val="0054146E"/>
    <w:rsid w:val="00542374"/>
    <w:rsid w:val="00542D57"/>
    <w:rsid w:val="00542FF1"/>
    <w:rsid w:val="00543042"/>
    <w:rsid w:val="00543D9C"/>
    <w:rsid w:val="00545E32"/>
    <w:rsid w:val="00547122"/>
    <w:rsid w:val="00547AC4"/>
    <w:rsid w:val="0055073E"/>
    <w:rsid w:val="00551303"/>
    <w:rsid w:val="00551BDC"/>
    <w:rsid w:val="005522BF"/>
    <w:rsid w:val="005530F1"/>
    <w:rsid w:val="00553AC1"/>
    <w:rsid w:val="005540AE"/>
    <w:rsid w:val="005561EE"/>
    <w:rsid w:val="00560071"/>
    <w:rsid w:val="005612B1"/>
    <w:rsid w:val="00561695"/>
    <w:rsid w:val="0056170B"/>
    <w:rsid w:val="0056191E"/>
    <w:rsid w:val="00562B06"/>
    <w:rsid w:val="005643B0"/>
    <w:rsid w:val="00564876"/>
    <w:rsid w:val="00564914"/>
    <w:rsid w:val="00564AB5"/>
    <w:rsid w:val="00565917"/>
    <w:rsid w:val="00567F6C"/>
    <w:rsid w:val="005705C1"/>
    <w:rsid w:val="00570781"/>
    <w:rsid w:val="00571834"/>
    <w:rsid w:val="0057236B"/>
    <w:rsid w:val="00572E50"/>
    <w:rsid w:val="0057417B"/>
    <w:rsid w:val="005743A4"/>
    <w:rsid w:val="00574471"/>
    <w:rsid w:val="00574717"/>
    <w:rsid w:val="005749CE"/>
    <w:rsid w:val="00574F01"/>
    <w:rsid w:val="00575442"/>
    <w:rsid w:val="005778DC"/>
    <w:rsid w:val="005804DA"/>
    <w:rsid w:val="00580997"/>
    <w:rsid w:val="005813CB"/>
    <w:rsid w:val="0058242F"/>
    <w:rsid w:val="00582AEE"/>
    <w:rsid w:val="0058393B"/>
    <w:rsid w:val="00583E38"/>
    <w:rsid w:val="00583F5A"/>
    <w:rsid w:val="00585077"/>
    <w:rsid w:val="00585463"/>
    <w:rsid w:val="00585A93"/>
    <w:rsid w:val="0058687E"/>
    <w:rsid w:val="0058791B"/>
    <w:rsid w:val="0059050C"/>
    <w:rsid w:val="005907B6"/>
    <w:rsid w:val="00591C9A"/>
    <w:rsid w:val="00592C2A"/>
    <w:rsid w:val="00593387"/>
    <w:rsid w:val="005939CD"/>
    <w:rsid w:val="005943EF"/>
    <w:rsid w:val="005A1EAF"/>
    <w:rsid w:val="005A2F01"/>
    <w:rsid w:val="005A3753"/>
    <w:rsid w:val="005A3AA6"/>
    <w:rsid w:val="005A3E33"/>
    <w:rsid w:val="005A5812"/>
    <w:rsid w:val="005B11CE"/>
    <w:rsid w:val="005B3401"/>
    <w:rsid w:val="005B3618"/>
    <w:rsid w:val="005B4048"/>
    <w:rsid w:val="005B4C23"/>
    <w:rsid w:val="005B4F76"/>
    <w:rsid w:val="005B5A35"/>
    <w:rsid w:val="005B63AF"/>
    <w:rsid w:val="005B7396"/>
    <w:rsid w:val="005B79DB"/>
    <w:rsid w:val="005C0190"/>
    <w:rsid w:val="005C01D7"/>
    <w:rsid w:val="005C0E41"/>
    <w:rsid w:val="005C2081"/>
    <w:rsid w:val="005C2511"/>
    <w:rsid w:val="005C2F6F"/>
    <w:rsid w:val="005C4479"/>
    <w:rsid w:val="005C4D5F"/>
    <w:rsid w:val="005C535C"/>
    <w:rsid w:val="005C5512"/>
    <w:rsid w:val="005C5C38"/>
    <w:rsid w:val="005C7053"/>
    <w:rsid w:val="005C773E"/>
    <w:rsid w:val="005C7F88"/>
    <w:rsid w:val="005D1CB8"/>
    <w:rsid w:val="005D2250"/>
    <w:rsid w:val="005D2785"/>
    <w:rsid w:val="005D3BEE"/>
    <w:rsid w:val="005D3C4F"/>
    <w:rsid w:val="005D4F96"/>
    <w:rsid w:val="005D5250"/>
    <w:rsid w:val="005D60A4"/>
    <w:rsid w:val="005D6D15"/>
    <w:rsid w:val="005D71A2"/>
    <w:rsid w:val="005D7B22"/>
    <w:rsid w:val="005E0070"/>
    <w:rsid w:val="005E008F"/>
    <w:rsid w:val="005E0099"/>
    <w:rsid w:val="005E0EB1"/>
    <w:rsid w:val="005E1AF9"/>
    <w:rsid w:val="005E1DF7"/>
    <w:rsid w:val="005E2021"/>
    <w:rsid w:val="005E3B72"/>
    <w:rsid w:val="005E3E13"/>
    <w:rsid w:val="005E7FBE"/>
    <w:rsid w:val="005F1138"/>
    <w:rsid w:val="005F1A2A"/>
    <w:rsid w:val="005F28A9"/>
    <w:rsid w:val="005F3C37"/>
    <w:rsid w:val="005F3C9E"/>
    <w:rsid w:val="005F3FEC"/>
    <w:rsid w:val="005F4120"/>
    <w:rsid w:val="005F41E4"/>
    <w:rsid w:val="005F592F"/>
    <w:rsid w:val="005F6218"/>
    <w:rsid w:val="005F6701"/>
    <w:rsid w:val="005F738F"/>
    <w:rsid w:val="006007A4"/>
    <w:rsid w:val="00600A46"/>
    <w:rsid w:val="00600B4A"/>
    <w:rsid w:val="00600CCC"/>
    <w:rsid w:val="00601591"/>
    <w:rsid w:val="006025AF"/>
    <w:rsid w:val="006028DA"/>
    <w:rsid w:val="0060297E"/>
    <w:rsid w:val="006056F9"/>
    <w:rsid w:val="00606339"/>
    <w:rsid w:val="00606427"/>
    <w:rsid w:val="00607A91"/>
    <w:rsid w:val="006108CA"/>
    <w:rsid w:val="00610E89"/>
    <w:rsid w:val="00611C2E"/>
    <w:rsid w:val="00611D80"/>
    <w:rsid w:val="00611EB2"/>
    <w:rsid w:val="00614484"/>
    <w:rsid w:val="006145EC"/>
    <w:rsid w:val="00614E06"/>
    <w:rsid w:val="00615086"/>
    <w:rsid w:val="00615311"/>
    <w:rsid w:val="00615380"/>
    <w:rsid w:val="00615578"/>
    <w:rsid w:val="00617599"/>
    <w:rsid w:val="006214F9"/>
    <w:rsid w:val="00624D97"/>
    <w:rsid w:val="00624EE4"/>
    <w:rsid w:val="00631D8A"/>
    <w:rsid w:val="006321DA"/>
    <w:rsid w:val="00632835"/>
    <w:rsid w:val="006333FB"/>
    <w:rsid w:val="00633506"/>
    <w:rsid w:val="00634A83"/>
    <w:rsid w:val="006372E3"/>
    <w:rsid w:val="006373CE"/>
    <w:rsid w:val="00637611"/>
    <w:rsid w:val="00642959"/>
    <w:rsid w:val="00642FE3"/>
    <w:rsid w:val="00643DAB"/>
    <w:rsid w:val="0064470D"/>
    <w:rsid w:val="0064586C"/>
    <w:rsid w:val="0064774B"/>
    <w:rsid w:val="006500F1"/>
    <w:rsid w:val="0065175A"/>
    <w:rsid w:val="0065188A"/>
    <w:rsid w:val="00651EC3"/>
    <w:rsid w:val="006521FB"/>
    <w:rsid w:val="00653BB4"/>
    <w:rsid w:val="006553ED"/>
    <w:rsid w:val="00655A6B"/>
    <w:rsid w:val="00655DC2"/>
    <w:rsid w:val="00656484"/>
    <w:rsid w:val="00657A2A"/>
    <w:rsid w:val="00661CB6"/>
    <w:rsid w:val="006621F1"/>
    <w:rsid w:val="006627EA"/>
    <w:rsid w:val="006630AE"/>
    <w:rsid w:val="0066527D"/>
    <w:rsid w:val="00665EA0"/>
    <w:rsid w:val="0066676C"/>
    <w:rsid w:val="00666BD8"/>
    <w:rsid w:val="00667AC0"/>
    <w:rsid w:val="00667C6A"/>
    <w:rsid w:val="0067048C"/>
    <w:rsid w:val="006707B2"/>
    <w:rsid w:val="00670BEF"/>
    <w:rsid w:val="00671D24"/>
    <w:rsid w:val="00671DBF"/>
    <w:rsid w:val="006728F2"/>
    <w:rsid w:val="00672A50"/>
    <w:rsid w:val="006746DF"/>
    <w:rsid w:val="00675142"/>
    <w:rsid w:val="0067623C"/>
    <w:rsid w:val="00676836"/>
    <w:rsid w:val="006775F6"/>
    <w:rsid w:val="00677F14"/>
    <w:rsid w:val="00682E3A"/>
    <w:rsid w:val="0068345A"/>
    <w:rsid w:val="00684D39"/>
    <w:rsid w:val="00685A64"/>
    <w:rsid w:val="00687208"/>
    <w:rsid w:val="00693CFB"/>
    <w:rsid w:val="00694093"/>
    <w:rsid w:val="00694245"/>
    <w:rsid w:val="00694B37"/>
    <w:rsid w:val="00694DC4"/>
    <w:rsid w:val="00695058"/>
    <w:rsid w:val="00696F73"/>
    <w:rsid w:val="006A1689"/>
    <w:rsid w:val="006A1AE6"/>
    <w:rsid w:val="006A1DB4"/>
    <w:rsid w:val="006A2CB8"/>
    <w:rsid w:val="006A3D83"/>
    <w:rsid w:val="006B03F4"/>
    <w:rsid w:val="006B04AD"/>
    <w:rsid w:val="006B066C"/>
    <w:rsid w:val="006B0FDE"/>
    <w:rsid w:val="006B10E2"/>
    <w:rsid w:val="006B126A"/>
    <w:rsid w:val="006B166C"/>
    <w:rsid w:val="006B1CC2"/>
    <w:rsid w:val="006B2207"/>
    <w:rsid w:val="006B244C"/>
    <w:rsid w:val="006B26CC"/>
    <w:rsid w:val="006B2B0D"/>
    <w:rsid w:val="006B322F"/>
    <w:rsid w:val="006B340D"/>
    <w:rsid w:val="006B4066"/>
    <w:rsid w:val="006B51F7"/>
    <w:rsid w:val="006B6223"/>
    <w:rsid w:val="006B64B0"/>
    <w:rsid w:val="006B6509"/>
    <w:rsid w:val="006B6533"/>
    <w:rsid w:val="006B6A9F"/>
    <w:rsid w:val="006C01D5"/>
    <w:rsid w:val="006C0498"/>
    <w:rsid w:val="006C0A38"/>
    <w:rsid w:val="006C1187"/>
    <w:rsid w:val="006C26B1"/>
    <w:rsid w:val="006C2904"/>
    <w:rsid w:val="006C33BD"/>
    <w:rsid w:val="006C619F"/>
    <w:rsid w:val="006C69CE"/>
    <w:rsid w:val="006C7491"/>
    <w:rsid w:val="006D2F72"/>
    <w:rsid w:val="006D31DC"/>
    <w:rsid w:val="006D4144"/>
    <w:rsid w:val="006D4857"/>
    <w:rsid w:val="006D4D8B"/>
    <w:rsid w:val="006D605D"/>
    <w:rsid w:val="006D73F8"/>
    <w:rsid w:val="006E17F4"/>
    <w:rsid w:val="006E21AF"/>
    <w:rsid w:val="006E271C"/>
    <w:rsid w:val="006E2BB7"/>
    <w:rsid w:val="006E33F6"/>
    <w:rsid w:val="006E36D7"/>
    <w:rsid w:val="006E401A"/>
    <w:rsid w:val="006E5265"/>
    <w:rsid w:val="006E5E7F"/>
    <w:rsid w:val="006E68A3"/>
    <w:rsid w:val="006E6BFE"/>
    <w:rsid w:val="006E7587"/>
    <w:rsid w:val="006E7D9E"/>
    <w:rsid w:val="006F1384"/>
    <w:rsid w:val="006F1505"/>
    <w:rsid w:val="006F20EC"/>
    <w:rsid w:val="006F54AA"/>
    <w:rsid w:val="006F7945"/>
    <w:rsid w:val="007004FA"/>
    <w:rsid w:val="00700F9C"/>
    <w:rsid w:val="00701D18"/>
    <w:rsid w:val="0070375E"/>
    <w:rsid w:val="00703E24"/>
    <w:rsid w:val="00704A1A"/>
    <w:rsid w:val="00705403"/>
    <w:rsid w:val="00705459"/>
    <w:rsid w:val="007059C4"/>
    <w:rsid w:val="00705A79"/>
    <w:rsid w:val="00705C59"/>
    <w:rsid w:val="00706104"/>
    <w:rsid w:val="00707F78"/>
    <w:rsid w:val="00710162"/>
    <w:rsid w:val="007121FB"/>
    <w:rsid w:val="007124AA"/>
    <w:rsid w:val="00712563"/>
    <w:rsid w:val="00712CB9"/>
    <w:rsid w:val="0071342D"/>
    <w:rsid w:val="00713E8B"/>
    <w:rsid w:val="007159B9"/>
    <w:rsid w:val="007160FC"/>
    <w:rsid w:val="00717C14"/>
    <w:rsid w:val="00717E07"/>
    <w:rsid w:val="00722D5D"/>
    <w:rsid w:val="00724290"/>
    <w:rsid w:val="00725150"/>
    <w:rsid w:val="007254E5"/>
    <w:rsid w:val="007259B0"/>
    <w:rsid w:val="00726411"/>
    <w:rsid w:val="0072716B"/>
    <w:rsid w:val="007316A1"/>
    <w:rsid w:val="00731857"/>
    <w:rsid w:val="007319A2"/>
    <w:rsid w:val="007321A1"/>
    <w:rsid w:val="00732981"/>
    <w:rsid w:val="007350B7"/>
    <w:rsid w:val="00735A9D"/>
    <w:rsid w:val="00735E55"/>
    <w:rsid w:val="007363AD"/>
    <w:rsid w:val="00736459"/>
    <w:rsid w:val="00740512"/>
    <w:rsid w:val="00741B05"/>
    <w:rsid w:val="00741DD4"/>
    <w:rsid w:val="00743597"/>
    <w:rsid w:val="007450A8"/>
    <w:rsid w:val="007469F7"/>
    <w:rsid w:val="00747EE5"/>
    <w:rsid w:val="00750D46"/>
    <w:rsid w:val="007526E4"/>
    <w:rsid w:val="00753D01"/>
    <w:rsid w:val="00754562"/>
    <w:rsid w:val="00755BA5"/>
    <w:rsid w:val="007561E6"/>
    <w:rsid w:val="007574A8"/>
    <w:rsid w:val="007602CE"/>
    <w:rsid w:val="00761A83"/>
    <w:rsid w:val="00762A66"/>
    <w:rsid w:val="007669F2"/>
    <w:rsid w:val="00766DA8"/>
    <w:rsid w:val="0076740D"/>
    <w:rsid w:val="0077049D"/>
    <w:rsid w:val="00772CE3"/>
    <w:rsid w:val="0077305E"/>
    <w:rsid w:val="007744DF"/>
    <w:rsid w:val="0077461A"/>
    <w:rsid w:val="0077506E"/>
    <w:rsid w:val="0077652B"/>
    <w:rsid w:val="00776665"/>
    <w:rsid w:val="007768C4"/>
    <w:rsid w:val="00776951"/>
    <w:rsid w:val="0077728B"/>
    <w:rsid w:val="00777584"/>
    <w:rsid w:val="00781AD1"/>
    <w:rsid w:val="00781C5D"/>
    <w:rsid w:val="00782028"/>
    <w:rsid w:val="00782279"/>
    <w:rsid w:val="00782710"/>
    <w:rsid w:val="0078292B"/>
    <w:rsid w:val="0078429A"/>
    <w:rsid w:val="007847F8"/>
    <w:rsid w:val="00786216"/>
    <w:rsid w:val="00787A29"/>
    <w:rsid w:val="007903FA"/>
    <w:rsid w:val="007904A0"/>
    <w:rsid w:val="007904BA"/>
    <w:rsid w:val="007913FB"/>
    <w:rsid w:val="00792ACA"/>
    <w:rsid w:val="0079306E"/>
    <w:rsid w:val="00793265"/>
    <w:rsid w:val="00793541"/>
    <w:rsid w:val="00795D39"/>
    <w:rsid w:val="00797185"/>
    <w:rsid w:val="00797374"/>
    <w:rsid w:val="007975BF"/>
    <w:rsid w:val="007A0F6E"/>
    <w:rsid w:val="007A12AB"/>
    <w:rsid w:val="007A1345"/>
    <w:rsid w:val="007A1EEE"/>
    <w:rsid w:val="007A3303"/>
    <w:rsid w:val="007A443E"/>
    <w:rsid w:val="007A4A8D"/>
    <w:rsid w:val="007A51FA"/>
    <w:rsid w:val="007A5BFC"/>
    <w:rsid w:val="007A65D7"/>
    <w:rsid w:val="007A6695"/>
    <w:rsid w:val="007B09D0"/>
    <w:rsid w:val="007B247E"/>
    <w:rsid w:val="007B3C1A"/>
    <w:rsid w:val="007B4D7B"/>
    <w:rsid w:val="007B5AA4"/>
    <w:rsid w:val="007B6266"/>
    <w:rsid w:val="007B63F9"/>
    <w:rsid w:val="007B64F9"/>
    <w:rsid w:val="007B7630"/>
    <w:rsid w:val="007B7E69"/>
    <w:rsid w:val="007B7F33"/>
    <w:rsid w:val="007C07E8"/>
    <w:rsid w:val="007C0943"/>
    <w:rsid w:val="007C133F"/>
    <w:rsid w:val="007C30D9"/>
    <w:rsid w:val="007C46DF"/>
    <w:rsid w:val="007C48A8"/>
    <w:rsid w:val="007C54F3"/>
    <w:rsid w:val="007C7094"/>
    <w:rsid w:val="007C7A1F"/>
    <w:rsid w:val="007C7A75"/>
    <w:rsid w:val="007D100A"/>
    <w:rsid w:val="007D15E6"/>
    <w:rsid w:val="007D254C"/>
    <w:rsid w:val="007D25A0"/>
    <w:rsid w:val="007D2825"/>
    <w:rsid w:val="007D2AAA"/>
    <w:rsid w:val="007D3D59"/>
    <w:rsid w:val="007D3F93"/>
    <w:rsid w:val="007D6739"/>
    <w:rsid w:val="007D7203"/>
    <w:rsid w:val="007E0B11"/>
    <w:rsid w:val="007E2C88"/>
    <w:rsid w:val="007E2C8E"/>
    <w:rsid w:val="007F1CB8"/>
    <w:rsid w:val="007F2452"/>
    <w:rsid w:val="007F26CF"/>
    <w:rsid w:val="007F35AF"/>
    <w:rsid w:val="007F38C6"/>
    <w:rsid w:val="007F4241"/>
    <w:rsid w:val="007F4A5F"/>
    <w:rsid w:val="007F4EAB"/>
    <w:rsid w:val="007F57D1"/>
    <w:rsid w:val="007F5F6A"/>
    <w:rsid w:val="007F7206"/>
    <w:rsid w:val="00800D47"/>
    <w:rsid w:val="00800FD7"/>
    <w:rsid w:val="0080207B"/>
    <w:rsid w:val="00803FF8"/>
    <w:rsid w:val="00804127"/>
    <w:rsid w:val="0080454B"/>
    <w:rsid w:val="0080680F"/>
    <w:rsid w:val="00807ACD"/>
    <w:rsid w:val="008113A3"/>
    <w:rsid w:val="008146F8"/>
    <w:rsid w:val="0081699B"/>
    <w:rsid w:val="00820AC3"/>
    <w:rsid w:val="00821662"/>
    <w:rsid w:val="0082174D"/>
    <w:rsid w:val="008234F4"/>
    <w:rsid w:val="00823A2C"/>
    <w:rsid w:val="008254E9"/>
    <w:rsid w:val="00826B50"/>
    <w:rsid w:val="00827B68"/>
    <w:rsid w:val="00827F80"/>
    <w:rsid w:val="00831487"/>
    <w:rsid w:val="00831610"/>
    <w:rsid w:val="00831779"/>
    <w:rsid w:val="008328E7"/>
    <w:rsid w:val="00832BEE"/>
    <w:rsid w:val="00834619"/>
    <w:rsid w:val="00834A26"/>
    <w:rsid w:val="00834D08"/>
    <w:rsid w:val="008350E9"/>
    <w:rsid w:val="00837150"/>
    <w:rsid w:val="0083793A"/>
    <w:rsid w:val="00840AAC"/>
    <w:rsid w:val="00842363"/>
    <w:rsid w:val="00845116"/>
    <w:rsid w:val="0084520B"/>
    <w:rsid w:val="008452E7"/>
    <w:rsid w:val="008459F0"/>
    <w:rsid w:val="00846325"/>
    <w:rsid w:val="00846644"/>
    <w:rsid w:val="008468D8"/>
    <w:rsid w:val="00847D2B"/>
    <w:rsid w:val="00850321"/>
    <w:rsid w:val="0085170B"/>
    <w:rsid w:val="00851B62"/>
    <w:rsid w:val="00851B8B"/>
    <w:rsid w:val="00851FF3"/>
    <w:rsid w:val="00854274"/>
    <w:rsid w:val="008553F5"/>
    <w:rsid w:val="00855699"/>
    <w:rsid w:val="00855962"/>
    <w:rsid w:val="00855AFD"/>
    <w:rsid w:val="00855FD4"/>
    <w:rsid w:val="00856290"/>
    <w:rsid w:val="00856CDA"/>
    <w:rsid w:val="0085757D"/>
    <w:rsid w:val="00863FFC"/>
    <w:rsid w:val="008642D5"/>
    <w:rsid w:val="008644C4"/>
    <w:rsid w:val="00864B52"/>
    <w:rsid w:val="00864BFB"/>
    <w:rsid w:val="00864E91"/>
    <w:rsid w:val="00865421"/>
    <w:rsid w:val="00865BA4"/>
    <w:rsid w:val="00866D7A"/>
    <w:rsid w:val="00866E6E"/>
    <w:rsid w:val="008672D2"/>
    <w:rsid w:val="00870506"/>
    <w:rsid w:val="008709E0"/>
    <w:rsid w:val="00870FAF"/>
    <w:rsid w:val="0087673E"/>
    <w:rsid w:val="008768AE"/>
    <w:rsid w:val="008778B4"/>
    <w:rsid w:val="0088005E"/>
    <w:rsid w:val="0088219E"/>
    <w:rsid w:val="00883E91"/>
    <w:rsid w:val="00885369"/>
    <w:rsid w:val="008859D0"/>
    <w:rsid w:val="008864BB"/>
    <w:rsid w:val="00887374"/>
    <w:rsid w:val="0088761C"/>
    <w:rsid w:val="008902B0"/>
    <w:rsid w:val="00891C48"/>
    <w:rsid w:val="00891DC8"/>
    <w:rsid w:val="00892038"/>
    <w:rsid w:val="00892B48"/>
    <w:rsid w:val="00892B62"/>
    <w:rsid w:val="008932AE"/>
    <w:rsid w:val="008935A4"/>
    <w:rsid w:val="008947EE"/>
    <w:rsid w:val="00894C87"/>
    <w:rsid w:val="00895C10"/>
    <w:rsid w:val="00896320"/>
    <w:rsid w:val="008967FA"/>
    <w:rsid w:val="008A28B2"/>
    <w:rsid w:val="008A5792"/>
    <w:rsid w:val="008A5EFE"/>
    <w:rsid w:val="008A612F"/>
    <w:rsid w:val="008A640B"/>
    <w:rsid w:val="008A660A"/>
    <w:rsid w:val="008A6921"/>
    <w:rsid w:val="008A6DA4"/>
    <w:rsid w:val="008B10D2"/>
    <w:rsid w:val="008B27DE"/>
    <w:rsid w:val="008B4C38"/>
    <w:rsid w:val="008B5177"/>
    <w:rsid w:val="008B5940"/>
    <w:rsid w:val="008B792E"/>
    <w:rsid w:val="008B7C3D"/>
    <w:rsid w:val="008C0431"/>
    <w:rsid w:val="008C4B0B"/>
    <w:rsid w:val="008C4C2B"/>
    <w:rsid w:val="008C59E7"/>
    <w:rsid w:val="008C698D"/>
    <w:rsid w:val="008C6CDB"/>
    <w:rsid w:val="008D05A5"/>
    <w:rsid w:val="008D109E"/>
    <w:rsid w:val="008D19A6"/>
    <w:rsid w:val="008D1D92"/>
    <w:rsid w:val="008D26C9"/>
    <w:rsid w:val="008D2CC4"/>
    <w:rsid w:val="008D4D7D"/>
    <w:rsid w:val="008D56E6"/>
    <w:rsid w:val="008D7F69"/>
    <w:rsid w:val="008E05BA"/>
    <w:rsid w:val="008E0C69"/>
    <w:rsid w:val="008E1B77"/>
    <w:rsid w:val="008E36B7"/>
    <w:rsid w:val="008E413C"/>
    <w:rsid w:val="008E43D6"/>
    <w:rsid w:val="008E446B"/>
    <w:rsid w:val="008E4759"/>
    <w:rsid w:val="008E509F"/>
    <w:rsid w:val="008E5BA6"/>
    <w:rsid w:val="008F00CB"/>
    <w:rsid w:val="008F1063"/>
    <w:rsid w:val="008F31CE"/>
    <w:rsid w:val="008F3ABF"/>
    <w:rsid w:val="008F4745"/>
    <w:rsid w:val="008F4CA0"/>
    <w:rsid w:val="008F510A"/>
    <w:rsid w:val="008F79BD"/>
    <w:rsid w:val="008F7CFE"/>
    <w:rsid w:val="009007DE"/>
    <w:rsid w:val="00901176"/>
    <w:rsid w:val="0090299F"/>
    <w:rsid w:val="009043F6"/>
    <w:rsid w:val="009059C1"/>
    <w:rsid w:val="009066D1"/>
    <w:rsid w:val="00907E62"/>
    <w:rsid w:val="00910431"/>
    <w:rsid w:val="009117F9"/>
    <w:rsid w:val="00912423"/>
    <w:rsid w:val="00913CA7"/>
    <w:rsid w:val="009144D9"/>
    <w:rsid w:val="00915984"/>
    <w:rsid w:val="009172FB"/>
    <w:rsid w:val="00922578"/>
    <w:rsid w:val="00923190"/>
    <w:rsid w:val="0092343C"/>
    <w:rsid w:val="00923928"/>
    <w:rsid w:val="00923AC5"/>
    <w:rsid w:val="00924599"/>
    <w:rsid w:val="00924DA2"/>
    <w:rsid w:val="009258F4"/>
    <w:rsid w:val="00926059"/>
    <w:rsid w:val="00926331"/>
    <w:rsid w:val="009300DE"/>
    <w:rsid w:val="009304FD"/>
    <w:rsid w:val="0093084B"/>
    <w:rsid w:val="00931C1D"/>
    <w:rsid w:val="009327F2"/>
    <w:rsid w:val="009330C0"/>
    <w:rsid w:val="009332EB"/>
    <w:rsid w:val="00933A4C"/>
    <w:rsid w:val="00933B70"/>
    <w:rsid w:val="00941B91"/>
    <w:rsid w:val="00941F42"/>
    <w:rsid w:val="00942EEC"/>
    <w:rsid w:val="009430C5"/>
    <w:rsid w:val="00943AE9"/>
    <w:rsid w:val="00944AE9"/>
    <w:rsid w:val="00945175"/>
    <w:rsid w:val="009466C8"/>
    <w:rsid w:val="0094742B"/>
    <w:rsid w:val="0094794E"/>
    <w:rsid w:val="00947BA4"/>
    <w:rsid w:val="009500A9"/>
    <w:rsid w:val="009506CD"/>
    <w:rsid w:val="00950CFA"/>
    <w:rsid w:val="00953712"/>
    <w:rsid w:val="00953A27"/>
    <w:rsid w:val="00953CAA"/>
    <w:rsid w:val="009544A7"/>
    <w:rsid w:val="009547C5"/>
    <w:rsid w:val="009550B6"/>
    <w:rsid w:val="009553DA"/>
    <w:rsid w:val="0095628D"/>
    <w:rsid w:val="0095719C"/>
    <w:rsid w:val="0096049B"/>
    <w:rsid w:val="00962CCB"/>
    <w:rsid w:val="00963197"/>
    <w:rsid w:val="00963C93"/>
    <w:rsid w:val="00964A00"/>
    <w:rsid w:val="00965619"/>
    <w:rsid w:val="00966E70"/>
    <w:rsid w:val="00967A7E"/>
    <w:rsid w:val="00970589"/>
    <w:rsid w:val="00970DA6"/>
    <w:rsid w:val="009712E5"/>
    <w:rsid w:val="00973A49"/>
    <w:rsid w:val="009741F2"/>
    <w:rsid w:val="009747A1"/>
    <w:rsid w:val="009750A0"/>
    <w:rsid w:val="0097561E"/>
    <w:rsid w:val="00975D13"/>
    <w:rsid w:val="009773E0"/>
    <w:rsid w:val="00980D79"/>
    <w:rsid w:val="00982CDA"/>
    <w:rsid w:val="0098363A"/>
    <w:rsid w:val="009839BC"/>
    <w:rsid w:val="009839C1"/>
    <w:rsid w:val="00984892"/>
    <w:rsid w:val="00985A1C"/>
    <w:rsid w:val="00986369"/>
    <w:rsid w:val="00987865"/>
    <w:rsid w:val="00987AF8"/>
    <w:rsid w:val="00990B8C"/>
    <w:rsid w:val="00990E86"/>
    <w:rsid w:val="00991BE5"/>
    <w:rsid w:val="00992100"/>
    <w:rsid w:val="00993050"/>
    <w:rsid w:val="009948A9"/>
    <w:rsid w:val="00994AA1"/>
    <w:rsid w:val="00994B83"/>
    <w:rsid w:val="00994FCA"/>
    <w:rsid w:val="0099507E"/>
    <w:rsid w:val="00995683"/>
    <w:rsid w:val="00996CEC"/>
    <w:rsid w:val="00997AB5"/>
    <w:rsid w:val="00997F70"/>
    <w:rsid w:val="009A0C33"/>
    <w:rsid w:val="009A2445"/>
    <w:rsid w:val="009A2A04"/>
    <w:rsid w:val="009A3196"/>
    <w:rsid w:val="009A338C"/>
    <w:rsid w:val="009A34C1"/>
    <w:rsid w:val="009A4081"/>
    <w:rsid w:val="009A46EC"/>
    <w:rsid w:val="009A4A64"/>
    <w:rsid w:val="009A5F69"/>
    <w:rsid w:val="009A6130"/>
    <w:rsid w:val="009A68E5"/>
    <w:rsid w:val="009A7043"/>
    <w:rsid w:val="009A714E"/>
    <w:rsid w:val="009A7C17"/>
    <w:rsid w:val="009B0408"/>
    <w:rsid w:val="009B164B"/>
    <w:rsid w:val="009B186A"/>
    <w:rsid w:val="009B1E9F"/>
    <w:rsid w:val="009B31E7"/>
    <w:rsid w:val="009B5B4C"/>
    <w:rsid w:val="009B797B"/>
    <w:rsid w:val="009B79D3"/>
    <w:rsid w:val="009B7F4B"/>
    <w:rsid w:val="009C0B88"/>
    <w:rsid w:val="009C0CCA"/>
    <w:rsid w:val="009C25BA"/>
    <w:rsid w:val="009C4036"/>
    <w:rsid w:val="009C4100"/>
    <w:rsid w:val="009C4F55"/>
    <w:rsid w:val="009C7672"/>
    <w:rsid w:val="009C7EFE"/>
    <w:rsid w:val="009D17C0"/>
    <w:rsid w:val="009D2B2D"/>
    <w:rsid w:val="009D3169"/>
    <w:rsid w:val="009D374D"/>
    <w:rsid w:val="009D3AE0"/>
    <w:rsid w:val="009D5698"/>
    <w:rsid w:val="009D5AE7"/>
    <w:rsid w:val="009D6FA0"/>
    <w:rsid w:val="009D788B"/>
    <w:rsid w:val="009D797C"/>
    <w:rsid w:val="009D7AFF"/>
    <w:rsid w:val="009E0BC6"/>
    <w:rsid w:val="009E0D8D"/>
    <w:rsid w:val="009E1349"/>
    <w:rsid w:val="009E2F96"/>
    <w:rsid w:val="009E51E0"/>
    <w:rsid w:val="009E6287"/>
    <w:rsid w:val="009E62CA"/>
    <w:rsid w:val="009E678A"/>
    <w:rsid w:val="009E6840"/>
    <w:rsid w:val="009E6DCF"/>
    <w:rsid w:val="009E78B3"/>
    <w:rsid w:val="009E7DAD"/>
    <w:rsid w:val="009F00D1"/>
    <w:rsid w:val="009F0DBB"/>
    <w:rsid w:val="009F2744"/>
    <w:rsid w:val="009F2C00"/>
    <w:rsid w:val="009F35D7"/>
    <w:rsid w:val="009F433C"/>
    <w:rsid w:val="009F48BE"/>
    <w:rsid w:val="009F4B26"/>
    <w:rsid w:val="009F51E7"/>
    <w:rsid w:val="009F5365"/>
    <w:rsid w:val="009F57E0"/>
    <w:rsid w:val="009F7411"/>
    <w:rsid w:val="00A01375"/>
    <w:rsid w:val="00A02CA6"/>
    <w:rsid w:val="00A02F1E"/>
    <w:rsid w:val="00A032F3"/>
    <w:rsid w:val="00A03ECC"/>
    <w:rsid w:val="00A0631D"/>
    <w:rsid w:val="00A06621"/>
    <w:rsid w:val="00A0757B"/>
    <w:rsid w:val="00A116A8"/>
    <w:rsid w:val="00A119E3"/>
    <w:rsid w:val="00A12847"/>
    <w:rsid w:val="00A13AC5"/>
    <w:rsid w:val="00A145E1"/>
    <w:rsid w:val="00A15399"/>
    <w:rsid w:val="00A16226"/>
    <w:rsid w:val="00A165D9"/>
    <w:rsid w:val="00A16912"/>
    <w:rsid w:val="00A17774"/>
    <w:rsid w:val="00A21669"/>
    <w:rsid w:val="00A22CF6"/>
    <w:rsid w:val="00A25805"/>
    <w:rsid w:val="00A26A8C"/>
    <w:rsid w:val="00A26C10"/>
    <w:rsid w:val="00A278E3"/>
    <w:rsid w:val="00A30199"/>
    <w:rsid w:val="00A3048D"/>
    <w:rsid w:val="00A30998"/>
    <w:rsid w:val="00A3293B"/>
    <w:rsid w:val="00A333C7"/>
    <w:rsid w:val="00A359E6"/>
    <w:rsid w:val="00A35FE8"/>
    <w:rsid w:val="00A4094F"/>
    <w:rsid w:val="00A41004"/>
    <w:rsid w:val="00A413FE"/>
    <w:rsid w:val="00A41C17"/>
    <w:rsid w:val="00A42C9C"/>
    <w:rsid w:val="00A43467"/>
    <w:rsid w:val="00A4381A"/>
    <w:rsid w:val="00A43FF6"/>
    <w:rsid w:val="00A4460E"/>
    <w:rsid w:val="00A47044"/>
    <w:rsid w:val="00A51548"/>
    <w:rsid w:val="00A52206"/>
    <w:rsid w:val="00A52866"/>
    <w:rsid w:val="00A53333"/>
    <w:rsid w:val="00A53A79"/>
    <w:rsid w:val="00A541FA"/>
    <w:rsid w:val="00A547E1"/>
    <w:rsid w:val="00A552F4"/>
    <w:rsid w:val="00A5593F"/>
    <w:rsid w:val="00A55941"/>
    <w:rsid w:val="00A56383"/>
    <w:rsid w:val="00A565C3"/>
    <w:rsid w:val="00A56815"/>
    <w:rsid w:val="00A57276"/>
    <w:rsid w:val="00A63B98"/>
    <w:rsid w:val="00A651E5"/>
    <w:rsid w:val="00A67C58"/>
    <w:rsid w:val="00A709E9"/>
    <w:rsid w:val="00A72E35"/>
    <w:rsid w:val="00A73D66"/>
    <w:rsid w:val="00A75C64"/>
    <w:rsid w:val="00A75FE1"/>
    <w:rsid w:val="00A7689E"/>
    <w:rsid w:val="00A77601"/>
    <w:rsid w:val="00A810F5"/>
    <w:rsid w:val="00A82AD0"/>
    <w:rsid w:val="00A82B17"/>
    <w:rsid w:val="00A834B4"/>
    <w:rsid w:val="00A83639"/>
    <w:rsid w:val="00A8440A"/>
    <w:rsid w:val="00A84E36"/>
    <w:rsid w:val="00A86045"/>
    <w:rsid w:val="00A869AA"/>
    <w:rsid w:val="00A86F92"/>
    <w:rsid w:val="00A90931"/>
    <w:rsid w:val="00A915A4"/>
    <w:rsid w:val="00A928B2"/>
    <w:rsid w:val="00A93768"/>
    <w:rsid w:val="00A94249"/>
    <w:rsid w:val="00A9483C"/>
    <w:rsid w:val="00A94857"/>
    <w:rsid w:val="00A956DE"/>
    <w:rsid w:val="00A95C2D"/>
    <w:rsid w:val="00A9605D"/>
    <w:rsid w:val="00A9741B"/>
    <w:rsid w:val="00A97762"/>
    <w:rsid w:val="00A97C27"/>
    <w:rsid w:val="00AA1A1E"/>
    <w:rsid w:val="00AA1EC6"/>
    <w:rsid w:val="00AA39CE"/>
    <w:rsid w:val="00AA5E40"/>
    <w:rsid w:val="00AA6188"/>
    <w:rsid w:val="00AA6C2E"/>
    <w:rsid w:val="00AA6E08"/>
    <w:rsid w:val="00AA6F7B"/>
    <w:rsid w:val="00AA779E"/>
    <w:rsid w:val="00AA79F8"/>
    <w:rsid w:val="00AB0154"/>
    <w:rsid w:val="00AB1246"/>
    <w:rsid w:val="00AB4C21"/>
    <w:rsid w:val="00AB6DA4"/>
    <w:rsid w:val="00AC00A1"/>
    <w:rsid w:val="00AC031D"/>
    <w:rsid w:val="00AC34C6"/>
    <w:rsid w:val="00AC638F"/>
    <w:rsid w:val="00AC73A1"/>
    <w:rsid w:val="00AC7A12"/>
    <w:rsid w:val="00AD1B9A"/>
    <w:rsid w:val="00AD27EC"/>
    <w:rsid w:val="00AD3B1A"/>
    <w:rsid w:val="00AD40FF"/>
    <w:rsid w:val="00AD5CEB"/>
    <w:rsid w:val="00AD6223"/>
    <w:rsid w:val="00AD710D"/>
    <w:rsid w:val="00AE0346"/>
    <w:rsid w:val="00AE05ED"/>
    <w:rsid w:val="00AE0B75"/>
    <w:rsid w:val="00AE1B7B"/>
    <w:rsid w:val="00AE20DB"/>
    <w:rsid w:val="00AE3D1F"/>
    <w:rsid w:val="00AE7423"/>
    <w:rsid w:val="00AE7C34"/>
    <w:rsid w:val="00AF05DD"/>
    <w:rsid w:val="00AF0DEF"/>
    <w:rsid w:val="00AF183E"/>
    <w:rsid w:val="00AF3568"/>
    <w:rsid w:val="00AF690B"/>
    <w:rsid w:val="00AF6D6F"/>
    <w:rsid w:val="00AF785F"/>
    <w:rsid w:val="00B005CA"/>
    <w:rsid w:val="00B00CF4"/>
    <w:rsid w:val="00B01474"/>
    <w:rsid w:val="00B01DC3"/>
    <w:rsid w:val="00B02B1D"/>
    <w:rsid w:val="00B03137"/>
    <w:rsid w:val="00B0457E"/>
    <w:rsid w:val="00B04981"/>
    <w:rsid w:val="00B05701"/>
    <w:rsid w:val="00B05ABF"/>
    <w:rsid w:val="00B10387"/>
    <w:rsid w:val="00B11CAD"/>
    <w:rsid w:val="00B12086"/>
    <w:rsid w:val="00B12809"/>
    <w:rsid w:val="00B1328F"/>
    <w:rsid w:val="00B132BF"/>
    <w:rsid w:val="00B1428E"/>
    <w:rsid w:val="00B14806"/>
    <w:rsid w:val="00B14AC9"/>
    <w:rsid w:val="00B14DC2"/>
    <w:rsid w:val="00B1558D"/>
    <w:rsid w:val="00B16CA6"/>
    <w:rsid w:val="00B17F5A"/>
    <w:rsid w:val="00B215D6"/>
    <w:rsid w:val="00B23BAE"/>
    <w:rsid w:val="00B24158"/>
    <w:rsid w:val="00B26B46"/>
    <w:rsid w:val="00B27828"/>
    <w:rsid w:val="00B301B7"/>
    <w:rsid w:val="00B303E6"/>
    <w:rsid w:val="00B314D3"/>
    <w:rsid w:val="00B31C02"/>
    <w:rsid w:val="00B335D9"/>
    <w:rsid w:val="00B34154"/>
    <w:rsid w:val="00B3470D"/>
    <w:rsid w:val="00B34C8F"/>
    <w:rsid w:val="00B3576F"/>
    <w:rsid w:val="00B35F7E"/>
    <w:rsid w:val="00B369A0"/>
    <w:rsid w:val="00B37A0D"/>
    <w:rsid w:val="00B40398"/>
    <w:rsid w:val="00B41191"/>
    <w:rsid w:val="00B41A6F"/>
    <w:rsid w:val="00B41F63"/>
    <w:rsid w:val="00B435DC"/>
    <w:rsid w:val="00B44ED7"/>
    <w:rsid w:val="00B45548"/>
    <w:rsid w:val="00B459E7"/>
    <w:rsid w:val="00B45BA0"/>
    <w:rsid w:val="00B469CB"/>
    <w:rsid w:val="00B46DAE"/>
    <w:rsid w:val="00B50E70"/>
    <w:rsid w:val="00B512E0"/>
    <w:rsid w:val="00B5139C"/>
    <w:rsid w:val="00B5398C"/>
    <w:rsid w:val="00B53FC1"/>
    <w:rsid w:val="00B55B19"/>
    <w:rsid w:val="00B56D16"/>
    <w:rsid w:val="00B5719D"/>
    <w:rsid w:val="00B576CF"/>
    <w:rsid w:val="00B61D70"/>
    <w:rsid w:val="00B63FD4"/>
    <w:rsid w:val="00B6434D"/>
    <w:rsid w:val="00B65014"/>
    <w:rsid w:val="00B6760B"/>
    <w:rsid w:val="00B70986"/>
    <w:rsid w:val="00B71380"/>
    <w:rsid w:val="00B72184"/>
    <w:rsid w:val="00B7456C"/>
    <w:rsid w:val="00B750FF"/>
    <w:rsid w:val="00B76561"/>
    <w:rsid w:val="00B7735A"/>
    <w:rsid w:val="00B7737F"/>
    <w:rsid w:val="00B80216"/>
    <w:rsid w:val="00B804DD"/>
    <w:rsid w:val="00B80DB7"/>
    <w:rsid w:val="00B81964"/>
    <w:rsid w:val="00B83218"/>
    <w:rsid w:val="00B8412C"/>
    <w:rsid w:val="00B8553F"/>
    <w:rsid w:val="00B86626"/>
    <w:rsid w:val="00B877D6"/>
    <w:rsid w:val="00B90448"/>
    <w:rsid w:val="00B90C3B"/>
    <w:rsid w:val="00B91142"/>
    <w:rsid w:val="00B917CD"/>
    <w:rsid w:val="00B938B0"/>
    <w:rsid w:val="00B942C0"/>
    <w:rsid w:val="00B94698"/>
    <w:rsid w:val="00B94754"/>
    <w:rsid w:val="00B94F0B"/>
    <w:rsid w:val="00B9622F"/>
    <w:rsid w:val="00B9629C"/>
    <w:rsid w:val="00BA0180"/>
    <w:rsid w:val="00BA0402"/>
    <w:rsid w:val="00BA21A3"/>
    <w:rsid w:val="00BA239A"/>
    <w:rsid w:val="00BA259D"/>
    <w:rsid w:val="00BA286D"/>
    <w:rsid w:val="00BA358B"/>
    <w:rsid w:val="00BA40EB"/>
    <w:rsid w:val="00BA4880"/>
    <w:rsid w:val="00BA5025"/>
    <w:rsid w:val="00BA66AD"/>
    <w:rsid w:val="00BA672B"/>
    <w:rsid w:val="00BA74E3"/>
    <w:rsid w:val="00BB04E0"/>
    <w:rsid w:val="00BB074E"/>
    <w:rsid w:val="00BB0954"/>
    <w:rsid w:val="00BB21D1"/>
    <w:rsid w:val="00BB3D32"/>
    <w:rsid w:val="00BB5F35"/>
    <w:rsid w:val="00BB7988"/>
    <w:rsid w:val="00BB7BCF"/>
    <w:rsid w:val="00BC177C"/>
    <w:rsid w:val="00BC2773"/>
    <w:rsid w:val="00BC3B0F"/>
    <w:rsid w:val="00BC4C7E"/>
    <w:rsid w:val="00BC5FDF"/>
    <w:rsid w:val="00BC608D"/>
    <w:rsid w:val="00BC6AA6"/>
    <w:rsid w:val="00BD034E"/>
    <w:rsid w:val="00BD21F5"/>
    <w:rsid w:val="00BD436F"/>
    <w:rsid w:val="00BD59FF"/>
    <w:rsid w:val="00BD5BD4"/>
    <w:rsid w:val="00BD6615"/>
    <w:rsid w:val="00BE02EC"/>
    <w:rsid w:val="00BE09FE"/>
    <w:rsid w:val="00BE0D37"/>
    <w:rsid w:val="00BE0D52"/>
    <w:rsid w:val="00BE1ECD"/>
    <w:rsid w:val="00BE252B"/>
    <w:rsid w:val="00BE3658"/>
    <w:rsid w:val="00BF0E4E"/>
    <w:rsid w:val="00BF0F7D"/>
    <w:rsid w:val="00BF3426"/>
    <w:rsid w:val="00BF36A8"/>
    <w:rsid w:val="00BF3BA0"/>
    <w:rsid w:val="00BF3D52"/>
    <w:rsid w:val="00BF621B"/>
    <w:rsid w:val="00BF636D"/>
    <w:rsid w:val="00BF6F7D"/>
    <w:rsid w:val="00BF7B17"/>
    <w:rsid w:val="00C0046D"/>
    <w:rsid w:val="00C0154D"/>
    <w:rsid w:val="00C04651"/>
    <w:rsid w:val="00C05492"/>
    <w:rsid w:val="00C05560"/>
    <w:rsid w:val="00C07920"/>
    <w:rsid w:val="00C10CE6"/>
    <w:rsid w:val="00C125E7"/>
    <w:rsid w:val="00C13139"/>
    <w:rsid w:val="00C144DC"/>
    <w:rsid w:val="00C146A3"/>
    <w:rsid w:val="00C14EB1"/>
    <w:rsid w:val="00C15085"/>
    <w:rsid w:val="00C1566C"/>
    <w:rsid w:val="00C159C4"/>
    <w:rsid w:val="00C1604B"/>
    <w:rsid w:val="00C168B9"/>
    <w:rsid w:val="00C16B9F"/>
    <w:rsid w:val="00C17AC4"/>
    <w:rsid w:val="00C17ACF"/>
    <w:rsid w:val="00C17FBA"/>
    <w:rsid w:val="00C26165"/>
    <w:rsid w:val="00C27557"/>
    <w:rsid w:val="00C3007A"/>
    <w:rsid w:val="00C300E9"/>
    <w:rsid w:val="00C304BB"/>
    <w:rsid w:val="00C32BA0"/>
    <w:rsid w:val="00C32BCD"/>
    <w:rsid w:val="00C3352A"/>
    <w:rsid w:val="00C33AAE"/>
    <w:rsid w:val="00C35653"/>
    <w:rsid w:val="00C410A3"/>
    <w:rsid w:val="00C41C71"/>
    <w:rsid w:val="00C42325"/>
    <w:rsid w:val="00C429A7"/>
    <w:rsid w:val="00C42D81"/>
    <w:rsid w:val="00C43619"/>
    <w:rsid w:val="00C44E8F"/>
    <w:rsid w:val="00C45B79"/>
    <w:rsid w:val="00C463C3"/>
    <w:rsid w:val="00C46B82"/>
    <w:rsid w:val="00C47370"/>
    <w:rsid w:val="00C47D0E"/>
    <w:rsid w:val="00C50516"/>
    <w:rsid w:val="00C507A2"/>
    <w:rsid w:val="00C539F7"/>
    <w:rsid w:val="00C541F5"/>
    <w:rsid w:val="00C55FB4"/>
    <w:rsid w:val="00C602E6"/>
    <w:rsid w:val="00C617C2"/>
    <w:rsid w:val="00C624BF"/>
    <w:rsid w:val="00C62775"/>
    <w:rsid w:val="00C62F4C"/>
    <w:rsid w:val="00C63729"/>
    <w:rsid w:val="00C6381B"/>
    <w:rsid w:val="00C6469A"/>
    <w:rsid w:val="00C646D2"/>
    <w:rsid w:val="00C6478B"/>
    <w:rsid w:val="00C64E84"/>
    <w:rsid w:val="00C6596C"/>
    <w:rsid w:val="00C65EC4"/>
    <w:rsid w:val="00C66159"/>
    <w:rsid w:val="00C66984"/>
    <w:rsid w:val="00C674F9"/>
    <w:rsid w:val="00C676EA"/>
    <w:rsid w:val="00C70031"/>
    <w:rsid w:val="00C70ABC"/>
    <w:rsid w:val="00C71A20"/>
    <w:rsid w:val="00C74475"/>
    <w:rsid w:val="00C753E4"/>
    <w:rsid w:val="00C755B4"/>
    <w:rsid w:val="00C76FB7"/>
    <w:rsid w:val="00C80479"/>
    <w:rsid w:val="00C80648"/>
    <w:rsid w:val="00C80AC9"/>
    <w:rsid w:val="00C81BFB"/>
    <w:rsid w:val="00C83517"/>
    <w:rsid w:val="00C83835"/>
    <w:rsid w:val="00C83C16"/>
    <w:rsid w:val="00C840B1"/>
    <w:rsid w:val="00C86F94"/>
    <w:rsid w:val="00C87C87"/>
    <w:rsid w:val="00C90C81"/>
    <w:rsid w:val="00C913BE"/>
    <w:rsid w:val="00C91F7A"/>
    <w:rsid w:val="00C92E9C"/>
    <w:rsid w:val="00C93491"/>
    <w:rsid w:val="00C9489C"/>
    <w:rsid w:val="00C955F1"/>
    <w:rsid w:val="00C965EF"/>
    <w:rsid w:val="00C96C45"/>
    <w:rsid w:val="00C97D6A"/>
    <w:rsid w:val="00CA0747"/>
    <w:rsid w:val="00CA1B23"/>
    <w:rsid w:val="00CA2064"/>
    <w:rsid w:val="00CA2E82"/>
    <w:rsid w:val="00CA37EB"/>
    <w:rsid w:val="00CA3931"/>
    <w:rsid w:val="00CA47D7"/>
    <w:rsid w:val="00CA4F57"/>
    <w:rsid w:val="00CA6836"/>
    <w:rsid w:val="00CA6DBC"/>
    <w:rsid w:val="00CA7777"/>
    <w:rsid w:val="00CB069E"/>
    <w:rsid w:val="00CB0E95"/>
    <w:rsid w:val="00CB22DC"/>
    <w:rsid w:val="00CB27F9"/>
    <w:rsid w:val="00CB3FA7"/>
    <w:rsid w:val="00CB4DDA"/>
    <w:rsid w:val="00CB4FCF"/>
    <w:rsid w:val="00CB7E79"/>
    <w:rsid w:val="00CC0349"/>
    <w:rsid w:val="00CC125A"/>
    <w:rsid w:val="00CC1AC8"/>
    <w:rsid w:val="00CC34CA"/>
    <w:rsid w:val="00CC359C"/>
    <w:rsid w:val="00CC3878"/>
    <w:rsid w:val="00CC3AD6"/>
    <w:rsid w:val="00CC3FC8"/>
    <w:rsid w:val="00CC5E67"/>
    <w:rsid w:val="00CC74BF"/>
    <w:rsid w:val="00CD039C"/>
    <w:rsid w:val="00CD05A2"/>
    <w:rsid w:val="00CD1425"/>
    <w:rsid w:val="00CD2771"/>
    <w:rsid w:val="00CD4817"/>
    <w:rsid w:val="00CD5CE8"/>
    <w:rsid w:val="00CE1E04"/>
    <w:rsid w:val="00CE22C4"/>
    <w:rsid w:val="00CE23F1"/>
    <w:rsid w:val="00CE3B77"/>
    <w:rsid w:val="00CE51D5"/>
    <w:rsid w:val="00CE547D"/>
    <w:rsid w:val="00CE651E"/>
    <w:rsid w:val="00CF0AB4"/>
    <w:rsid w:val="00CF0D49"/>
    <w:rsid w:val="00CF16B5"/>
    <w:rsid w:val="00CF2A77"/>
    <w:rsid w:val="00CF3767"/>
    <w:rsid w:val="00CF392C"/>
    <w:rsid w:val="00CF3D0D"/>
    <w:rsid w:val="00CF3E4E"/>
    <w:rsid w:val="00CF4123"/>
    <w:rsid w:val="00CF4A9A"/>
    <w:rsid w:val="00CF517B"/>
    <w:rsid w:val="00CF69B5"/>
    <w:rsid w:val="00CF6C5B"/>
    <w:rsid w:val="00CF7997"/>
    <w:rsid w:val="00D00946"/>
    <w:rsid w:val="00D00DE9"/>
    <w:rsid w:val="00D00F50"/>
    <w:rsid w:val="00D0226E"/>
    <w:rsid w:val="00D02A49"/>
    <w:rsid w:val="00D05758"/>
    <w:rsid w:val="00D0688A"/>
    <w:rsid w:val="00D0748D"/>
    <w:rsid w:val="00D07B2D"/>
    <w:rsid w:val="00D10546"/>
    <w:rsid w:val="00D115EE"/>
    <w:rsid w:val="00D11C3C"/>
    <w:rsid w:val="00D124BF"/>
    <w:rsid w:val="00D136D7"/>
    <w:rsid w:val="00D15358"/>
    <w:rsid w:val="00D155A9"/>
    <w:rsid w:val="00D156CC"/>
    <w:rsid w:val="00D15ADB"/>
    <w:rsid w:val="00D15C60"/>
    <w:rsid w:val="00D16598"/>
    <w:rsid w:val="00D1728C"/>
    <w:rsid w:val="00D20ED0"/>
    <w:rsid w:val="00D2178F"/>
    <w:rsid w:val="00D224D2"/>
    <w:rsid w:val="00D2495B"/>
    <w:rsid w:val="00D255E7"/>
    <w:rsid w:val="00D256D1"/>
    <w:rsid w:val="00D26608"/>
    <w:rsid w:val="00D27E85"/>
    <w:rsid w:val="00D30B1D"/>
    <w:rsid w:val="00D30F41"/>
    <w:rsid w:val="00D31809"/>
    <w:rsid w:val="00D325C7"/>
    <w:rsid w:val="00D33074"/>
    <w:rsid w:val="00D337A2"/>
    <w:rsid w:val="00D34D36"/>
    <w:rsid w:val="00D35524"/>
    <w:rsid w:val="00D3558B"/>
    <w:rsid w:val="00D35949"/>
    <w:rsid w:val="00D36A8D"/>
    <w:rsid w:val="00D41161"/>
    <w:rsid w:val="00D42992"/>
    <w:rsid w:val="00D43345"/>
    <w:rsid w:val="00D44192"/>
    <w:rsid w:val="00D44614"/>
    <w:rsid w:val="00D46644"/>
    <w:rsid w:val="00D47A76"/>
    <w:rsid w:val="00D52A2D"/>
    <w:rsid w:val="00D533DC"/>
    <w:rsid w:val="00D5471D"/>
    <w:rsid w:val="00D57C25"/>
    <w:rsid w:val="00D57D68"/>
    <w:rsid w:val="00D609A9"/>
    <w:rsid w:val="00D629AF"/>
    <w:rsid w:val="00D63CF8"/>
    <w:rsid w:val="00D66558"/>
    <w:rsid w:val="00D67740"/>
    <w:rsid w:val="00D67E57"/>
    <w:rsid w:val="00D70D3B"/>
    <w:rsid w:val="00D71C60"/>
    <w:rsid w:val="00D71DCA"/>
    <w:rsid w:val="00D727CC"/>
    <w:rsid w:val="00D72F7E"/>
    <w:rsid w:val="00D75CF3"/>
    <w:rsid w:val="00D77861"/>
    <w:rsid w:val="00D80AC6"/>
    <w:rsid w:val="00D8100B"/>
    <w:rsid w:val="00D852A8"/>
    <w:rsid w:val="00D8737B"/>
    <w:rsid w:val="00D9033D"/>
    <w:rsid w:val="00D95D25"/>
    <w:rsid w:val="00D96641"/>
    <w:rsid w:val="00D979F3"/>
    <w:rsid w:val="00D97B31"/>
    <w:rsid w:val="00DA1285"/>
    <w:rsid w:val="00DA20F4"/>
    <w:rsid w:val="00DA2571"/>
    <w:rsid w:val="00DA2798"/>
    <w:rsid w:val="00DA555F"/>
    <w:rsid w:val="00DA583D"/>
    <w:rsid w:val="00DB0156"/>
    <w:rsid w:val="00DB0A23"/>
    <w:rsid w:val="00DB1C54"/>
    <w:rsid w:val="00DB628D"/>
    <w:rsid w:val="00DB6834"/>
    <w:rsid w:val="00DB721D"/>
    <w:rsid w:val="00DC023B"/>
    <w:rsid w:val="00DC0B38"/>
    <w:rsid w:val="00DC0F04"/>
    <w:rsid w:val="00DC4878"/>
    <w:rsid w:val="00DC62C5"/>
    <w:rsid w:val="00DC7537"/>
    <w:rsid w:val="00DD0ABB"/>
    <w:rsid w:val="00DD1166"/>
    <w:rsid w:val="00DD2617"/>
    <w:rsid w:val="00DD6C4D"/>
    <w:rsid w:val="00DE0AF4"/>
    <w:rsid w:val="00DE1A8C"/>
    <w:rsid w:val="00DE1B98"/>
    <w:rsid w:val="00DE41B3"/>
    <w:rsid w:val="00DE47C1"/>
    <w:rsid w:val="00DE5151"/>
    <w:rsid w:val="00DE5FD1"/>
    <w:rsid w:val="00DE6EBB"/>
    <w:rsid w:val="00DE6F00"/>
    <w:rsid w:val="00DE7017"/>
    <w:rsid w:val="00DF0FDE"/>
    <w:rsid w:val="00DF123A"/>
    <w:rsid w:val="00DF170B"/>
    <w:rsid w:val="00DF3383"/>
    <w:rsid w:val="00DF4E8E"/>
    <w:rsid w:val="00DF581A"/>
    <w:rsid w:val="00DF58E0"/>
    <w:rsid w:val="00DF5C2D"/>
    <w:rsid w:val="00DF68AF"/>
    <w:rsid w:val="00E00D18"/>
    <w:rsid w:val="00E02731"/>
    <w:rsid w:val="00E0321B"/>
    <w:rsid w:val="00E046F2"/>
    <w:rsid w:val="00E0606D"/>
    <w:rsid w:val="00E06332"/>
    <w:rsid w:val="00E07C61"/>
    <w:rsid w:val="00E117BE"/>
    <w:rsid w:val="00E11ADC"/>
    <w:rsid w:val="00E1420A"/>
    <w:rsid w:val="00E15391"/>
    <w:rsid w:val="00E155F1"/>
    <w:rsid w:val="00E15C57"/>
    <w:rsid w:val="00E16537"/>
    <w:rsid w:val="00E16A06"/>
    <w:rsid w:val="00E17AEC"/>
    <w:rsid w:val="00E201FA"/>
    <w:rsid w:val="00E2063B"/>
    <w:rsid w:val="00E20C29"/>
    <w:rsid w:val="00E212DC"/>
    <w:rsid w:val="00E21A5E"/>
    <w:rsid w:val="00E23DBF"/>
    <w:rsid w:val="00E240D2"/>
    <w:rsid w:val="00E24DC6"/>
    <w:rsid w:val="00E2503C"/>
    <w:rsid w:val="00E30172"/>
    <w:rsid w:val="00E31227"/>
    <w:rsid w:val="00E31C01"/>
    <w:rsid w:val="00E31C5F"/>
    <w:rsid w:val="00E3263A"/>
    <w:rsid w:val="00E32922"/>
    <w:rsid w:val="00E342BF"/>
    <w:rsid w:val="00E363D0"/>
    <w:rsid w:val="00E401E2"/>
    <w:rsid w:val="00E415F5"/>
    <w:rsid w:val="00E41DE0"/>
    <w:rsid w:val="00E42CA0"/>
    <w:rsid w:val="00E42CFE"/>
    <w:rsid w:val="00E42DCD"/>
    <w:rsid w:val="00E4520C"/>
    <w:rsid w:val="00E5052C"/>
    <w:rsid w:val="00E5138C"/>
    <w:rsid w:val="00E51EBF"/>
    <w:rsid w:val="00E528F4"/>
    <w:rsid w:val="00E52DB5"/>
    <w:rsid w:val="00E53329"/>
    <w:rsid w:val="00E53C93"/>
    <w:rsid w:val="00E54E85"/>
    <w:rsid w:val="00E55F86"/>
    <w:rsid w:val="00E56541"/>
    <w:rsid w:val="00E56A93"/>
    <w:rsid w:val="00E5733F"/>
    <w:rsid w:val="00E60252"/>
    <w:rsid w:val="00E61A08"/>
    <w:rsid w:val="00E61B9D"/>
    <w:rsid w:val="00E61D02"/>
    <w:rsid w:val="00E65315"/>
    <w:rsid w:val="00E6566E"/>
    <w:rsid w:val="00E66FB7"/>
    <w:rsid w:val="00E72CC9"/>
    <w:rsid w:val="00E73F7B"/>
    <w:rsid w:val="00E75EDE"/>
    <w:rsid w:val="00E770F8"/>
    <w:rsid w:val="00E773FD"/>
    <w:rsid w:val="00E77619"/>
    <w:rsid w:val="00E8062F"/>
    <w:rsid w:val="00E80FFB"/>
    <w:rsid w:val="00E81378"/>
    <w:rsid w:val="00E819E6"/>
    <w:rsid w:val="00E81BED"/>
    <w:rsid w:val="00E82DB5"/>
    <w:rsid w:val="00E839CE"/>
    <w:rsid w:val="00E84B7D"/>
    <w:rsid w:val="00E85531"/>
    <w:rsid w:val="00E863C4"/>
    <w:rsid w:val="00E86FEA"/>
    <w:rsid w:val="00E87000"/>
    <w:rsid w:val="00E913FB"/>
    <w:rsid w:val="00E91B46"/>
    <w:rsid w:val="00E92871"/>
    <w:rsid w:val="00E9360C"/>
    <w:rsid w:val="00E94137"/>
    <w:rsid w:val="00E96213"/>
    <w:rsid w:val="00E97C50"/>
    <w:rsid w:val="00EA0CCD"/>
    <w:rsid w:val="00EA170C"/>
    <w:rsid w:val="00EA1C69"/>
    <w:rsid w:val="00EA2367"/>
    <w:rsid w:val="00EA2A2B"/>
    <w:rsid w:val="00EA2C1C"/>
    <w:rsid w:val="00EA2D05"/>
    <w:rsid w:val="00EA3046"/>
    <w:rsid w:val="00EB2049"/>
    <w:rsid w:val="00EB2883"/>
    <w:rsid w:val="00EB320A"/>
    <w:rsid w:val="00EB3741"/>
    <w:rsid w:val="00EB4D2C"/>
    <w:rsid w:val="00EB57E9"/>
    <w:rsid w:val="00EB59DE"/>
    <w:rsid w:val="00EB68C8"/>
    <w:rsid w:val="00EB711D"/>
    <w:rsid w:val="00EC07E7"/>
    <w:rsid w:val="00EC178A"/>
    <w:rsid w:val="00EC18B8"/>
    <w:rsid w:val="00EC2B6C"/>
    <w:rsid w:val="00EC2B7D"/>
    <w:rsid w:val="00EC37BF"/>
    <w:rsid w:val="00EC3BB8"/>
    <w:rsid w:val="00EC403F"/>
    <w:rsid w:val="00EC4D07"/>
    <w:rsid w:val="00EC4DE2"/>
    <w:rsid w:val="00EC51CD"/>
    <w:rsid w:val="00EC54D9"/>
    <w:rsid w:val="00ED05A4"/>
    <w:rsid w:val="00ED0637"/>
    <w:rsid w:val="00ED2020"/>
    <w:rsid w:val="00ED2CE5"/>
    <w:rsid w:val="00ED2EEE"/>
    <w:rsid w:val="00ED395F"/>
    <w:rsid w:val="00ED3E4D"/>
    <w:rsid w:val="00ED453B"/>
    <w:rsid w:val="00ED4C4F"/>
    <w:rsid w:val="00ED4F21"/>
    <w:rsid w:val="00ED6254"/>
    <w:rsid w:val="00ED6435"/>
    <w:rsid w:val="00EE0A33"/>
    <w:rsid w:val="00EE128D"/>
    <w:rsid w:val="00EE251A"/>
    <w:rsid w:val="00EE2964"/>
    <w:rsid w:val="00EE2C79"/>
    <w:rsid w:val="00EE459B"/>
    <w:rsid w:val="00EE5E5D"/>
    <w:rsid w:val="00EE6126"/>
    <w:rsid w:val="00EE61CA"/>
    <w:rsid w:val="00EE64BF"/>
    <w:rsid w:val="00EE7CF5"/>
    <w:rsid w:val="00EF0370"/>
    <w:rsid w:val="00EF03C9"/>
    <w:rsid w:val="00EF0E5D"/>
    <w:rsid w:val="00EF1394"/>
    <w:rsid w:val="00EF1C2E"/>
    <w:rsid w:val="00EF35F0"/>
    <w:rsid w:val="00EF3FFA"/>
    <w:rsid w:val="00EF49F4"/>
    <w:rsid w:val="00EF5FF1"/>
    <w:rsid w:val="00EF6AEE"/>
    <w:rsid w:val="00EF6C80"/>
    <w:rsid w:val="00EF6E33"/>
    <w:rsid w:val="00EF7355"/>
    <w:rsid w:val="00EF7452"/>
    <w:rsid w:val="00EF79C0"/>
    <w:rsid w:val="00F008FA"/>
    <w:rsid w:val="00F00ADB"/>
    <w:rsid w:val="00F0367F"/>
    <w:rsid w:val="00F0617C"/>
    <w:rsid w:val="00F06433"/>
    <w:rsid w:val="00F06674"/>
    <w:rsid w:val="00F1055A"/>
    <w:rsid w:val="00F10714"/>
    <w:rsid w:val="00F11747"/>
    <w:rsid w:val="00F12961"/>
    <w:rsid w:val="00F12F3B"/>
    <w:rsid w:val="00F13069"/>
    <w:rsid w:val="00F13986"/>
    <w:rsid w:val="00F15996"/>
    <w:rsid w:val="00F164AD"/>
    <w:rsid w:val="00F16FB5"/>
    <w:rsid w:val="00F17EEF"/>
    <w:rsid w:val="00F20225"/>
    <w:rsid w:val="00F21297"/>
    <w:rsid w:val="00F217C8"/>
    <w:rsid w:val="00F21CD3"/>
    <w:rsid w:val="00F23CE1"/>
    <w:rsid w:val="00F25A6A"/>
    <w:rsid w:val="00F25D71"/>
    <w:rsid w:val="00F26108"/>
    <w:rsid w:val="00F273B0"/>
    <w:rsid w:val="00F27900"/>
    <w:rsid w:val="00F313E6"/>
    <w:rsid w:val="00F31574"/>
    <w:rsid w:val="00F33CE7"/>
    <w:rsid w:val="00F34D11"/>
    <w:rsid w:val="00F357BF"/>
    <w:rsid w:val="00F37787"/>
    <w:rsid w:val="00F37EF7"/>
    <w:rsid w:val="00F405C7"/>
    <w:rsid w:val="00F41750"/>
    <w:rsid w:val="00F4181D"/>
    <w:rsid w:val="00F41885"/>
    <w:rsid w:val="00F42F89"/>
    <w:rsid w:val="00F4554F"/>
    <w:rsid w:val="00F459AA"/>
    <w:rsid w:val="00F50BB3"/>
    <w:rsid w:val="00F50EF9"/>
    <w:rsid w:val="00F52562"/>
    <w:rsid w:val="00F52919"/>
    <w:rsid w:val="00F52AF9"/>
    <w:rsid w:val="00F53363"/>
    <w:rsid w:val="00F54CA7"/>
    <w:rsid w:val="00F55333"/>
    <w:rsid w:val="00F55A7F"/>
    <w:rsid w:val="00F56981"/>
    <w:rsid w:val="00F56EA3"/>
    <w:rsid w:val="00F57187"/>
    <w:rsid w:val="00F60313"/>
    <w:rsid w:val="00F61277"/>
    <w:rsid w:val="00F6252E"/>
    <w:rsid w:val="00F65763"/>
    <w:rsid w:val="00F65C77"/>
    <w:rsid w:val="00F66092"/>
    <w:rsid w:val="00F6620C"/>
    <w:rsid w:val="00F7195A"/>
    <w:rsid w:val="00F71B50"/>
    <w:rsid w:val="00F71C10"/>
    <w:rsid w:val="00F74022"/>
    <w:rsid w:val="00F761DD"/>
    <w:rsid w:val="00F765F7"/>
    <w:rsid w:val="00F76798"/>
    <w:rsid w:val="00F77A84"/>
    <w:rsid w:val="00F80853"/>
    <w:rsid w:val="00F80953"/>
    <w:rsid w:val="00F81887"/>
    <w:rsid w:val="00F82328"/>
    <w:rsid w:val="00F8238D"/>
    <w:rsid w:val="00F836DC"/>
    <w:rsid w:val="00F83CB1"/>
    <w:rsid w:val="00F84B76"/>
    <w:rsid w:val="00F85656"/>
    <w:rsid w:val="00F85FC3"/>
    <w:rsid w:val="00F869C6"/>
    <w:rsid w:val="00F86EC4"/>
    <w:rsid w:val="00F87996"/>
    <w:rsid w:val="00F87B1D"/>
    <w:rsid w:val="00F90039"/>
    <w:rsid w:val="00F923E4"/>
    <w:rsid w:val="00F93EF9"/>
    <w:rsid w:val="00F94163"/>
    <w:rsid w:val="00F950CA"/>
    <w:rsid w:val="00F953A8"/>
    <w:rsid w:val="00F95718"/>
    <w:rsid w:val="00F958B6"/>
    <w:rsid w:val="00F96815"/>
    <w:rsid w:val="00F96D76"/>
    <w:rsid w:val="00FA0BC5"/>
    <w:rsid w:val="00FA0CEC"/>
    <w:rsid w:val="00FA20EB"/>
    <w:rsid w:val="00FA2947"/>
    <w:rsid w:val="00FA339F"/>
    <w:rsid w:val="00FA3452"/>
    <w:rsid w:val="00FA545F"/>
    <w:rsid w:val="00FA55EB"/>
    <w:rsid w:val="00FA6948"/>
    <w:rsid w:val="00FA7513"/>
    <w:rsid w:val="00FB0529"/>
    <w:rsid w:val="00FB3F05"/>
    <w:rsid w:val="00FB4E85"/>
    <w:rsid w:val="00FB5CE1"/>
    <w:rsid w:val="00FB5EF4"/>
    <w:rsid w:val="00FB67AA"/>
    <w:rsid w:val="00FB6917"/>
    <w:rsid w:val="00FB785D"/>
    <w:rsid w:val="00FC036C"/>
    <w:rsid w:val="00FC0952"/>
    <w:rsid w:val="00FC0C4D"/>
    <w:rsid w:val="00FC212B"/>
    <w:rsid w:val="00FC2463"/>
    <w:rsid w:val="00FC3FBC"/>
    <w:rsid w:val="00FC3FE9"/>
    <w:rsid w:val="00FC44CC"/>
    <w:rsid w:val="00FC4B26"/>
    <w:rsid w:val="00FC5A86"/>
    <w:rsid w:val="00FC7144"/>
    <w:rsid w:val="00FC754C"/>
    <w:rsid w:val="00FC7C78"/>
    <w:rsid w:val="00FD077D"/>
    <w:rsid w:val="00FD16B9"/>
    <w:rsid w:val="00FD1B5C"/>
    <w:rsid w:val="00FD2D82"/>
    <w:rsid w:val="00FD4DA1"/>
    <w:rsid w:val="00FD70B2"/>
    <w:rsid w:val="00FD719A"/>
    <w:rsid w:val="00FD74BA"/>
    <w:rsid w:val="00FD7FC4"/>
    <w:rsid w:val="00FE1782"/>
    <w:rsid w:val="00FE1C46"/>
    <w:rsid w:val="00FE2328"/>
    <w:rsid w:val="00FE3378"/>
    <w:rsid w:val="00FE33AA"/>
    <w:rsid w:val="00FE59CA"/>
    <w:rsid w:val="00FE6CCC"/>
    <w:rsid w:val="00FE74E1"/>
    <w:rsid w:val="00FE7EF5"/>
    <w:rsid w:val="00FF2516"/>
    <w:rsid w:val="00FF3058"/>
    <w:rsid w:val="00FF3C44"/>
    <w:rsid w:val="00FF4D44"/>
    <w:rsid w:val="00FF4ED7"/>
    <w:rsid w:val="00FF5802"/>
    <w:rsid w:val="00FF5F9D"/>
    <w:rsid w:val="00FF664F"/>
    <w:rsid w:val="6647F1E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B793D1"/>
  <w15:chartTrackingRefBased/>
  <w15:docId w15:val="{C9166915-5C19-4041-8D1A-F89085FF8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18"/>
        <w:szCs w:val="18"/>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10" w:unhideWhenUsed="1"/>
    <w:lsdException w:name="endnote text" w:semiHidden="1" w:uiPriority="1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CC4"/>
    <w:pPr>
      <w:spacing w:before="60" w:after="60"/>
    </w:pPr>
    <w:rPr>
      <w:rFonts w:ascii="Arial" w:hAnsi="Arial"/>
      <w:spacing w:val="-4"/>
    </w:rPr>
  </w:style>
  <w:style w:type="paragraph" w:styleId="Heading1">
    <w:name w:val="heading 1"/>
    <w:aliases w:val="Chapter Heading"/>
    <w:basedOn w:val="Title"/>
    <w:next w:val="Normal"/>
    <w:link w:val="Heading1Char"/>
    <w:uiPriority w:val="9"/>
    <w:qFormat/>
    <w:rsid w:val="00074303"/>
    <w:pPr>
      <w:numPr>
        <w:numId w:val="4"/>
      </w:numPr>
      <w:outlineLvl w:val="0"/>
    </w:pPr>
  </w:style>
  <w:style w:type="paragraph" w:styleId="Heading2">
    <w:name w:val="heading 2"/>
    <w:aliases w:val="Section Heading 1.1"/>
    <w:basedOn w:val="Normal"/>
    <w:next w:val="Normal"/>
    <w:link w:val="Heading2Char"/>
    <w:uiPriority w:val="9"/>
    <w:unhideWhenUsed/>
    <w:qFormat/>
    <w:rsid w:val="0037237F"/>
    <w:pPr>
      <w:keepNext/>
      <w:keepLines/>
      <w:numPr>
        <w:ilvl w:val="1"/>
        <w:numId w:val="4"/>
      </w:numPr>
      <w:shd w:val="clear" w:color="auto" w:fill="BFBFBF" w:themeFill="background1" w:themeFillShade="BF"/>
      <w:spacing w:before="120" w:after="0"/>
      <w:outlineLvl w:val="1"/>
    </w:pPr>
    <w:rPr>
      <w:rFonts w:eastAsiaTheme="majorEastAsia" w:cstheme="majorBidi"/>
      <w:b/>
      <w:caps/>
      <w:sz w:val="22"/>
    </w:rPr>
  </w:style>
  <w:style w:type="paragraph" w:styleId="Heading3">
    <w:name w:val="heading 3"/>
    <w:aliases w:val="Section Heading 1.1.1"/>
    <w:basedOn w:val="Normal"/>
    <w:next w:val="Normal"/>
    <w:link w:val="Heading3Char"/>
    <w:uiPriority w:val="9"/>
    <w:unhideWhenUsed/>
    <w:qFormat/>
    <w:rsid w:val="006B322F"/>
    <w:pPr>
      <w:keepNext/>
      <w:keepLines/>
      <w:numPr>
        <w:ilvl w:val="2"/>
        <w:numId w:val="4"/>
      </w:numPr>
      <w:shd w:val="clear" w:color="auto" w:fill="BFBFBF" w:themeFill="background1" w:themeFillShade="BF"/>
      <w:spacing w:before="120" w:after="0"/>
      <w:outlineLvl w:val="2"/>
    </w:pPr>
    <w:rPr>
      <w:rFonts w:eastAsiaTheme="majorEastAsia" w:cstheme="majorBidi"/>
      <w:b/>
      <w:caps/>
      <w:sz w:val="22"/>
    </w:rPr>
  </w:style>
  <w:style w:type="paragraph" w:styleId="Heading4">
    <w:name w:val="heading 4"/>
    <w:aliases w:val="Section Heading 1.1.1.1"/>
    <w:basedOn w:val="Normal"/>
    <w:next w:val="Normal"/>
    <w:link w:val="Heading4Char"/>
    <w:uiPriority w:val="9"/>
    <w:unhideWhenUsed/>
    <w:qFormat/>
    <w:rsid w:val="0037237F"/>
    <w:pPr>
      <w:keepNext/>
      <w:keepLines/>
      <w:numPr>
        <w:ilvl w:val="3"/>
        <w:numId w:val="4"/>
      </w:numPr>
      <w:shd w:val="clear" w:color="auto" w:fill="BFBFBF" w:themeFill="background1" w:themeFillShade="BF"/>
      <w:spacing w:before="120" w:after="0"/>
      <w:outlineLvl w:val="3"/>
    </w:pPr>
    <w:rPr>
      <w:rFonts w:eastAsiaTheme="majorEastAsia" w:cstheme="majorBidi"/>
      <w:b/>
      <w:iCs/>
      <w:caps/>
      <w:sz w:val="22"/>
    </w:rPr>
  </w:style>
  <w:style w:type="paragraph" w:styleId="Heading5">
    <w:name w:val="heading 5"/>
    <w:aliases w:val="Subheading"/>
    <w:basedOn w:val="Normal"/>
    <w:next w:val="Normal"/>
    <w:link w:val="Heading5Char"/>
    <w:uiPriority w:val="9"/>
    <w:unhideWhenUsed/>
    <w:qFormat/>
    <w:rsid w:val="0037237F"/>
    <w:pPr>
      <w:keepNext/>
      <w:spacing w:before="120" w:after="0"/>
      <w:outlineLvl w:val="4"/>
    </w:pPr>
    <w:rPr>
      <w:b/>
      <w:bCs/>
      <w:caps/>
      <w:sz w:val="20"/>
    </w:rPr>
  </w:style>
  <w:style w:type="paragraph" w:styleId="Heading6">
    <w:name w:val="heading 6"/>
    <w:basedOn w:val="Normal"/>
    <w:next w:val="Normal"/>
    <w:link w:val="Heading6Char"/>
    <w:uiPriority w:val="9"/>
    <w:unhideWhenUsed/>
    <w:qFormat/>
    <w:rsid w:val="0037237F"/>
    <w:pPr>
      <w:keepNext/>
      <w:spacing w:before="120" w:after="0"/>
      <w:outlineLvl w:val="5"/>
    </w:pPr>
    <w:rPr>
      <w:b/>
      <w:bCs/>
    </w:rPr>
  </w:style>
  <w:style w:type="paragraph" w:styleId="Heading7">
    <w:name w:val="heading 7"/>
    <w:basedOn w:val="Normal"/>
    <w:next w:val="Normal"/>
    <w:link w:val="Heading7Char"/>
    <w:uiPriority w:val="9"/>
    <w:unhideWhenUsed/>
    <w:qFormat/>
    <w:rsid w:val="0037237F"/>
    <w:pPr>
      <w:keepNext/>
      <w:spacing w:after="0"/>
      <w:outlineLvl w:val="6"/>
    </w:pPr>
    <w:rPr>
      <w:u w:val="single"/>
    </w:rPr>
  </w:style>
  <w:style w:type="paragraph" w:styleId="Heading8">
    <w:name w:val="heading 8"/>
    <w:basedOn w:val="Normal"/>
    <w:next w:val="Normal"/>
    <w:link w:val="Heading8Char"/>
    <w:uiPriority w:val="9"/>
    <w:unhideWhenUsed/>
    <w:rsid w:val="0037237F"/>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7237F"/>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uiPriority w:val="9"/>
    <w:rsid w:val="00074303"/>
    <w:rPr>
      <w:rFonts w:ascii="Arial Black" w:eastAsiaTheme="majorEastAsia" w:hAnsi="Arial Black" w:cstheme="majorBidi"/>
      <w:spacing w:val="-10"/>
      <w:kern w:val="28"/>
      <w:sz w:val="32"/>
      <w:szCs w:val="56"/>
    </w:rPr>
  </w:style>
  <w:style w:type="character" w:customStyle="1" w:styleId="Heading2Char">
    <w:name w:val="Heading 2 Char"/>
    <w:aliases w:val="Section Heading 1.1 Char"/>
    <w:basedOn w:val="DefaultParagraphFont"/>
    <w:link w:val="Heading2"/>
    <w:uiPriority w:val="9"/>
    <w:rsid w:val="0037237F"/>
    <w:rPr>
      <w:rFonts w:ascii="Arial" w:eastAsiaTheme="majorEastAsia" w:hAnsi="Arial" w:cstheme="majorBidi"/>
      <w:b/>
      <w:caps/>
      <w:spacing w:val="-4"/>
      <w:sz w:val="22"/>
      <w:shd w:val="clear" w:color="auto" w:fill="BFBFBF" w:themeFill="background1" w:themeFillShade="BF"/>
    </w:rPr>
  </w:style>
  <w:style w:type="character" w:customStyle="1" w:styleId="Heading3Char">
    <w:name w:val="Heading 3 Char"/>
    <w:aliases w:val="Section Heading 1.1.1 Char"/>
    <w:basedOn w:val="DefaultParagraphFont"/>
    <w:link w:val="Heading3"/>
    <w:uiPriority w:val="9"/>
    <w:rsid w:val="006B322F"/>
    <w:rPr>
      <w:rFonts w:ascii="Arial" w:eastAsiaTheme="majorEastAsia" w:hAnsi="Arial" w:cstheme="majorBidi"/>
      <w:b/>
      <w:caps/>
      <w:spacing w:val="-4"/>
      <w:sz w:val="22"/>
      <w:shd w:val="clear" w:color="auto" w:fill="BFBFBF" w:themeFill="background1" w:themeFillShade="BF"/>
    </w:rPr>
  </w:style>
  <w:style w:type="character" w:customStyle="1" w:styleId="Heading4Char">
    <w:name w:val="Heading 4 Char"/>
    <w:aliases w:val="Section Heading 1.1.1.1 Char"/>
    <w:basedOn w:val="DefaultParagraphFont"/>
    <w:link w:val="Heading4"/>
    <w:uiPriority w:val="9"/>
    <w:rsid w:val="0037237F"/>
    <w:rPr>
      <w:rFonts w:ascii="Arial" w:eastAsiaTheme="majorEastAsia" w:hAnsi="Arial" w:cstheme="majorBidi"/>
      <w:b/>
      <w:iCs/>
      <w:caps/>
      <w:spacing w:val="-4"/>
      <w:sz w:val="22"/>
      <w:shd w:val="clear" w:color="auto" w:fill="BFBFBF" w:themeFill="background1" w:themeFillShade="BF"/>
    </w:rPr>
  </w:style>
  <w:style w:type="character" w:customStyle="1" w:styleId="Heading5Char">
    <w:name w:val="Heading 5 Char"/>
    <w:aliases w:val="Subheading Char"/>
    <w:basedOn w:val="DefaultParagraphFont"/>
    <w:link w:val="Heading5"/>
    <w:uiPriority w:val="9"/>
    <w:rsid w:val="0037237F"/>
    <w:rPr>
      <w:rFonts w:ascii="Arial" w:hAnsi="Arial"/>
      <w:b/>
      <w:bCs/>
      <w:caps/>
      <w:spacing w:val="-4"/>
      <w:sz w:val="20"/>
      <w:lang w:val="en-GB"/>
    </w:rPr>
  </w:style>
  <w:style w:type="character" w:customStyle="1" w:styleId="Heading6Char">
    <w:name w:val="Heading 6 Char"/>
    <w:basedOn w:val="DefaultParagraphFont"/>
    <w:link w:val="Heading6"/>
    <w:uiPriority w:val="9"/>
    <w:rsid w:val="0037237F"/>
    <w:rPr>
      <w:rFonts w:ascii="Arial" w:hAnsi="Arial"/>
      <w:b/>
      <w:bCs/>
      <w:spacing w:val="-4"/>
      <w:lang w:val="en-GB"/>
    </w:rPr>
  </w:style>
  <w:style w:type="character" w:customStyle="1" w:styleId="Heading7Char">
    <w:name w:val="Heading 7 Char"/>
    <w:basedOn w:val="DefaultParagraphFont"/>
    <w:link w:val="Heading7"/>
    <w:uiPriority w:val="9"/>
    <w:rsid w:val="0037237F"/>
    <w:rPr>
      <w:rFonts w:ascii="Arial" w:hAnsi="Arial"/>
      <w:spacing w:val="-4"/>
      <w:u w:val="single"/>
      <w:lang w:val="en-GB"/>
    </w:rPr>
  </w:style>
  <w:style w:type="character" w:customStyle="1" w:styleId="Heading8Char">
    <w:name w:val="Heading 8 Char"/>
    <w:basedOn w:val="DefaultParagraphFont"/>
    <w:link w:val="Heading8"/>
    <w:uiPriority w:val="9"/>
    <w:rsid w:val="0037237F"/>
    <w:rPr>
      <w:rFonts w:asciiTheme="majorHAnsi" w:eastAsiaTheme="majorEastAsia" w:hAnsiTheme="majorHAnsi" w:cstheme="majorBidi"/>
      <w:color w:val="272727" w:themeColor="text1" w:themeTint="D8"/>
      <w:spacing w:val="-4"/>
      <w:sz w:val="21"/>
      <w:szCs w:val="21"/>
    </w:rPr>
  </w:style>
  <w:style w:type="character" w:customStyle="1" w:styleId="Heading9Char">
    <w:name w:val="Heading 9 Char"/>
    <w:basedOn w:val="DefaultParagraphFont"/>
    <w:link w:val="Heading9"/>
    <w:uiPriority w:val="9"/>
    <w:rsid w:val="0037237F"/>
    <w:rPr>
      <w:rFonts w:asciiTheme="majorHAnsi" w:eastAsiaTheme="majorEastAsia" w:hAnsiTheme="majorHAnsi" w:cstheme="majorBidi"/>
      <w:i/>
      <w:iCs/>
      <w:color w:val="272727" w:themeColor="text1" w:themeTint="D8"/>
      <w:spacing w:val="-4"/>
      <w:sz w:val="21"/>
      <w:szCs w:val="21"/>
    </w:rPr>
  </w:style>
  <w:style w:type="paragraph" w:styleId="NoSpacing">
    <w:name w:val="No Spacing"/>
    <w:uiPriority w:val="1"/>
    <w:qFormat/>
    <w:rsid w:val="0037237F"/>
    <w:rPr>
      <w:rFonts w:ascii="Arial" w:hAnsi="Arial"/>
      <w:spacing w:val="-4"/>
    </w:rPr>
  </w:style>
  <w:style w:type="paragraph" w:styleId="Header">
    <w:name w:val="header"/>
    <w:basedOn w:val="Normal"/>
    <w:link w:val="HeaderChar"/>
    <w:uiPriority w:val="99"/>
    <w:rsid w:val="0037237F"/>
    <w:pPr>
      <w:pBdr>
        <w:bottom w:val="single" w:sz="18" w:space="1" w:color="auto"/>
      </w:pBdr>
      <w:tabs>
        <w:tab w:val="center" w:pos="3261"/>
        <w:tab w:val="right" w:pos="6663"/>
      </w:tabs>
      <w:spacing w:before="0" w:after="0"/>
    </w:pPr>
    <w:rPr>
      <w:b/>
      <w:caps/>
      <w:sz w:val="16"/>
    </w:rPr>
  </w:style>
  <w:style w:type="character" w:customStyle="1" w:styleId="HeaderChar">
    <w:name w:val="Header Char"/>
    <w:basedOn w:val="DefaultParagraphFont"/>
    <w:link w:val="Header"/>
    <w:uiPriority w:val="99"/>
    <w:rsid w:val="00943AE9"/>
    <w:rPr>
      <w:rFonts w:ascii="Arial" w:hAnsi="Arial"/>
      <w:b/>
      <w:caps/>
      <w:spacing w:val="-4"/>
      <w:sz w:val="16"/>
    </w:rPr>
  </w:style>
  <w:style w:type="paragraph" w:styleId="Footer">
    <w:name w:val="footer"/>
    <w:basedOn w:val="Normal"/>
    <w:link w:val="FooterChar"/>
    <w:uiPriority w:val="99"/>
    <w:unhideWhenUsed/>
    <w:rsid w:val="0037237F"/>
    <w:pPr>
      <w:pBdr>
        <w:top w:val="single" w:sz="4" w:space="1" w:color="auto"/>
      </w:pBdr>
      <w:tabs>
        <w:tab w:val="right" w:pos="6663"/>
      </w:tabs>
      <w:spacing w:before="0" w:after="0"/>
    </w:pPr>
  </w:style>
  <w:style w:type="character" w:customStyle="1" w:styleId="FooterChar">
    <w:name w:val="Footer Char"/>
    <w:basedOn w:val="DefaultParagraphFont"/>
    <w:link w:val="Footer"/>
    <w:uiPriority w:val="99"/>
    <w:rsid w:val="0037237F"/>
    <w:rPr>
      <w:rFonts w:ascii="Arial" w:hAnsi="Arial"/>
      <w:spacing w:val="-4"/>
    </w:rPr>
  </w:style>
  <w:style w:type="paragraph" w:styleId="Title">
    <w:name w:val="Title"/>
    <w:basedOn w:val="Normal"/>
    <w:next w:val="Normal"/>
    <w:link w:val="TitleChar"/>
    <w:uiPriority w:val="10"/>
    <w:unhideWhenUsed/>
    <w:qFormat/>
    <w:rsid w:val="0037237F"/>
    <w:pPr>
      <w:spacing w:before="0" w:after="0"/>
      <w:contextualSpacing/>
    </w:pPr>
    <w:rPr>
      <w:rFonts w:ascii="Arial Black" w:eastAsiaTheme="majorEastAsia" w:hAnsi="Arial Black" w:cstheme="majorBidi"/>
      <w:spacing w:val="-10"/>
      <w:kern w:val="28"/>
      <w:sz w:val="32"/>
      <w:szCs w:val="56"/>
    </w:rPr>
  </w:style>
  <w:style w:type="character" w:customStyle="1" w:styleId="TitleChar">
    <w:name w:val="Title Char"/>
    <w:basedOn w:val="DefaultParagraphFont"/>
    <w:link w:val="Title"/>
    <w:uiPriority w:val="10"/>
    <w:rsid w:val="0037237F"/>
    <w:rPr>
      <w:rFonts w:ascii="Arial Black" w:eastAsiaTheme="majorEastAsia" w:hAnsi="Arial Black" w:cstheme="majorBidi"/>
      <w:spacing w:val="-10"/>
      <w:kern w:val="28"/>
      <w:sz w:val="32"/>
      <w:szCs w:val="56"/>
      <w:lang w:val="en-GB"/>
    </w:rPr>
  </w:style>
  <w:style w:type="character" w:styleId="Hyperlink">
    <w:name w:val="Hyperlink"/>
    <w:basedOn w:val="DefaultParagraphFont"/>
    <w:uiPriority w:val="99"/>
    <w:rsid w:val="0037237F"/>
    <w:rPr>
      <w:color w:val="0563C1" w:themeColor="hyperlink"/>
      <w:u w:val="single"/>
    </w:rPr>
  </w:style>
  <w:style w:type="paragraph" w:styleId="TOC1">
    <w:name w:val="toc 1"/>
    <w:basedOn w:val="Normal"/>
    <w:next w:val="Normal"/>
    <w:autoRedefine/>
    <w:uiPriority w:val="39"/>
    <w:unhideWhenUsed/>
    <w:rsid w:val="0037237F"/>
    <w:pPr>
      <w:tabs>
        <w:tab w:val="left" w:pos="1276"/>
        <w:tab w:val="right" w:pos="6113"/>
      </w:tabs>
      <w:spacing w:after="100"/>
    </w:pPr>
    <w:rPr>
      <w:rFonts w:eastAsiaTheme="minorEastAsia" w:cs="Arial"/>
      <w:b/>
      <w:bCs/>
      <w:caps/>
      <w:noProof/>
      <w:sz w:val="16"/>
      <w:szCs w:val="16"/>
      <w:lang w:eastAsia="en-ZA"/>
    </w:rPr>
  </w:style>
  <w:style w:type="paragraph" w:styleId="TOC2">
    <w:name w:val="toc 2"/>
    <w:basedOn w:val="Normal"/>
    <w:next w:val="Normal"/>
    <w:autoRedefine/>
    <w:uiPriority w:val="39"/>
    <w:unhideWhenUsed/>
    <w:rsid w:val="0037237F"/>
    <w:pPr>
      <w:tabs>
        <w:tab w:val="left" w:pos="709"/>
        <w:tab w:val="right" w:pos="6113"/>
      </w:tabs>
      <w:spacing w:after="100"/>
    </w:pPr>
    <w:rPr>
      <w:noProof/>
      <w:sz w:val="16"/>
    </w:rPr>
  </w:style>
  <w:style w:type="paragraph" w:styleId="TOC3">
    <w:name w:val="toc 3"/>
    <w:basedOn w:val="Normal"/>
    <w:next w:val="Normal"/>
    <w:autoRedefine/>
    <w:uiPriority w:val="39"/>
    <w:unhideWhenUsed/>
    <w:rsid w:val="0037237F"/>
    <w:pPr>
      <w:tabs>
        <w:tab w:val="left" w:pos="1418"/>
        <w:tab w:val="right" w:pos="6113"/>
      </w:tabs>
      <w:spacing w:after="100"/>
      <w:ind w:left="709"/>
    </w:pPr>
    <w:rPr>
      <w:noProof/>
      <w:sz w:val="16"/>
    </w:rPr>
  </w:style>
  <w:style w:type="table" w:styleId="TableGrid">
    <w:name w:val="Table Grid"/>
    <w:basedOn w:val="TableNormal"/>
    <w:uiPriority w:val="59"/>
    <w:rsid w:val="003723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7237F"/>
    <w:pPr>
      <w:keepNext/>
      <w:keepLines/>
      <w:numPr>
        <w:numId w:val="0"/>
      </w:numPr>
      <w:pBdr>
        <w:bottom w:val="single" w:sz="18" w:space="1" w:color="auto"/>
      </w:pBdr>
      <w:spacing w:before="240" w:after="240"/>
      <w:contextualSpacing w:val="0"/>
      <w:jc w:val="center"/>
      <w:outlineLvl w:val="9"/>
    </w:pPr>
    <w:rPr>
      <w:rFonts w:ascii="Arial" w:hAnsi="Arial" w:cs="Arial"/>
      <w:b/>
      <w:bCs/>
      <w:caps/>
      <w:spacing w:val="0"/>
      <w:kern w:val="0"/>
      <w:sz w:val="28"/>
      <w:szCs w:val="32"/>
      <w:lang w:val="en-US"/>
    </w:rPr>
  </w:style>
  <w:style w:type="table" w:customStyle="1" w:styleId="SamplePHCTable">
    <w:name w:val="Sample PHC Table"/>
    <w:basedOn w:val="TableGrid"/>
    <w:uiPriority w:val="99"/>
    <w:rsid w:val="0037237F"/>
    <w:pPr>
      <w:jc w:val="center"/>
    </w:pPr>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tblStylePr w:type="firstRow">
      <w:pPr>
        <w:wordWrap/>
        <w:spacing w:beforeLines="0" w:before="0" w:beforeAutospacing="0" w:afterLines="0" w:after="0" w:afterAutospacing="0"/>
        <w:jc w:val="left"/>
      </w:pPr>
      <w:rPr>
        <w:rFonts w:ascii="Arial" w:hAnsi="Arial"/>
        <w:b/>
        <w:sz w:val="16"/>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hemeFill="background1" w:themeFillShade="D9"/>
        <w:vAlign w:val="center"/>
      </w:tcPr>
    </w:tblStylePr>
    <w:tblStylePr w:type="lastRow">
      <w:pPr>
        <w:wordWrap/>
        <w:jc w:val="left"/>
      </w:pPr>
      <w:rPr>
        <w:rFonts w:ascii="Arial" w:hAnsi="Arial"/>
        <w:b w:val="0"/>
        <w:sz w:val="12"/>
      </w:rPr>
      <w:tblPr/>
      <w:tcPr>
        <w:tcBorders>
          <w:top w:val="nil"/>
          <w:left w:val="nil"/>
          <w:bottom w:val="nil"/>
          <w:right w:val="nil"/>
          <w:insideH w:val="nil"/>
          <w:insideV w:val="nil"/>
          <w:tl2br w:val="nil"/>
          <w:tr2bl w:val="nil"/>
        </w:tcBorders>
        <w:shd w:val="clear" w:color="auto" w:fill="auto"/>
      </w:tcPr>
    </w:tblStylePr>
  </w:style>
  <w:style w:type="table" w:styleId="LightList-Accent1">
    <w:name w:val="Light List Accent 1"/>
    <w:basedOn w:val="TableNormal"/>
    <w:uiPriority w:val="61"/>
    <w:unhideWhenUsed/>
    <w:rsid w:val="0037237F"/>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BalloonText">
    <w:name w:val="Balloon Text"/>
    <w:basedOn w:val="Normal"/>
    <w:link w:val="BalloonTextChar"/>
    <w:uiPriority w:val="99"/>
    <w:semiHidden/>
    <w:unhideWhenUsed/>
    <w:rsid w:val="0037237F"/>
    <w:pPr>
      <w:spacing w:before="0" w:after="0"/>
    </w:pPr>
    <w:rPr>
      <w:rFonts w:ascii="Segoe UI" w:hAnsi="Segoe UI" w:cs="Segoe UI"/>
    </w:rPr>
  </w:style>
  <w:style w:type="character" w:customStyle="1" w:styleId="BalloonTextChar">
    <w:name w:val="Balloon Text Char"/>
    <w:basedOn w:val="DefaultParagraphFont"/>
    <w:link w:val="BalloonText"/>
    <w:uiPriority w:val="99"/>
    <w:semiHidden/>
    <w:rsid w:val="0037237F"/>
    <w:rPr>
      <w:rFonts w:ascii="Segoe UI" w:hAnsi="Segoe UI" w:cs="Segoe UI"/>
      <w:spacing w:val="-4"/>
      <w:lang w:val="en-GB"/>
    </w:rPr>
  </w:style>
  <w:style w:type="paragraph" w:styleId="TOC9">
    <w:name w:val="toc 9"/>
    <w:aliases w:val="CH TOC 4"/>
    <w:basedOn w:val="Normal"/>
    <w:next w:val="Normal"/>
    <w:autoRedefine/>
    <w:uiPriority w:val="39"/>
    <w:unhideWhenUsed/>
    <w:rsid w:val="00AE20DB"/>
    <w:pPr>
      <w:tabs>
        <w:tab w:val="left" w:pos="3119"/>
        <w:tab w:val="right" w:pos="6113"/>
      </w:tabs>
      <w:spacing w:before="40" w:after="40"/>
      <w:ind w:left="3118" w:hanging="992"/>
    </w:pPr>
    <w:rPr>
      <w:rFonts w:ascii="Arial Black" w:hAnsi="Arial Black"/>
      <w:noProof/>
      <w:sz w:val="20"/>
    </w:rPr>
  </w:style>
  <w:style w:type="paragraph" w:styleId="TOC8">
    <w:name w:val="toc 8"/>
    <w:aliases w:val="CH TOC 3"/>
    <w:basedOn w:val="Normal"/>
    <w:next w:val="Normal"/>
    <w:autoRedefine/>
    <w:uiPriority w:val="39"/>
    <w:unhideWhenUsed/>
    <w:rsid w:val="003366E2"/>
    <w:pPr>
      <w:tabs>
        <w:tab w:val="left" w:pos="2381"/>
        <w:tab w:val="right" w:pos="6113"/>
      </w:tabs>
      <w:spacing w:before="40" w:after="40"/>
      <w:ind w:left="2382" w:hanging="851"/>
    </w:pPr>
    <w:rPr>
      <w:rFonts w:ascii="Arial Black" w:hAnsi="Arial Black"/>
      <w:noProof/>
      <w:sz w:val="20"/>
    </w:rPr>
  </w:style>
  <w:style w:type="character" w:styleId="CommentReference">
    <w:name w:val="annotation reference"/>
    <w:basedOn w:val="DefaultParagraphFont"/>
    <w:uiPriority w:val="99"/>
    <w:unhideWhenUsed/>
    <w:rsid w:val="0037237F"/>
    <w:rPr>
      <w:sz w:val="16"/>
      <w:szCs w:val="16"/>
    </w:rPr>
  </w:style>
  <w:style w:type="paragraph" w:styleId="CommentText">
    <w:name w:val="annotation text"/>
    <w:basedOn w:val="Normal"/>
    <w:link w:val="CommentTextChar"/>
    <w:unhideWhenUsed/>
    <w:rsid w:val="0037237F"/>
    <w:rPr>
      <w:sz w:val="20"/>
      <w:szCs w:val="20"/>
    </w:rPr>
  </w:style>
  <w:style w:type="character" w:customStyle="1" w:styleId="CommentTextChar">
    <w:name w:val="Comment Text Char"/>
    <w:basedOn w:val="DefaultParagraphFont"/>
    <w:link w:val="CommentText"/>
    <w:rsid w:val="0037237F"/>
    <w:rPr>
      <w:rFonts w:ascii="Arial" w:hAnsi="Arial"/>
      <w:spacing w:val="-4"/>
      <w:sz w:val="20"/>
      <w:szCs w:val="20"/>
      <w:lang w:val="en-GB"/>
    </w:rPr>
  </w:style>
  <w:style w:type="paragraph" w:styleId="CommentSubject">
    <w:name w:val="annotation subject"/>
    <w:basedOn w:val="CommentText"/>
    <w:next w:val="CommentText"/>
    <w:link w:val="CommentSubjectChar"/>
    <w:uiPriority w:val="99"/>
    <w:semiHidden/>
    <w:unhideWhenUsed/>
    <w:rsid w:val="0037237F"/>
    <w:rPr>
      <w:b/>
      <w:bCs/>
    </w:rPr>
  </w:style>
  <w:style w:type="character" w:customStyle="1" w:styleId="CommentSubjectChar">
    <w:name w:val="Comment Subject Char"/>
    <w:basedOn w:val="CommentTextChar"/>
    <w:link w:val="CommentSubject"/>
    <w:uiPriority w:val="99"/>
    <w:semiHidden/>
    <w:rsid w:val="0037237F"/>
    <w:rPr>
      <w:rFonts w:ascii="Arial" w:hAnsi="Arial"/>
      <w:b/>
      <w:bCs/>
      <w:spacing w:val="-4"/>
      <w:sz w:val="20"/>
      <w:szCs w:val="20"/>
      <w:lang w:val="en-GB"/>
    </w:rPr>
  </w:style>
  <w:style w:type="paragraph" w:styleId="TOC7">
    <w:name w:val="toc 7"/>
    <w:aliases w:val="CH TOC 2"/>
    <w:basedOn w:val="Normal"/>
    <w:next w:val="Normal"/>
    <w:autoRedefine/>
    <w:uiPriority w:val="39"/>
    <w:unhideWhenUsed/>
    <w:rsid w:val="00315D79"/>
    <w:pPr>
      <w:tabs>
        <w:tab w:val="left" w:pos="1531"/>
        <w:tab w:val="right" w:leader="dot" w:pos="6113"/>
      </w:tabs>
      <w:spacing w:before="40" w:after="40"/>
      <w:ind w:left="1531" w:hanging="680"/>
    </w:pPr>
    <w:rPr>
      <w:rFonts w:ascii="Arial Black" w:hAnsi="Arial Black"/>
      <w:noProof/>
      <w:spacing w:val="-6"/>
      <w:sz w:val="20"/>
      <w:szCs w:val="20"/>
    </w:rPr>
  </w:style>
  <w:style w:type="paragraph" w:customStyle="1" w:styleId="Heading1A">
    <w:name w:val="Heading 1A"/>
    <w:aliases w:val="Chapter Sub-Heading"/>
    <w:basedOn w:val="Heading2"/>
    <w:next w:val="Normal"/>
    <w:uiPriority w:val="9"/>
    <w:qFormat/>
    <w:rsid w:val="0037237F"/>
    <w:pPr>
      <w:pageBreakBefore/>
      <w:numPr>
        <w:ilvl w:val="0"/>
        <w:numId w:val="0"/>
      </w:numPr>
      <w:ind w:left="578" w:hanging="578"/>
      <w:jc w:val="center"/>
    </w:pPr>
    <w:rPr>
      <w:sz w:val="24"/>
      <w:szCs w:val="24"/>
    </w:rPr>
  </w:style>
  <w:style w:type="paragraph" w:styleId="TOC6">
    <w:name w:val="toc 6"/>
    <w:aliases w:val="CH TOC 1A"/>
    <w:basedOn w:val="Normal"/>
    <w:next w:val="Normal"/>
    <w:autoRedefine/>
    <w:uiPriority w:val="39"/>
    <w:unhideWhenUsed/>
    <w:rsid w:val="0037237F"/>
    <w:pPr>
      <w:tabs>
        <w:tab w:val="right" w:leader="dot" w:pos="6113"/>
      </w:tabs>
      <w:spacing w:after="100"/>
    </w:pPr>
    <w:rPr>
      <w:rFonts w:ascii="Arial Black" w:hAnsi="Arial Black"/>
      <w:noProof/>
      <w:sz w:val="24"/>
      <w:szCs w:val="24"/>
    </w:rPr>
  </w:style>
  <w:style w:type="paragraph" w:styleId="TOC4">
    <w:name w:val="toc 4"/>
    <w:basedOn w:val="Normal"/>
    <w:next w:val="Normal"/>
    <w:autoRedefine/>
    <w:uiPriority w:val="39"/>
    <w:unhideWhenUsed/>
    <w:rsid w:val="0037237F"/>
    <w:pPr>
      <w:tabs>
        <w:tab w:val="left" w:pos="2268"/>
        <w:tab w:val="right" w:pos="6113"/>
      </w:tabs>
      <w:spacing w:after="100"/>
      <w:ind w:left="2268" w:hanging="850"/>
    </w:pPr>
    <w:rPr>
      <w:noProof/>
      <w:sz w:val="16"/>
      <w:szCs w:val="16"/>
    </w:rPr>
  </w:style>
  <w:style w:type="paragraph" w:styleId="ListParagraph">
    <w:name w:val="List Paragraph"/>
    <w:aliases w:val="Table text"/>
    <w:basedOn w:val="NoSpacing"/>
    <w:link w:val="ListParagraphChar"/>
    <w:uiPriority w:val="2"/>
    <w:qFormat/>
    <w:rsid w:val="0037237F"/>
    <w:pPr>
      <w:numPr>
        <w:numId w:val="5"/>
      </w:numPr>
      <w:contextualSpacing/>
    </w:pPr>
  </w:style>
  <w:style w:type="paragraph" w:customStyle="1" w:styleId="BulletTherapeuticclass">
    <w:name w:val="Bullet Therapeutic class"/>
    <w:basedOn w:val="NoSpacing"/>
    <w:next w:val="Normal"/>
    <w:uiPriority w:val="4"/>
    <w:qFormat/>
    <w:rsid w:val="0037237F"/>
    <w:pPr>
      <w:numPr>
        <w:numId w:val="1"/>
      </w:numPr>
    </w:pPr>
  </w:style>
  <w:style w:type="character" w:customStyle="1" w:styleId="UnresolvedMention1">
    <w:name w:val="Unresolved Mention1"/>
    <w:basedOn w:val="DefaultParagraphFont"/>
    <w:uiPriority w:val="99"/>
    <w:semiHidden/>
    <w:unhideWhenUsed/>
    <w:rsid w:val="0037237F"/>
    <w:rPr>
      <w:color w:val="605E5C"/>
      <w:shd w:val="clear" w:color="auto" w:fill="E1DFDD"/>
    </w:rPr>
  </w:style>
  <w:style w:type="character" w:styleId="FollowedHyperlink">
    <w:name w:val="FollowedHyperlink"/>
    <w:basedOn w:val="DefaultParagraphFont"/>
    <w:uiPriority w:val="99"/>
    <w:semiHidden/>
    <w:unhideWhenUsed/>
    <w:rsid w:val="0037237F"/>
    <w:rPr>
      <w:color w:val="954F72" w:themeColor="followedHyperlink"/>
      <w:u w:val="single"/>
    </w:rPr>
  </w:style>
  <w:style w:type="paragraph" w:customStyle="1" w:styleId="BulletMedicine">
    <w:name w:val="Bullet Medicine"/>
    <w:basedOn w:val="BulletTherapeuticclass"/>
    <w:next w:val="Normal"/>
    <w:uiPriority w:val="5"/>
    <w:qFormat/>
    <w:rsid w:val="005C4479"/>
    <w:pPr>
      <w:numPr>
        <w:numId w:val="6"/>
      </w:numPr>
    </w:pPr>
  </w:style>
  <w:style w:type="paragraph" w:customStyle="1" w:styleId="BulletDirectionsInstructions">
    <w:name w:val="Bullet Directions/Instructions"/>
    <w:basedOn w:val="BulletTherapeuticclass"/>
    <w:next w:val="Normal"/>
    <w:uiPriority w:val="6"/>
    <w:qFormat/>
    <w:rsid w:val="0037237F"/>
    <w:pPr>
      <w:numPr>
        <w:numId w:val="2"/>
      </w:numPr>
    </w:pPr>
  </w:style>
  <w:style w:type="paragraph" w:customStyle="1" w:styleId="ICD10">
    <w:name w:val="ICD 10"/>
    <w:basedOn w:val="NoSpacing"/>
    <w:next w:val="Normal"/>
    <w:uiPriority w:val="9"/>
    <w:qFormat/>
    <w:rsid w:val="0037237F"/>
    <w:rPr>
      <w:sz w:val="16"/>
    </w:rPr>
  </w:style>
  <w:style w:type="paragraph" w:styleId="EndnoteText">
    <w:name w:val="endnote text"/>
    <w:basedOn w:val="Normal"/>
    <w:link w:val="EndnoteTextChar"/>
    <w:uiPriority w:val="10"/>
    <w:rsid w:val="0037237F"/>
    <w:rPr>
      <w:sz w:val="12"/>
    </w:rPr>
  </w:style>
  <w:style w:type="paragraph" w:customStyle="1" w:styleId="TableText">
    <w:name w:val="Table Text"/>
    <w:basedOn w:val="NoSpacing"/>
    <w:uiPriority w:val="3"/>
    <w:qFormat/>
    <w:rsid w:val="0037237F"/>
    <w:rPr>
      <w:sz w:val="16"/>
      <w:szCs w:val="16"/>
    </w:rPr>
  </w:style>
  <w:style w:type="character" w:customStyle="1" w:styleId="EndnoteTextChar">
    <w:name w:val="Endnote Text Char"/>
    <w:basedOn w:val="DefaultParagraphFont"/>
    <w:link w:val="EndnoteText"/>
    <w:uiPriority w:val="10"/>
    <w:rsid w:val="0037237F"/>
    <w:rPr>
      <w:rFonts w:ascii="Arial" w:hAnsi="Arial"/>
      <w:spacing w:val="-4"/>
      <w:sz w:val="12"/>
      <w:lang w:val="en-GB"/>
    </w:rPr>
  </w:style>
  <w:style w:type="character" w:styleId="EndnoteReference">
    <w:name w:val="endnote reference"/>
    <w:basedOn w:val="DefaultParagraphFont"/>
    <w:uiPriority w:val="10"/>
    <w:rsid w:val="0037237F"/>
    <w:rPr>
      <w:sz w:val="12"/>
      <w:szCs w:val="12"/>
      <w:vertAlign w:val="superscript"/>
    </w:rPr>
  </w:style>
  <w:style w:type="character" w:styleId="Emphasis">
    <w:name w:val="Emphasis"/>
    <w:basedOn w:val="DefaultParagraphFont"/>
    <w:uiPriority w:val="20"/>
    <w:qFormat/>
    <w:rsid w:val="0037237F"/>
    <w:rPr>
      <w:i/>
      <w:iCs/>
    </w:rPr>
  </w:style>
  <w:style w:type="paragraph" w:customStyle="1" w:styleId="LoEText">
    <w:name w:val="LoE Text"/>
    <w:basedOn w:val="TableText"/>
    <w:uiPriority w:val="3"/>
    <w:qFormat/>
    <w:rsid w:val="0037237F"/>
    <w:pPr>
      <w:framePr w:hSpace="284" w:wrap="around" w:vAnchor="text" w:hAnchor="margin" w:xAlign="right" w:y="1"/>
      <w:suppressOverlap/>
      <w:jc w:val="right"/>
    </w:pPr>
    <w:rPr>
      <w:i/>
    </w:rPr>
  </w:style>
  <w:style w:type="paragraph" w:customStyle="1" w:styleId="Centeredbox">
    <w:name w:val="Centered box"/>
    <w:basedOn w:val="Normal"/>
    <w:uiPriority w:val="7"/>
    <w:qFormat/>
    <w:rsid w:val="0037237F"/>
    <w:pPr>
      <w:pBdr>
        <w:top w:val="double" w:sz="4" w:space="1" w:color="auto"/>
        <w:left w:val="double" w:sz="4" w:space="4" w:color="auto"/>
        <w:bottom w:val="double" w:sz="4" w:space="1" w:color="auto"/>
        <w:right w:val="double" w:sz="4" w:space="4" w:color="auto"/>
      </w:pBdr>
      <w:spacing w:before="120" w:after="120"/>
      <w:jc w:val="center"/>
    </w:pPr>
  </w:style>
  <w:style w:type="character" w:styleId="Strong">
    <w:name w:val="Strong"/>
    <w:basedOn w:val="DefaultParagraphFont"/>
    <w:uiPriority w:val="22"/>
    <w:qFormat/>
    <w:rsid w:val="0037237F"/>
    <w:rPr>
      <w:b/>
      <w:bCs/>
    </w:rPr>
  </w:style>
  <w:style w:type="paragraph" w:customStyle="1" w:styleId="BulletNutrition">
    <w:name w:val="Bullet Nutrition"/>
    <w:basedOn w:val="BulletMedicine"/>
    <w:uiPriority w:val="5"/>
    <w:qFormat/>
    <w:rsid w:val="0037237F"/>
    <w:pPr>
      <w:numPr>
        <w:numId w:val="3"/>
      </w:numPr>
    </w:pPr>
  </w:style>
  <w:style w:type="paragraph" w:styleId="Revision">
    <w:name w:val="Revision"/>
    <w:hidden/>
    <w:uiPriority w:val="99"/>
    <w:semiHidden/>
    <w:rsid w:val="00E5138C"/>
    <w:rPr>
      <w:rFonts w:ascii="Times New Roman" w:eastAsia="Times New Roman" w:hAnsi="Times New Roman" w:cs="Times New Roman"/>
      <w:sz w:val="24"/>
      <w:szCs w:val="24"/>
      <w:lang w:val="en-GB"/>
    </w:rPr>
  </w:style>
  <w:style w:type="paragraph" w:customStyle="1" w:styleId="ListParagraphNumbered">
    <w:name w:val="List Paragraph Numbered"/>
    <w:basedOn w:val="NoSpacing"/>
    <w:uiPriority w:val="2"/>
    <w:qFormat/>
    <w:rsid w:val="00180F11"/>
    <w:pPr>
      <w:numPr>
        <w:numId w:val="7"/>
      </w:numPr>
    </w:pPr>
  </w:style>
  <w:style w:type="paragraph" w:styleId="Index1">
    <w:name w:val="index 1"/>
    <w:basedOn w:val="Normal"/>
    <w:next w:val="Normal"/>
    <w:autoRedefine/>
    <w:uiPriority w:val="99"/>
    <w:semiHidden/>
    <w:unhideWhenUsed/>
    <w:rsid w:val="00042E17"/>
    <w:pPr>
      <w:spacing w:before="0" w:after="0"/>
      <w:ind w:left="180" w:hanging="180"/>
    </w:pPr>
  </w:style>
  <w:style w:type="character" w:customStyle="1" w:styleId="ListParagraphChar">
    <w:name w:val="List Paragraph Char"/>
    <w:aliases w:val="Table text Char"/>
    <w:basedOn w:val="DefaultParagraphFont"/>
    <w:link w:val="ListParagraph"/>
    <w:uiPriority w:val="2"/>
    <w:locked/>
    <w:rsid w:val="00FF3C44"/>
    <w:rPr>
      <w:rFonts w:ascii="Arial" w:hAnsi="Arial"/>
      <w:spacing w:val="-4"/>
    </w:rPr>
  </w:style>
  <w:style w:type="character" w:customStyle="1" w:styleId="jrnl">
    <w:name w:val="jrnl"/>
    <w:basedOn w:val="DefaultParagraphFont"/>
    <w:rsid w:val="00FE2328"/>
  </w:style>
  <w:style w:type="paragraph" w:customStyle="1" w:styleId="Default">
    <w:name w:val="Default"/>
    <w:rsid w:val="00F96D76"/>
    <w:pPr>
      <w:widowControl w:val="0"/>
      <w:autoSpaceDE w:val="0"/>
      <w:autoSpaceDN w:val="0"/>
      <w:adjustRightInd w:val="0"/>
    </w:pPr>
    <w:rPr>
      <w:rFonts w:ascii="Times" w:eastAsia="MS Mincho" w:hAnsi="Times" w:cs="Times"/>
      <w:color w:val="000000"/>
      <w:sz w:val="24"/>
      <w:szCs w:val="24"/>
      <w:lang w:eastAsia="en-ZA"/>
    </w:rPr>
  </w:style>
  <w:style w:type="table" w:customStyle="1" w:styleId="TableGrid1">
    <w:name w:val="Table Grid1"/>
    <w:basedOn w:val="TableNormal"/>
    <w:next w:val="TableGrid"/>
    <w:uiPriority w:val="39"/>
    <w:rsid w:val="00167C13"/>
    <w:rPr>
      <w:rFonts w:ascii="Times New Roman" w:eastAsia="Times New Roman" w:hAnsi="Times New Roman" w:cs="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65EA0"/>
    <w:rPr>
      <w:rFonts w:ascii="Times New Roman" w:eastAsia="Times New Roman" w:hAnsi="Times New Roman" w:cs="Times New Roman"/>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1-Accent21">
    <w:name w:val="Medium Grid 1 - Accent 21"/>
    <w:basedOn w:val="Normal"/>
    <w:uiPriority w:val="34"/>
    <w:qFormat/>
    <w:rsid w:val="00B71380"/>
    <w:pPr>
      <w:spacing w:before="0" w:after="0"/>
      <w:ind w:left="720"/>
    </w:pPr>
    <w:rPr>
      <w:rFonts w:eastAsia="Times New Roman" w:cs="Times New Roman"/>
      <w:spacing w:val="0"/>
      <w:szCs w:val="24"/>
      <w:lang w:val="en-US"/>
    </w:rPr>
  </w:style>
  <w:style w:type="paragraph" w:customStyle="1" w:styleId="Level1">
    <w:name w:val="Level 1"/>
    <w:basedOn w:val="Normal"/>
    <w:link w:val="Level1Char"/>
    <w:rsid w:val="00545E32"/>
    <w:pPr>
      <w:widowControl w:val="0"/>
      <w:autoSpaceDE w:val="0"/>
      <w:autoSpaceDN w:val="0"/>
      <w:adjustRightInd w:val="0"/>
      <w:spacing w:before="0" w:after="0"/>
      <w:ind w:left="333" w:hanging="170"/>
    </w:pPr>
    <w:rPr>
      <w:rFonts w:ascii="Times New Roman" w:eastAsia="Times New Roman" w:hAnsi="Times New Roman" w:cs="Times New Roman"/>
      <w:spacing w:val="0"/>
      <w:sz w:val="24"/>
      <w:szCs w:val="24"/>
      <w:lang w:val="en-US"/>
    </w:rPr>
  </w:style>
  <w:style w:type="character" w:customStyle="1" w:styleId="Level1Char">
    <w:name w:val="Level 1 Char"/>
    <w:basedOn w:val="DefaultParagraphFont"/>
    <w:link w:val="Level1"/>
    <w:rsid w:val="00545E32"/>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451AD2"/>
    <w:pPr>
      <w:spacing w:before="100" w:beforeAutospacing="1" w:after="100" w:afterAutospacing="1"/>
    </w:pPr>
    <w:rPr>
      <w:rFonts w:ascii="Times New Roman" w:eastAsia="Times New Roman" w:hAnsi="Times New Roman" w:cs="Times New Roman"/>
      <w:spacing w:val="0"/>
      <w:sz w:val="24"/>
      <w:szCs w:val="24"/>
      <w:lang w:eastAsia="en-ZA"/>
    </w:rPr>
  </w:style>
  <w:style w:type="paragraph" w:styleId="FootnoteText">
    <w:name w:val="footnote text"/>
    <w:basedOn w:val="Normal"/>
    <w:link w:val="FootnoteTextChar"/>
    <w:uiPriority w:val="99"/>
    <w:unhideWhenUsed/>
    <w:rsid w:val="003D2884"/>
    <w:pPr>
      <w:spacing w:before="0" w:after="0"/>
    </w:pPr>
    <w:rPr>
      <w:rFonts w:eastAsia="Times New Roman" w:cs="Times New Roman"/>
      <w:spacing w:val="0"/>
      <w:sz w:val="20"/>
      <w:szCs w:val="20"/>
      <w:lang w:val="en-US"/>
    </w:rPr>
  </w:style>
  <w:style w:type="character" w:customStyle="1" w:styleId="FootnoteTextChar">
    <w:name w:val="Footnote Text Char"/>
    <w:basedOn w:val="DefaultParagraphFont"/>
    <w:link w:val="FootnoteText"/>
    <w:uiPriority w:val="99"/>
    <w:rsid w:val="003D2884"/>
    <w:rPr>
      <w:rFonts w:ascii="Arial" w:eastAsia="Times New Roman" w:hAnsi="Arial" w:cs="Times New Roman"/>
      <w:sz w:val="20"/>
      <w:szCs w:val="20"/>
      <w:lang w:val="en-US"/>
    </w:rPr>
  </w:style>
  <w:style w:type="character" w:styleId="FootnoteReference">
    <w:name w:val="footnote reference"/>
    <w:basedOn w:val="DefaultParagraphFont"/>
    <w:uiPriority w:val="99"/>
    <w:unhideWhenUsed/>
    <w:rsid w:val="003D2884"/>
    <w:rPr>
      <w:vertAlign w:val="superscript"/>
    </w:rPr>
  </w:style>
  <w:style w:type="paragraph" w:customStyle="1" w:styleId="Medicinebullet1">
    <w:name w:val="Medicine bullet 1"/>
    <w:qFormat/>
    <w:rsid w:val="003F5BA0"/>
    <w:rPr>
      <w:rFonts w:ascii="Arial" w:eastAsia="Times New Roman" w:hAnsi="Arial" w:cs="Times New Roman"/>
      <w:noProof/>
    </w:rPr>
  </w:style>
  <w:style w:type="paragraph" w:customStyle="1" w:styleId="Textbullet">
    <w:name w:val="Text bullet"/>
    <w:basedOn w:val="Normal"/>
    <w:qFormat/>
    <w:rsid w:val="00CF3767"/>
    <w:pPr>
      <w:numPr>
        <w:numId w:val="21"/>
      </w:numPr>
      <w:spacing w:before="0" w:after="0"/>
      <w:jc w:val="both"/>
    </w:pPr>
    <w:rPr>
      <w:rFonts w:eastAsia="Times New Roman" w:cs="Arial"/>
      <w:noProof/>
      <w:color w:val="000000"/>
      <w:spacing w:val="0"/>
    </w:rPr>
  </w:style>
  <w:style w:type="paragraph" w:customStyle="1" w:styleId="Style9ptNotBoldBottomNoborder">
    <w:name w:val="Style 9 pt Not Bold Bottom: (No border)"/>
    <w:basedOn w:val="Normal"/>
    <w:rsid w:val="00CF3767"/>
    <w:pPr>
      <w:tabs>
        <w:tab w:val="left" w:pos="3119"/>
      </w:tabs>
      <w:spacing w:before="0" w:after="0"/>
      <w:jc w:val="both"/>
    </w:pPr>
    <w:rPr>
      <w:rFonts w:eastAsia="Times New Roman" w:cs="Times New Roman"/>
      <w:noProof/>
      <w:color w:val="000000"/>
      <w:spacing w:val="0"/>
      <w:szCs w:val="20"/>
    </w:rPr>
  </w:style>
  <w:style w:type="paragraph" w:styleId="PlainText">
    <w:name w:val="Plain Text"/>
    <w:basedOn w:val="Normal"/>
    <w:link w:val="PlainTextChar"/>
    <w:uiPriority w:val="99"/>
    <w:rsid w:val="00CF3767"/>
    <w:pPr>
      <w:spacing w:before="0" w:after="0"/>
    </w:pPr>
    <w:rPr>
      <w:rFonts w:ascii="Courier New" w:eastAsia="Times New Roman" w:hAnsi="Courier New" w:cs="Times New Roman"/>
      <w:spacing w:val="0"/>
      <w:sz w:val="20"/>
      <w:szCs w:val="20"/>
      <w:lang w:val="af-ZA"/>
    </w:rPr>
  </w:style>
  <w:style w:type="character" w:customStyle="1" w:styleId="PlainTextChar">
    <w:name w:val="Plain Text Char"/>
    <w:basedOn w:val="DefaultParagraphFont"/>
    <w:link w:val="PlainText"/>
    <w:uiPriority w:val="99"/>
    <w:rsid w:val="00CF3767"/>
    <w:rPr>
      <w:rFonts w:ascii="Courier New" w:eastAsia="Times New Roman" w:hAnsi="Courier New" w:cs="Times New Roman"/>
      <w:sz w:val="20"/>
      <w:szCs w:val="20"/>
      <w:lang w:val="af-ZA"/>
    </w:rPr>
  </w:style>
  <w:style w:type="character" w:styleId="PlaceholderText">
    <w:name w:val="Placeholder Text"/>
    <w:basedOn w:val="DefaultParagraphFont"/>
    <w:uiPriority w:val="99"/>
    <w:semiHidden/>
    <w:rsid w:val="00455C4E"/>
    <w:rPr>
      <w:color w:val="808080"/>
    </w:rPr>
  </w:style>
  <w:style w:type="character" w:customStyle="1" w:styleId="UnresolvedMention2">
    <w:name w:val="Unresolved Mention2"/>
    <w:basedOn w:val="DefaultParagraphFont"/>
    <w:uiPriority w:val="99"/>
    <w:semiHidden/>
    <w:unhideWhenUsed/>
    <w:rsid w:val="00CA2064"/>
    <w:rPr>
      <w:color w:val="605E5C"/>
      <w:shd w:val="clear" w:color="auto" w:fill="E1DFDD"/>
    </w:rPr>
  </w:style>
  <w:style w:type="character" w:customStyle="1" w:styleId="UnresolvedMention3">
    <w:name w:val="Unresolved Mention3"/>
    <w:basedOn w:val="DefaultParagraphFont"/>
    <w:uiPriority w:val="99"/>
    <w:semiHidden/>
    <w:unhideWhenUsed/>
    <w:rsid w:val="007321A1"/>
    <w:rPr>
      <w:color w:val="605E5C"/>
      <w:shd w:val="clear" w:color="auto" w:fill="E1DFDD"/>
    </w:rPr>
  </w:style>
  <w:style w:type="character" w:customStyle="1" w:styleId="UnresolvedMention4">
    <w:name w:val="Unresolved Mention4"/>
    <w:basedOn w:val="DefaultParagraphFont"/>
    <w:uiPriority w:val="99"/>
    <w:semiHidden/>
    <w:unhideWhenUsed/>
    <w:rsid w:val="00870506"/>
    <w:rPr>
      <w:color w:val="605E5C"/>
      <w:shd w:val="clear" w:color="auto" w:fill="E1DFDD"/>
    </w:rPr>
  </w:style>
  <w:style w:type="character" w:customStyle="1" w:styleId="UnresolvedMention5">
    <w:name w:val="Unresolved Mention5"/>
    <w:basedOn w:val="DefaultParagraphFont"/>
    <w:uiPriority w:val="99"/>
    <w:semiHidden/>
    <w:unhideWhenUsed/>
    <w:rsid w:val="000344BE"/>
    <w:rPr>
      <w:color w:val="605E5C"/>
      <w:shd w:val="clear" w:color="auto" w:fill="E1DFDD"/>
    </w:rPr>
  </w:style>
  <w:style w:type="table" w:customStyle="1" w:styleId="TableGrid3">
    <w:name w:val="Table Grid3"/>
    <w:basedOn w:val="TableNormal"/>
    <w:next w:val="TableGrid"/>
    <w:uiPriority w:val="59"/>
    <w:rsid w:val="00E42DCD"/>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724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4792">
      <w:bodyDiv w:val="1"/>
      <w:marLeft w:val="0"/>
      <w:marRight w:val="0"/>
      <w:marTop w:val="0"/>
      <w:marBottom w:val="0"/>
      <w:divBdr>
        <w:top w:val="none" w:sz="0" w:space="0" w:color="auto"/>
        <w:left w:val="none" w:sz="0" w:space="0" w:color="auto"/>
        <w:bottom w:val="none" w:sz="0" w:space="0" w:color="auto"/>
        <w:right w:val="none" w:sz="0" w:space="0" w:color="auto"/>
      </w:divBdr>
      <w:divsChild>
        <w:div w:id="669259957">
          <w:marLeft w:val="0"/>
          <w:marRight w:val="0"/>
          <w:marTop w:val="0"/>
          <w:marBottom w:val="0"/>
          <w:divBdr>
            <w:top w:val="none" w:sz="0" w:space="0" w:color="auto"/>
            <w:left w:val="none" w:sz="0" w:space="0" w:color="auto"/>
            <w:bottom w:val="none" w:sz="0" w:space="0" w:color="auto"/>
            <w:right w:val="none" w:sz="0" w:space="0" w:color="auto"/>
          </w:divBdr>
        </w:div>
        <w:div w:id="1452935704">
          <w:marLeft w:val="0"/>
          <w:marRight w:val="0"/>
          <w:marTop w:val="0"/>
          <w:marBottom w:val="0"/>
          <w:divBdr>
            <w:top w:val="none" w:sz="0" w:space="0" w:color="auto"/>
            <w:left w:val="none" w:sz="0" w:space="0" w:color="auto"/>
            <w:bottom w:val="none" w:sz="0" w:space="0" w:color="auto"/>
            <w:right w:val="none" w:sz="0" w:space="0" w:color="auto"/>
          </w:divBdr>
        </w:div>
        <w:div w:id="949820184">
          <w:marLeft w:val="0"/>
          <w:marRight w:val="0"/>
          <w:marTop w:val="0"/>
          <w:marBottom w:val="0"/>
          <w:divBdr>
            <w:top w:val="none" w:sz="0" w:space="0" w:color="auto"/>
            <w:left w:val="none" w:sz="0" w:space="0" w:color="auto"/>
            <w:bottom w:val="none" w:sz="0" w:space="0" w:color="auto"/>
            <w:right w:val="none" w:sz="0" w:space="0" w:color="auto"/>
          </w:divBdr>
        </w:div>
      </w:divsChild>
    </w:div>
    <w:div w:id="202375858">
      <w:bodyDiv w:val="1"/>
      <w:marLeft w:val="0"/>
      <w:marRight w:val="0"/>
      <w:marTop w:val="0"/>
      <w:marBottom w:val="0"/>
      <w:divBdr>
        <w:top w:val="none" w:sz="0" w:space="0" w:color="auto"/>
        <w:left w:val="none" w:sz="0" w:space="0" w:color="auto"/>
        <w:bottom w:val="none" w:sz="0" w:space="0" w:color="auto"/>
        <w:right w:val="none" w:sz="0" w:space="0" w:color="auto"/>
      </w:divBdr>
      <w:divsChild>
        <w:div w:id="1519388683">
          <w:marLeft w:val="0"/>
          <w:marRight w:val="0"/>
          <w:marTop w:val="0"/>
          <w:marBottom w:val="0"/>
          <w:divBdr>
            <w:top w:val="none" w:sz="0" w:space="0" w:color="auto"/>
            <w:left w:val="none" w:sz="0" w:space="0" w:color="auto"/>
            <w:bottom w:val="none" w:sz="0" w:space="0" w:color="auto"/>
            <w:right w:val="none" w:sz="0" w:space="0" w:color="auto"/>
          </w:divBdr>
          <w:divsChild>
            <w:div w:id="2141611955">
              <w:marLeft w:val="0"/>
              <w:marRight w:val="0"/>
              <w:marTop w:val="0"/>
              <w:marBottom w:val="0"/>
              <w:divBdr>
                <w:top w:val="none" w:sz="0" w:space="0" w:color="auto"/>
                <w:left w:val="none" w:sz="0" w:space="0" w:color="auto"/>
                <w:bottom w:val="none" w:sz="0" w:space="0" w:color="auto"/>
                <w:right w:val="none" w:sz="0" w:space="0" w:color="auto"/>
              </w:divBdr>
              <w:divsChild>
                <w:div w:id="17695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5865">
      <w:bodyDiv w:val="1"/>
      <w:marLeft w:val="0"/>
      <w:marRight w:val="0"/>
      <w:marTop w:val="0"/>
      <w:marBottom w:val="0"/>
      <w:divBdr>
        <w:top w:val="none" w:sz="0" w:space="0" w:color="auto"/>
        <w:left w:val="none" w:sz="0" w:space="0" w:color="auto"/>
        <w:bottom w:val="none" w:sz="0" w:space="0" w:color="auto"/>
        <w:right w:val="none" w:sz="0" w:space="0" w:color="auto"/>
      </w:divBdr>
      <w:divsChild>
        <w:div w:id="694965598">
          <w:marLeft w:val="0"/>
          <w:marRight w:val="0"/>
          <w:marTop w:val="0"/>
          <w:marBottom w:val="0"/>
          <w:divBdr>
            <w:top w:val="none" w:sz="0" w:space="0" w:color="auto"/>
            <w:left w:val="none" w:sz="0" w:space="0" w:color="auto"/>
            <w:bottom w:val="none" w:sz="0" w:space="0" w:color="auto"/>
            <w:right w:val="none" w:sz="0" w:space="0" w:color="auto"/>
          </w:divBdr>
          <w:divsChild>
            <w:div w:id="546340620">
              <w:marLeft w:val="0"/>
              <w:marRight w:val="0"/>
              <w:marTop w:val="0"/>
              <w:marBottom w:val="0"/>
              <w:divBdr>
                <w:top w:val="none" w:sz="0" w:space="0" w:color="auto"/>
                <w:left w:val="none" w:sz="0" w:space="0" w:color="auto"/>
                <w:bottom w:val="none" w:sz="0" w:space="0" w:color="auto"/>
                <w:right w:val="none" w:sz="0" w:space="0" w:color="auto"/>
              </w:divBdr>
              <w:divsChild>
                <w:div w:id="769818383">
                  <w:marLeft w:val="0"/>
                  <w:marRight w:val="0"/>
                  <w:marTop w:val="0"/>
                  <w:marBottom w:val="0"/>
                  <w:divBdr>
                    <w:top w:val="none" w:sz="0" w:space="0" w:color="auto"/>
                    <w:left w:val="none" w:sz="0" w:space="0" w:color="auto"/>
                    <w:bottom w:val="none" w:sz="0" w:space="0" w:color="auto"/>
                    <w:right w:val="none" w:sz="0" w:space="0" w:color="auto"/>
                  </w:divBdr>
                  <w:divsChild>
                    <w:div w:id="40530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30092">
      <w:bodyDiv w:val="1"/>
      <w:marLeft w:val="0"/>
      <w:marRight w:val="0"/>
      <w:marTop w:val="0"/>
      <w:marBottom w:val="0"/>
      <w:divBdr>
        <w:top w:val="none" w:sz="0" w:space="0" w:color="auto"/>
        <w:left w:val="none" w:sz="0" w:space="0" w:color="auto"/>
        <w:bottom w:val="none" w:sz="0" w:space="0" w:color="auto"/>
        <w:right w:val="none" w:sz="0" w:space="0" w:color="auto"/>
      </w:divBdr>
      <w:divsChild>
        <w:div w:id="1926376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5405355">
              <w:marLeft w:val="0"/>
              <w:marRight w:val="0"/>
              <w:marTop w:val="0"/>
              <w:marBottom w:val="0"/>
              <w:divBdr>
                <w:top w:val="none" w:sz="0" w:space="0" w:color="auto"/>
                <w:left w:val="none" w:sz="0" w:space="0" w:color="auto"/>
                <w:bottom w:val="none" w:sz="0" w:space="0" w:color="auto"/>
                <w:right w:val="none" w:sz="0" w:space="0" w:color="auto"/>
              </w:divBdr>
              <w:divsChild>
                <w:div w:id="75136562">
                  <w:marLeft w:val="0"/>
                  <w:marRight w:val="0"/>
                  <w:marTop w:val="0"/>
                  <w:marBottom w:val="0"/>
                  <w:divBdr>
                    <w:top w:val="none" w:sz="0" w:space="0" w:color="auto"/>
                    <w:left w:val="none" w:sz="0" w:space="0" w:color="auto"/>
                    <w:bottom w:val="none" w:sz="0" w:space="0" w:color="auto"/>
                    <w:right w:val="none" w:sz="0" w:space="0" w:color="auto"/>
                  </w:divBdr>
                  <w:divsChild>
                    <w:div w:id="1841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458020">
      <w:bodyDiv w:val="1"/>
      <w:marLeft w:val="0"/>
      <w:marRight w:val="0"/>
      <w:marTop w:val="0"/>
      <w:marBottom w:val="0"/>
      <w:divBdr>
        <w:top w:val="none" w:sz="0" w:space="0" w:color="auto"/>
        <w:left w:val="none" w:sz="0" w:space="0" w:color="auto"/>
        <w:bottom w:val="none" w:sz="0" w:space="0" w:color="auto"/>
        <w:right w:val="none" w:sz="0" w:space="0" w:color="auto"/>
      </w:divBdr>
    </w:div>
    <w:div w:id="247660926">
      <w:bodyDiv w:val="1"/>
      <w:marLeft w:val="0"/>
      <w:marRight w:val="0"/>
      <w:marTop w:val="0"/>
      <w:marBottom w:val="0"/>
      <w:divBdr>
        <w:top w:val="none" w:sz="0" w:space="0" w:color="auto"/>
        <w:left w:val="none" w:sz="0" w:space="0" w:color="auto"/>
        <w:bottom w:val="none" w:sz="0" w:space="0" w:color="auto"/>
        <w:right w:val="none" w:sz="0" w:space="0" w:color="auto"/>
      </w:divBdr>
      <w:divsChild>
        <w:div w:id="193200462">
          <w:marLeft w:val="0"/>
          <w:marRight w:val="0"/>
          <w:marTop w:val="0"/>
          <w:marBottom w:val="0"/>
          <w:divBdr>
            <w:top w:val="none" w:sz="0" w:space="0" w:color="auto"/>
            <w:left w:val="none" w:sz="0" w:space="0" w:color="auto"/>
            <w:bottom w:val="none" w:sz="0" w:space="0" w:color="auto"/>
            <w:right w:val="none" w:sz="0" w:space="0" w:color="auto"/>
          </w:divBdr>
          <w:divsChild>
            <w:div w:id="361906917">
              <w:marLeft w:val="0"/>
              <w:marRight w:val="0"/>
              <w:marTop w:val="0"/>
              <w:marBottom w:val="0"/>
              <w:divBdr>
                <w:top w:val="none" w:sz="0" w:space="0" w:color="auto"/>
                <w:left w:val="none" w:sz="0" w:space="0" w:color="auto"/>
                <w:bottom w:val="none" w:sz="0" w:space="0" w:color="auto"/>
                <w:right w:val="none" w:sz="0" w:space="0" w:color="auto"/>
              </w:divBdr>
              <w:divsChild>
                <w:div w:id="1714815000">
                  <w:marLeft w:val="0"/>
                  <w:marRight w:val="0"/>
                  <w:marTop w:val="0"/>
                  <w:marBottom w:val="0"/>
                  <w:divBdr>
                    <w:top w:val="none" w:sz="0" w:space="0" w:color="auto"/>
                    <w:left w:val="none" w:sz="0" w:space="0" w:color="auto"/>
                    <w:bottom w:val="none" w:sz="0" w:space="0" w:color="auto"/>
                    <w:right w:val="none" w:sz="0" w:space="0" w:color="auto"/>
                  </w:divBdr>
                </w:div>
              </w:divsChild>
            </w:div>
            <w:div w:id="278949402">
              <w:marLeft w:val="0"/>
              <w:marRight w:val="0"/>
              <w:marTop w:val="0"/>
              <w:marBottom w:val="0"/>
              <w:divBdr>
                <w:top w:val="none" w:sz="0" w:space="0" w:color="auto"/>
                <w:left w:val="none" w:sz="0" w:space="0" w:color="auto"/>
                <w:bottom w:val="none" w:sz="0" w:space="0" w:color="auto"/>
                <w:right w:val="none" w:sz="0" w:space="0" w:color="auto"/>
              </w:divBdr>
              <w:divsChild>
                <w:div w:id="1848396459">
                  <w:marLeft w:val="0"/>
                  <w:marRight w:val="0"/>
                  <w:marTop w:val="0"/>
                  <w:marBottom w:val="0"/>
                  <w:divBdr>
                    <w:top w:val="none" w:sz="0" w:space="0" w:color="auto"/>
                    <w:left w:val="none" w:sz="0" w:space="0" w:color="auto"/>
                    <w:bottom w:val="none" w:sz="0" w:space="0" w:color="auto"/>
                    <w:right w:val="none" w:sz="0" w:space="0" w:color="auto"/>
                  </w:divBdr>
                </w:div>
              </w:divsChild>
            </w:div>
            <w:div w:id="243685556">
              <w:marLeft w:val="0"/>
              <w:marRight w:val="0"/>
              <w:marTop w:val="0"/>
              <w:marBottom w:val="0"/>
              <w:divBdr>
                <w:top w:val="none" w:sz="0" w:space="0" w:color="auto"/>
                <w:left w:val="none" w:sz="0" w:space="0" w:color="auto"/>
                <w:bottom w:val="none" w:sz="0" w:space="0" w:color="auto"/>
                <w:right w:val="none" w:sz="0" w:space="0" w:color="auto"/>
              </w:divBdr>
              <w:divsChild>
                <w:div w:id="2057655085">
                  <w:marLeft w:val="0"/>
                  <w:marRight w:val="0"/>
                  <w:marTop w:val="0"/>
                  <w:marBottom w:val="0"/>
                  <w:divBdr>
                    <w:top w:val="none" w:sz="0" w:space="0" w:color="auto"/>
                    <w:left w:val="none" w:sz="0" w:space="0" w:color="auto"/>
                    <w:bottom w:val="none" w:sz="0" w:space="0" w:color="auto"/>
                    <w:right w:val="none" w:sz="0" w:space="0" w:color="auto"/>
                  </w:divBdr>
                </w:div>
              </w:divsChild>
            </w:div>
            <w:div w:id="1391809779">
              <w:marLeft w:val="0"/>
              <w:marRight w:val="0"/>
              <w:marTop w:val="0"/>
              <w:marBottom w:val="0"/>
              <w:divBdr>
                <w:top w:val="none" w:sz="0" w:space="0" w:color="auto"/>
                <w:left w:val="none" w:sz="0" w:space="0" w:color="auto"/>
                <w:bottom w:val="none" w:sz="0" w:space="0" w:color="auto"/>
                <w:right w:val="none" w:sz="0" w:space="0" w:color="auto"/>
              </w:divBdr>
              <w:divsChild>
                <w:div w:id="408381416">
                  <w:marLeft w:val="0"/>
                  <w:marRight w:val="0"/>
                  <w:marTop w:val="0"/>
                  <w:marBottom w:val="0"/>
                  <w:divBdr>
                    <w:top w:val="none" w:sz="0" w:space="0" w:color="auto"/>
                    <w:left w:val="none" w:sz="0" w:space="0" w:color="auto"/>
                    <w:bottom w:val="none" w:sz="0" w:space="0" w:color="auto"/>
                    <w:right w:val="none" w:sz="0" w:space="0" w:color="auto"/>
                  </w:divBdr>
                </w:div>
              </w:divsChild>
            </w:div>
            <w:div w:id="685135958">
              <w:marLeft w:val="0"/>
              <w:marRight w:val="0"/>
              <w:marTop w:val="0"/>
              <w:marBottom w:val="0"/>
              <w:divBdr>
                <w:top w:val="none" w:sz="0" w:space="0" w:color="auto"/>
                <w:left w:val="none" w:sz="0" w:space="0" w:color="auto"/>
                <w:bottom w:val="none" w:sz="0" w:space="0" w:color="auto"/>
                <w:right w:val="none" w:sz="0" w:space="0" w:color="auto"/>
              </w:divBdr>
              <w:divsChild>
                <w:div w:id="353043003">
                  <w:marLeft w:val="0"/>
                  <w:marRight w:val="0"/>
                  <w:marTop w:val="0"/>
                  <w:marBottom w:val="0"/>
                  <w:divBdr>
                    <w:top w:val="none" w:sz="0" w:space="0" w:color="auto"/>
                    <w:left w:val="none" w:sz="0" w:space="0" w:color="auto"/>
                    <w:bottom w:val="none" w:sz="0" w:space="0" w:color="auto"/>
                    <w:right w:val="none" w:sz="0" w:space="0" w:color="auto"/>
                  </w:divBdr>
                </w:div>
              </w:divsChild>
            </w:div>
            <w:div w:id="627930269">
              <w:marLeft w:val="0"/>
              <w:marRight w:val="0"/>
              <w:marTop w:val="0"/>
              <w:marBottom w:val="0"/>
              <w:divBdr>
                <w:top w:val="none" w:sz="0" w:space="0" w:color="auto"/>
                <w:left w:val="none" w:sz="0" w:space="0" w:color="auto"/>
                <w:bottom w:val="none" w:sz="0" w:space="0" w:color="auto"/>
                <w:right w:val="none" w:sz="0" w:space="0" w:color="auto"/>
              </w:divBdr>
              <w:divsChild>
                <w:div w:id="879054318">
                  <w:marLeft w:val="0"/>
                  <w:marRight w:val="0"/>
                  <w:marTop w:val="0"/>
                  <w:marBottom w:val="0"/>
                  <w:divBdr>
                    <w:top w:val="none" w:sz="0" w:space="0" w:color="auto"/>
                    <w:left w:val="none" w:sz="0" w:space="0" w:color="auto"/>
                    <w:bottom w:val="none" w:sz="0" w:space="0" w:color="auto"/>
                    <w:right w:val="none" w:sz="0" w:space="0" w:color="auto"/>
                  </w:divBdr>
                </w:div>
                <w:div w:id="1226645743">
                  <w:marLeft w:val="0"/>
                  <w:marRight w:val="0"/>
                  <w:marTop w:val="0"/>
                  <w:marBottom w:val="0"/>
                  <w:divBdr>
                    <w:top w:val="none" w:sz="0" w:space="0" w:color="auto"/>
                    <w:left w:val="none" w:sz="0" w:space="0" w:color="auto"/>
                    <w:bottom w:val="none" w:sz="0" w:space="0" w:color="auto"/>
                    <w:right w:val="none" w:sz="0" w:space="0" w:color="auto"/>
                  </w:divBdr>
                </w:div>
                <w:div w:id="164639471">
                  <w:marLeft w:val="0"/>
                  <w:marRight w:val="0"/>
                  <w:marTop w:val="0"/>
                  <w:marBottom w:val="0"/>
                  <w:divBdr>
                    <w:top w:val="none" w:sz="0" w:space="0" w:color="auto"/>
                    <w:left w:val="none" w:sz="0" w:space="0" w:color="auto"/>
                    <w:bottom w:val="none" w:sz="0" w:space="0" w:color="auto"/>
                    <w:right w:val="none" w:sz="0" w:space="0" w:color="auto"/>
                  </w:divBdr>
                </w:div>
                <w:div w:id="2140760530">
                  <w:marLeft w:val="0"/>
                  <w:marRight w:val="0"/>
                  <w:marTop w:val="0"/>
                  <w:marBottom w:val="0"/>
                  <w:divBdr>
                    <w:top w:val="none" w:sz="0" w:space="0" w:color="auto"/>
                    <w:left w:val="none" w:sz="0" w:space="0" w:color="auto"/>
                    <w:bottom w:val="none" w:sz="0" w:space="0" w:color="auto"/>
                    <w:right w:val="none" w:sz="0" w:space="0" w:color="auto"/>
                  </w:divBdr>
                </w:div>
                <w:div w:id="1052194801">
                  <w:marLeft w:val="0"/>
                  <w:marRight w:val="0"/>
                  <w:marTop w:val="0"/>
                  <w:marBottom w:val="0"/>
                  <w:divBdr>
                    <w:top w:val="none" w:sz="0" w:space="0" w:color="auto"/>
                    <w:left w:val="none" w:sz="0" w:space="0" w:color="auto"/>
                    <w:bottom w:val="none" w:sz="0" w:space="0" w:color="auto"/>
                    <w:right w:val="none" w:sz="0" w:space="0" w:color="auto"/>
                  </w:divBdr>
                </w:div>
              </w:divsChild>
            </w:div>
            <w:div w:id="1019087990">
              <w:marLeft w:val="0"/>
              <w:marRight w:val="0"/>
              <w:marTop w:val="0"/>
              <w:marBottom w:val="0"/>
              <w:divBdr>
                <w:top w:val="none" w:sz="0" w:space="0" w:color="auto"/>
                <w:left w:val="none" w:sz="0" w:space="0" w:color="auto"/>
                <w:bottom w:val="none" w:sz="0" w:space="0" w:color="auto"/>
                <w:right w:val="none" w:sz="0" w:space="0" w:color="auto"/>
              </w:divBdr>
              <w:divsChild>
                <w:div w:id="17527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50737">
      <w:bodyDiv w:val="1"/>
      <w:marLeft w:val="0"/>
      <w:marRight w:val="0"/>
      <w:marTop w:val="0"/>
      <w:marBottom w:val="0"/>
      <w:divBdr>
        <w:top w:val="none" w:sz="0" w:space="0" w:color="auto"/>
        <w:left w:val="none" w:sz="0" w:space="0" w:color="auto"/>
        <w:bottom w:val="none" w:sz="0" w:space="0" w:color="auto"/>
        <w:right w:val="none" w:sz="0" w:space="0" w:color="auto"/>
      </w:divBdr>
      <w:divsChild>
        <w:div w:id="1242759605">
          <w:marLeft w:val="0"/>
          <w:marRight w:val="0"/>
          <w:marTop w:val="0"/>
          <w:marBottom w:val="0"/>
          <w:divBdr>
            <w:top w:val="none" w:sz="0" w:space="0" w:color="auto"/>
            <w:left w:val="none" w:sz="0" w:space="0" w:color="auto"/>
            <w:bottom w:val="none" w:sz="0" w:space="0" w:color="auto"/>
            <w:right w:val="none" w:sz="0" w:space="0" w:color="auto"/>
          </w:divBdr>
        </w:div>
      </w:divsChild>
    </w:div>
    <w:div w:id="471555976">
      <w:bodyDiv w:val="1"/>
      <w:marLeft w:val="0"/>
      <w:marRight w:val="0"/>
      <w:marTop w:val="0"/>
      <w:marBottom w:val="0"/>
      <w:divBdr>
        <w:top w:val="none" w:sz="0" w:space="0" w:color="auto"/>
        <w:left w:val="none" w:sz="0" w:space="0" w:color="auto"/>
        <w:bottom w:val="none" w:sz="0" w:space="0" w:color="auto"/>
        <w:right w:val="none" w:sz="0" w:space="0" w:color="auto"/>
      </w:divBdr>
    </w:div>
    <w:div w:id="508300164">
      <w:bodyDiv w:val="1"/>
      <w:marLeft w:val="0"/>
      <w:marRight w:val="0"/>
      <w:marTop w:val="0"/>
      <w:marBottom w:val="0"/>
      <w:divBdr>
        <w:top w:val="none" w:sz="0" w:space="0" w:color="auto"/>
        <w:left w:val="none" w:sz="0" w:space="0" w:color="auto"/>
        <w:bottom w:val="none" w:sz="0" w:space="0" w:color="auto"/>
        <w:right w:val="none" w:sz="0" w:space="0" w:color="auto"/>
      </w:divBdr>
      <w:divsChild>
        <w:div w:id="187065949">
          <w:marLeft w:val="0"/>
          <w:marRight w:val="0"/>
          <w:marTop w:val="0"/>
          <w:marBottom w:val="0"/>
          <w:divBdr>
            <w:top w:val="none" w:sz="0" w:space="0" w:color="auto"/>
            <w:left w:val="none" w:sz="0" w:space="0" w:color="auto"/>
            <w:bottom w:val="none" w:sz="0" w:space="0" w:color="auto"/>
            <w:right w:val="none" w:sz="0" w:space="0" w:color="auto"/>
          </w:divBdr>
          <w:divsChild>
            <w:div w:id="373040384">
              <w:marLeft w:val="0"/>
              <w:marRight w:val="0"/>
              <w:marTop w:val="0"/>
              <w:marBottom w:val="0"/>
              <w:divBdr>
                <w:top w:val="none" w:sz="0" w:space="0" w:color="auto"/>
                <w:left w:val="none" w:sz="0" w:space="0" w:color="auto"/>
                <w:bottom w:val="none" w:sz="0" w:space="0" w:color="auto"/>
                <w:right w:val="none" w:sz="0" w:space="0" w:color="auto"/>
              </w:divBdr>
              <w:divsChild>
                <w:div w:id="884565857">
                  <w:marLeft w:val="0"/>
                  <w:marRight w:val="0"/>
                  <w:marTop w:val="0"/>
                  <w:marBottom w:val="0"/>
                  <w:divBdr>
                    <w:top w:val="none" w:sz="0" w:space="0" w:color="auto"/>
                    <w:left w:val="none" w:sz="0" w:space="0" w:color="auto"/>
                    <w:bottom w:val="none" w:sz="0" w:space="0" w:color="auto"/>
                    <w:right w:val="none" w:sz="0" w:space="0" w:color="auto"/>
                  </w:divBdr>
                </w:div>
              </w:divsChild>
            </w:div>
            <w:div w:id="1790736100">
              <w:marLeft w:val="0"/>
              <w:marRight w:val="0"/>
              <w:marTop w:val="0"/>
              <w:marBottom w:val="0"/>
              <w:divBdr>
                <w:top w:val="none" w:sz="0" w:space="0" w:color="auto"/>
                <w:left w:val="none" w:sz="0" w:space="0" w:color="auto"/>
                <w:bottom w:val="none" w:sz="0" w:space="0" w:color="auto"/>
                <w:right w:val="none" w:sz="0" w:space="0" w:color="auto"/>
              </w:divBdr>
              <w:divsChild>
                <w:div w:id="2048066786">
                  <w:marLeft w:val="0"/>
                  <w:marRight w:val="0"/>
                  <w:marTop w:val="0"/>
                  <w:marBottom w:val="0"/>
                  <w:divBdr>
                    <w:top w:val="none" w:sz="0" w:space="0" w:color="auto"/>
                    <w:left w:val="none" w:sz="0" w:space="0" w:color="auto"/>
                    <w:bottom w:val="none" w:sz="0" w:space="0" w:color="auto"/>
                    <w:right w:val="none" w:sz="0" w:space="0" w:color="auto"/>
                  </w:divBdr>
                </w:div>
              </w:divsChild>
            </w:div>
            <w:div w:id="306672289">
              <w:marLeft w:val="0"/>
              <w:marRight w:val="0"/>
              <w:marTop w:val="0"/>
              <w:marBottom w:val="0"/>
              <w:divBdr>
                <w:top w:val="none" w:sz="0" w:space="0" w:color="auto"/>
                <w:left w:val="none" w:sz="0" w:space="0" w:color="auto"/>
                <w:bottom w:val="none" w:sz="0" w:space="0" w:color="auto"/>
                <w:right w:val="none" w:sz="0" w:space="0" w:color="auto"/>
              </w:divBdr>
              <w:divsChild>
                <w:div w:id="1055549301">
                  <w:marLeft w:val="0"/>
                  <w:marRight w:val="0"/>
                  <w:marTop w:val="0"/>
                  <w:marBottom w:val="0"/>
                  <w:divBdr>
                    <w:top w:val="none" w:sz="0" w:space="0" w:color="auto"/>
                    <w:left w:val="none" w:sz="0" w:space="0" w:color="auto"/>
                    <w:bottom w:val="none" w:sz="0" w:space="0" w:color="auto"/>
                    <w:right w:val="none" w:sz="0" w:space="0" w:color="auto"/>
                  </w:divBdr>
                </w:div>
              </w:divsChild>
            </w:div>
            <w:div w:id="2014838906">
              <w:marLeft w:val="0"/>
              <w:marRight w:val="0"/>
              <w:marTop w:val="0"/>
              <w:marBottom w:val="0"/>
              <w:divBdr>
                <w:top w:val="none" w:sz="0" w:space="0" w:color="auto"/>
                <w:left w:val="none" w:sz="0" w:space="0" w:color="auto"/>
                <w:bottom w:val="none" w:sz="0" w:space="0" w:color="auto"/>
                <w:right w:val="none" w:sz="0" w:space="0" w:color="auto"/>
              </w:divBdr>
              <w:divsChild>
                <w:div w:id="941492031">
                  <w:marLeft w:val="0"/>
                  <w:marRight w:val="0"/>
                  <w:marTop w:val="0"/>
                  <w:marBottom w:val="0"/>
                  <w:divBdr>
                    <w:top w:val="none" w:sz="0" w:space="0" w:color="auto"/>
                    <w:left w:val="none" w:sz="0" w:space="0" w:color="auto"/>
                    <w:bottom w:val="none" w:sz="0" w:space="0" w:color="auto"/>
                    <w:right w:val="none" w:sz="0" w:space="0" w:color="auto"/>
                  </w:divBdr>
                </w:div>
              </w:divsChild>
            </w:div>
            <w:div w:id="1822622775">
              <w:marLeft w:val="0"/>
              <w:marRight w:val="0"/>
              <w:marTop w:val="0"/>
              <w:marBottom w:val="0"/>
              <w:divBdr>
                <w:top w:val="none" w:sz="0" w:space="0" w:color="auto"/>
                <w:left w:val="none" w:sz="0" w:space="0" w:color="auto"/>
                <w:bottom w:val="none" w:sz="0" w:space="0" w:color="auto"/>
                <w:right w:val="none" w:sz="0" w:space="0" w:color="auto"/>
              </w:divBdr>
              <w:divsChild>
                <w:div w:id="1554851362">
                  <w:marLeft w:val="0"/>
                  <w:marRight w:val="0"/>
                  <w:marTop w:val="0"/>
                  <w:marBottom w:val="0"/>
                  <w:divBdr>
                    <w:top w:val="none" w:sz="0" w:space="0" w:color="auto"/>
                    <w:left w:val="none" w:sz="0" w:space="0" w:color="auto"/>
                    <w:bottom w:val="none" w:sz="0" w:space="0" w:color="auto"/>
                    <w:right w:val="none" w:sz="0" w:space="0" w:color="auto"/>
                  </w:divBdr>
                </w:div>
              </w:divsChild>
            </w:div>
            <w:div w:id="1652368386">
              <w:marLeft w:val="0"/>
              <w:marRight w:val="0"/>
              <w:marTop w:val="0"/>
              <w:marBottom w:val="0"/>
              <w:divBdr>
                <w:top w:val="none" w:sz="0" w:space="0" w:color="auto"/>
                <w:left w:val="none" w:sz="0" w:space="0" w:color="auto"/>
                <w:bottom w:val="none" w:sz="0" w:space="0" w:color="auto"/>
                <w:right w:val="none" w:sz="0" w:space="0" w:color="auto"/>
              </w:divBdr>
              <w:divsChild>
                <w:div w:id="1220898238">
                  <w:marLeft w:val="0"/>
                  <w:marRight w:val="0"/>
                  <w:marTop w:val="0"/>
                  <w:marBottom w:val="0"/>
                  <w:divBdr>
                    <w:top w:val="none" w:sz="0" w:space="0" w:color="auto"/>
                    <w:left w:val="none" w:sz="0" w:space="0" w:color="auto"/>
                    <w:bottom w:val="none" w:sz="0" w:space="0" w:color="auto"/>
                    <w:right w:val="none" w:sz="0" w:space="0" w:color="auto"/>
                  </w:divBdr>
                </w:div>
                <w:div w:id="1008407190">
                  <w:marLeft w:val="0"/>
                  <w:marRight w:val="0"/>
                  <w:marTop w:val="0"/>
                  <w:marBottom w:val="0"/>
                  <w:divBdr>
                    <w:top w:val="none" w:sz="0" w:space="0" w:color="auto"/>
                    <w:left w:val="none" w:sz="0" w:space="0" w:color="auto"/>
                    <w:bottom w:val="none" w:sz="0" w:space="0" w:color="auto"/>
                    <w:right w:val="none" w:sz="0" w:space="0" w:color="auto"/>
                  </w:divBdr>
                </w:div>
                <w:div w:id="484471612">
                  <w:marLeft w:val="0"/>
                  <w:marRight w:val="0"/>
                  <w:marTop w:val="0"/>
                  <w:marBottom w:val="0"/>
                  <w:divBdr>
                    <w:top w:val="none" w:sz="0" w:space="0" w:color="auto"/>
                    <w:left w:val="none" w:sz="0" w:space="0" w:color="auto"/>
                    <w:bottom w:val="none" w:sz="0" w:space="0" w:color="auto"/>
                    <w:right w:val="none" w:sz="0" w:space="0" w:color="auto"/>
                  </w:divBdr>
                </w:div>
                <w:div w:id="1856729601">
                  <w:marLeft w:val="0"/>
                  <w:marRight w:val="0"/>
                  <w:marTop w:val="0"/>
                  <w:marBottom w:val="0"/>
                  <w:divBdr>
                    <w:top w:val="none" w:sz="0" w:space="0" w:color="auto"/>
                    <w:left w:val="none" w:sz="0" w:space="0" w:color="auto"/>
                    <w:bottom w:val="none" w:sz="0" w:space="0" w:color="auto"/>
                    <w:right w:val="none" w:sz="0" w:space="0" w:color="auto"/>
                  </w:divBdr>
                </w:div>
                <w:div w:id="821507552">
                  <w:marLeft w:val="0"/>
                  <w:marRight w:val="0"/>
                  <w:marTop w:val="0"/>
                  <w:marBottom w:val="0"/>
                  <w:divBdr>
                    <w:top w:val="none" w:sz="0" w:space="0" w:color="auto"/>
                    <w:left w:val="none" w:sz="0" w:space="0" w:color="auto"/>
                    <w:bottom w:val="none" w:sz="0" w:space="0" w:color="auto"/>
                    <w:right w:val="none" w:sz="0" w:space="0" w:color="auto"/>
                  </w:divBdr>
                </w:div>
              </w:divsChild>
            </w:div>
            <w:div w:id="1037003824">
              <w:marLeft w:val="0"/>
              <w:marRight w:val="0"/>
              <w:marTop w:val="0"/>
              <w:marBottom w:val="0"/>
              <w:divBdr>
                <w:top w:val="none" w:sz="0" w:space="0" w:color="auto"/>
                <w:left w:val="none" w:sz="0" w:space="0" w:color="auto"/>
                <w:bottom w:val="none" w:sz="0" w:space="0" w:color="auto"/>
                <w:right w:val="none" w:sz="0" w:space="0" w:color="auto"/>
              </w:divBdr>
              <w:divsChild>
                <w:div w:id="18871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5506">
      <w:bodyDiv w:val="1"/>
      <w:marLeft w:val="0"/>
      <w:marRight w:val="0"/>
      <w:marTop w:val="0"/>
      <w:marBottom w:val="0"/>
      <w:divBdr>
        <w:top w:val="none" w:sz="0" w:space="0" w:color="auto"/>
        <w:left w:val="none" w:sz="0" w:space="0" w:color="auto"/>
        <w:bottom w:val="none" w:sz="0" w:space="0" w:color="auto"/>
        <w:right w:val="none" w:sz="0" w:space="0" w:color="auto"/>
      </w:divBdr>
    </w:div>
    <w:div w:id="540021838">
      <w:bodyDiv w:val="1"/>
      <w:marLeft w:val="0"/>
      <w:marRight w:val="0"/>
      <w:marTop w:val="0"/>
      <w:marBottom w:val="0"/>
      <w:divBdr>
        <w:top w:val="none" w:sz="0" w:space="0" w:color="auto"/>
        <w:left w:val="none" w:sz="0" w:space="0" w:color="auto"/>
        <w:bottom w:val="none" w:sz="0" w:space="0" w:color="auto"/>
        <w:right w:val="none" w:sz="0" w:space="0" w:color="auto"/>
      </w:divBdr>
      <w:divsChild>
        <w:div w:id="355735470">
          <w:marLeft w:val="0"/>
          <w:marRight w:val="0"/>
          <w:marTop w:val="0"/>
          <w:marBottom w:val="0"/>
          <w:divBdr>
            <w:top w:val="none" w:sz="0" w:space="0" w:color="auto"/>
            <w:left w:val="none" w:sz="0" w:space="0" w:color="auto"/>
            <w:bottom w:val="none" w:sz="0" w:space="0" w:color="auto"/>
            <w:right w:val="none" w:sz="0" w:space="0" w:color="auto"/>
          </w:divBdr>
          <w:divsChild>
            <w:div w:id="1701197100">
              <w:marLeft w:val="0"/>
              <w:marRight w:val="0"/>
              <w:marTop w:val="0"/>
              <w:marBottom w:val="0"/>
              <w:divBdr>
                <w:top w:val="none" w:sz="0" w:space="0" w:color="auto"/>
                <w:left w:val="none" w:sz="0" w:space="0" w:color="auto"/>
                <w:bottom w:val="none" w:sz="0" w:space="0" w:color="auto"/>
                <w:right w:val="none" w:sz="0" w:space="0" w:color="auto"/>
              </w:divBdr>
              <w:divsChild>
                <w:div w:id="1829858211">
                  <w:marLeft w:val="0"/>
                  <w:marRight w:val="0"/>
                  <w:marTop w:val="0"/>
                  <w:marBottom w:val="0"/>
                  <w:divBdr>
                    <w:top w:val="none" w:sz="0" w:space="0" w:color="auto"/>
                    <w:left w:val="none" w:sz="0" w:space="0" w:color="auto"/>
                    <w:bottom w:val="none" w:sz="0" w:space="0" w:color="auto"/>
                    <w:right w:val="none" w:sz="0" w:space="0" w:color="auto"/>
                  </w:divBdr>
                </w:div>
              </w:divsChild>
            </w:div>
            <w:div w:id="1995184020">
              <w:marLeft w:val="0"/>
              <w:marRight w:val="0"/>
              <w:marTop w:val="0"/>
              <w:marBottom w:val="0"/>
              <w:divBdr>
                <w:top w:val="none" w:sz="0" w:space="0" w:color="auto"/>
                <w:left w:val="none" w:sz="0" w:space="0" w:color="auto"/>
                <w:bottom w:val="none" w:sz="0" w:space="0" w:color="auto"/>
                <w:right w:val="none" w:sz="0" w:space="0" w:color="auto"/>
              </w:divBdr>
              <w:divsChild>
                <w:div w:id="159031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539">
          <w:marLeft w:val="0"/>
          <w:marRight w:val="0"/>
          <w:marTop w:val="0"/>
          <w:marBottom w:val="0"/>
          <w:divBdr>
            <w:top w:val="none" w:sz="0" w:space="0" w:color="auto"/>
            <w:left w:val="none" w:sz="0" w:space="0" w:color="auto"/>
            <w:bottom w:val="none" w:sz="0" w:space="0" w:color="auto"/>
            <w:right w:val="none" w:sz="0" w:space="0" w:color="auto"/>
          </w:divBdr>
          <w:divsChild>
            <w:div w:id="506867009">
              <w:marLeft w:val="0"/>
              <w:marRight w:val="0"/>
              <w:marTop w:val="0"/>
              <w:marBottom w:val="0"/>
              <w:divBdr>
                <w:top w:val="none" w:sz="0" w:space="0" w:color="auto"/>
                <w:left w:val="none" w:sz="0" w:space="0" w:color="auto"/>
                <w:bottom w:val="none" w:sz="0" w:space="0" w:color="auto"/>
                <w:right w:val="none" w:sz="0" w:space="0" w:color="auto"/>
              </w:divBdr>
              <w:divsChild>
                <w:div w:id="20185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3967">
      <w:bodyDiv w:val="1"/>
      <w:marLeft w:val="0"/>
      <w:marRight w:val="0"/>
      <w:marTop w:val="0"/>
      <w:marBottom w:val="0"/>
      <w:divBdr>
        <w:top w:val="none" w:sz="0" w:space="0" w:color="auto"/>
        <w:left w:val="none" w:sz="0" w:space="0" w:color="auto"/>
        <w:bottom w:val="none" w:sz="0" w:space="0" w:color="auto"/>
        <w:right w:val="none" w:sz="0" w:space="0" w:color="auto"/>
      </w:divBdr>
      <w:divsChild>
        <w:div w:id="48723276">
          <w:marLeft w:val="0"/>
          <w:marRight w:val="0"/>
          <w:marTop w:val="0"/>
          <w:marBottom w:val="0"/>
          <w:divBdr>
            <w:top w:val="none" w:sz="0" w:space="0" w:color="auto"/>
            <w:left w:val="none" w:sz="0" w:space="0" w:color="auto"/>
            <w:bottom w:val="none" w:sz="0" w:space="0" w:color="auto"/>
            <w:right w:val="none" w:sz="0" w:space="0" w:color="auto"/>
          </w:divBdr>
          <w:divsChild>
            <w:div w:id="1546987886">
              <w:marLeft w:val="0"/>
              <w:marRight w:val="0"/>
              <w:marTop w:val="0"/>
              <w:marBottom w:val="0"/>
              <w:divBdr>
                <w:top w:val="none" w:sz="0" w:space="0" w:color="auto"/>
                <w:left w:val="none" w:sz="0" w:space="0" w:color="auto"/>
                <w:bottom w:val="none" w:sz="0" w:space="0" w:color="auto"/>
                <w:right w:val="none" w:sz="0" w:space="0" w:color="auto"/>
              </w:divBdr>
              <w:divsChild>
                <w:div w:id="17931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18781">
      <w:bodyDiv w:val="1"/>
      <w:marLeft w:val="0"/>
      <w:marRight w:val="0"/>
      <w:marTop w:val="0"/>
      <w:marBottom w:val="0"/>
      <w:divBdr>
        <w:top w:val="none" w:sz="0" w:space="0" w:color="auto"/>
        <w:left w:val="none" w:sz="0" w:space="0" w:color="auto"/>
        <w:bottom w:val="none" w:sz="0" w:space="0" w:color="auto"/>
        <w:right w:val="none" w:sz="0" w:space="0" w:color="auto"/>
      </w:divBdr>
      <w:divsChild>
        <w:div w:id="1030297466">
          <w:marLeft w:val="0"/>
          <w:marRight w:val="0"/>
          <w:marTop w:val="0"/>
          <w:marBottom w:val="0"/>
          <w:divBdr>
            <w:top w:val="none" w:sz="0" w:space="0" w:color="auto"/>
            <w:left w:val="none" w:sz="0" w:space="0" w:color="auto"/>
            <w:bottom w:val="none" w:sz="0" w:space="0" w:color="auto"/>
            <w:right w:val="none" w:sz="0" w:space="0" w:color="auto"/>
          </w:divBdr>
          <w:divsChild>
            <w:div w:id="6173664">
              <w:marLeft w:val="0"/>
              <w:marRight w:val="0"/>
              <w:marTop w:val="0"/>
              <w:marBottom w:val="0"/>
              <w:divBdr>
                <w:top w:val="none" w:sz="0" w:space="0" w:color="auto"/>
                <w:left w:val="none" w:sz="0" w:space="0" w:color="auto"/>
                <w:bottom w:val="none" w:sz="0" w:space="0" w:color="auto"/>
                <w:right w:val="none" w:sz="0" w:space="0" w:color="auto"/>
              </w:divBdr>
              <w:divsChild>
                <w:div w:id="15398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54712">
      <w:bodyDiv w:val="1"/>
      <w:marLeft w:val="0"/>
      <w:marRight w:val="0"/>
      <w:marTop w:val="0"/>
      <w:marBottom w:val="0"/>
      <w:divBdr>
        <w:top w:val="none" w:sz="0" w:space="0" w:color="auto"/>
        <w:left w:val="none" w:sz="0" w:space="0" w:color="auto"/>
        <w:bottom w:val="none" w:sz="0" w:space="0" w:color="auto"/>
        <w:right w:val="none" w:sz="0" w:space="0" w:color="auto"/>
      </w:divBdr>
      <w:divsChild>
        <w:div w:id="645671780">
          <w:marLeft w:val="0"/>
          <w:marRight w:val="0"/>
          <w:marTop w:val="0"/>
          <w:marBottom w:val="0"/>
          <w:divBdr>
            <w:top w:val="none" w:sz="0" w:space="0" w:color="auto"/>
            <w:left w:val="none" w:sz="0" w:space="0" w:color="auto"/>
            <w:bottom w:val="none" w:sz="0" w:space="0" w:color="auto"/>
            <w:right w:val="none" w:sz="0" w:space="0" w:color="auto"/>
          </w:divBdr>
          <w:divsChild>
            <w:div w:id="1593078356">
              <w:marLeft w:val="0"/>
              <w:marRight w:val="0"/>
              <w:marTop w:val="0"/>
              <w:marBottom w:val="0"/>
              <w:divBdr>
                <w:top w:val="none" w:sz="0" w:space="0" w:color="auto"/>
                <w:left w:val="none" w:sz="0" w:space="0" w:color="auto"/>
                <w:bottom w:val="none" w:sz="0" w:space="0" w:color="auto"/>
                <w:right w:val="none" w:sz="0" w:space="0" w:color="auto"/>
              </w:divBdr>
              <w:divsChild>
                <w:div w:id="9502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05391">
      <w:bodyDiv w:val="1"/>
      <w:marLeft w:val="0"/>
      <w:marRight w:val="0"/>
      <w:marTop w:val="0"/>
      <w:marBottom w:val="0"/>
      <w:divBdr>
        <w:top w:val="none" w:sz="0" w:space="0" w:color="auto"/>
        <w:left w:val="none" w:sz="0" w:space="0" w:color="auto"/>
        <w:bottom w:val="none" w:sz="0" w:space="0" w:color="auto"/>
        <w:right w:val="none" w:sz="0" w:space="0" w:color="auto"/>
      </w:divBdr>
      <w:divsChild>
        <w:div w:id="2125154771">
          <w:marLeft w:val="0"/>
          <w:marRight w:val="0"/>
          <w:marTop w:val="0"/>
          <w:marBottom w:val="0"/>
          <w:divBdr>
            <w:top w:val="none" w:sz="0" w:space="0" w:color="auto"/>
            <w:left w:val="none" w:sz="0" w:space="0" w:color="auto"/>
            <w:bottom w:val="none" w:sz="0" w:space="0" w:color="auto"/>
            <w:right w:val="none" w:sz="0" w:space="0" w:color="auto"/>
          </w:divBdr>
          <w:divsChild>
            <w:div w:id="1967270027">
              <w:marLeft w:val="0"/>
              <w:marRight w:val="0"/>
              <w:marTop w:val="0"/>
              <w:marBottom w:val="0"/>
              <w:divBdr>
                <w:top w:val="none" w:sz="0" w:space="0" w:color="auto"/>
                <w:left w:val="none" w:sz="0" w:space="0" w:color="auto"/>
                <w:bottom w:val="none" w:sz="0" w:space="0" w:color="auto"/>
                <w:right w:val="none" w:sz="0" w:space="0" w:color="auto"/>
              </w:divBdr>
              <w:divsChild>
                <w:div w:id="200489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0922">
      <w:bodyDiv w:val="1"/>
      <w:marLeft w:val="0"/>
      <w:marRight w:val="0"/>
      <w:marTop w:val="0"/>
      <w:marBottom w:val="0"/>
      <w:divBdr>
        <w:top w:val="none" w:sz="0" w:space="0" w:color="auto"/>
        <w:left w:val="none" w:sz="0" w:space="0" w:color="auto"/>
        <w:bottom w:val="none" w:sz="0" w:space="0" w:color="auto"/>
        <w:right w:val="none" w:sz="0" w:space="0" w:color="auto"/>
      </w:divBdr>
      <w:divsChild>
        <w:div w:id="1036781320">
          <w:marLeft w:val="0"/>
          <w:marRight w:val="0"/>
          <w:marTop w:val="0"/>
          <w:marBottom w:val="0"/>
          <w:divBdr>
            <w:top w:val="none" w:sz="0" w:space="0" w:color="auto"/>
            <w:left w:val="none" w:sz="0" w:space="0" w:color="auto"/>
            <w:bottom w:val="none" w:sz="0" w:space="0" w:color="auto"/>
            <w:right w:val="none" w:sz="0" w:space="0" w:color="auto"/>
          </w:divBdr>
          <w:divsChild>
            <w:div w:id="1551764076">
              <w:marLeft w:val="0"/>
              <w:marRight w:val="0"/>
              <w:marTop w:val="0"/>
              <w:marBottom w:val="0"/>
              <w:divBdr>
                <w:top w:val="none" w:sz="0" w:space="0" w:color="auto"/>
                <w:left w:val="none" w:sz="0" w:space="0" w:color="auto"/>
                <w:bottom w:val="none" w:sz="0" w:space="0" w:color="auto"/>
                <w:right w:val="none" w:sz="0" w:space="0" w:color="auto"/>
              </w:divBdr>
              <w:divsChild>
                <w:div w:id="1971860893">
                  <w:marLeft w:val="0"/>
                  <w:marRight w:val="0"/>
                  <w:marTop w:val="0"/>
                  <w:marBottom w:val="0"/>
                  <w:divBdr>
                    <w:top w:val="none" w:sz="0" w:space="0" w:color="auto"/>
                    <w:left w:val="none" w:sz="0" w:space="0" w:color="auto"/>
                    <w:bottom w:val="none" w:sz="0" w:space="0" w:color="auto"/>
                    <w:right w:val="none" w:sz="0" w:space="0" w:color="auto"/>
                  </w:divBdr>
                </w:div>
              </w:divsChild>
            </w:div>
            <w:div w:id="1544252739">
              <w:marLeft w:val="0"/>
              <w:marRight w:val="0"/>
              <w:marTop w:val="0"/>
              <w:marBottom w:val="0"/>
              <w:divBdr>
                <w:top w:val="none" w:sz="0" w:space="0" w:color="auto"/>
                <w:left w:val="none" w:sz="0" w:space="0" w:color="auto"/>
                <w:bottom w:val="none" w:sz="0" w:space="0" w:color="auto"/>
                <w:right w:val="none" w:sz="0" w:space="0" w:color="auto"/>
              </w:divBdr>
              <w:divsChild>
                <w:div w:id="1547260416">
                  <w:marLeft w:val="0"/>
                  <w:marRight w:val="0"/>
                  <w:marTop w:val="0"/>
                  <w:marBottom w:val="0"/>
                  <w:divBdr>
                    <w:top w:val="none" w:sz="0" w:space="0" w:color="auto"/>
                    <w:left w:val="none" w:sz="0" w:space="0" w:color="auto"/>
                    <w:bottom w:val="none" w:sz="0" w:space="0" w:color="auto"/>
                    <w:right w:val="none" w:sz="0" w:space="0" w:color="auto"/>
                  </w:divBdr>
                </w:div>
              </w:divsChild>
            </w:div>
            <w:div w:id="408502905">
              <w:marLeft w:val="0"/>
              <w:marRight w:val="0"/>
              <w:marTop w:val="0"/>
              <w:marBottom w:val="0"/>
              <w:divBdr>
                <w:top w:val="none" w:sz="0" w:space="0" w:color="auto"/>
                <w:left w:val="none" w:sz="0" w:space="0" w:color="auto"/>
                <w:bottom w:val="none" w:sz="0" w:space="0" w:color="auto"/>
                <w:right w:val="none" w:sz="0" w:space="0" w:color="auto"/>
              </w:divBdr>
              <w:divsChild>
                <w:div w:id="1284119898">
                  <w:marLeft w:val="0"/>
                  <w:marRight w:val="0"/>
                  <w:marTop w:val="0"/>
                  <w:marBottom w:val="0"/>
                  <w:divBdr>
                    <w:top w:val="none" w:sz="0" w:space="0" w:color="auto"/>
                    <w:left w:val="none" w:sz="0" w:space="0" w:color="auto"/>
                    <w:bottom w:val="none" w:sz="0" w:space="0" w:color="auto"/>
                    <w:right w:val="none" w:sz="0" w:space="0" w:color="auto"/>
                  </w:divBdr>
                </w:div>
              </w:divsChild>
            </w:div>
            <w:div w:id="1096831798">
              <w:marLeft w:val="0"/>
              <w:marRight w:val="0"/>
              <w:marTop w:val="0"/>
              <w:marBottom w:val="0"/>
              <w:divBdr>
                <w:top w:val="none" w:sz="0" w:space="0" w:color="auto"/>
                <w:left w:val="none" w:sz="0" w:space="0" w:color="auto"/>
                <w:bottom w:val="none" w:sz="0" w:space="0" w:color="auto"/>
                <w:right w:val="none" w:sz="0" w:space="0" w:color="auto"/>
              </w:divBdr>
              <w:divsChild>
                <w:div w:id="761335714">
                  <w:marLeft w:val="0"/>
                  <w:marRight w:val="0"/>
                  <w:marTop w:val="0"/>
                  <w:marBottom w:val="0"/>
                  <w:divBdr>
                    <w:top w:val="none" w:sz="0" w:space="0" w:color="auto"/>
                    <w:left w:val="none" w:sz="0" w:space="0" w:color="auto"/>
                    <w:bottom w:val="none" w:sz="0" w:space="0" w:color="auto"/>
                    <w:right w:val="none" w:sz="0" w:space="0" w:color="auto"/>
                  </w:divBdr>
                </w:div>
              </w:divsChild>
            </w:div>
            <w:div w:id="1601524763">
              <w:marLeft w:val="0"/>
              <w:marRight w:val="0"/>
              <w:marTop w:val="0"/>
              <w:marBottom w:val="0"/>
              <w:divBdr>
                <w:top w:val="none" w:sz="0" w:space="0" w:color="auto"/>
                <w:left w:val="none" w:sz="0" w:space="0" w:color="auto"/>
                <w:bottom w:val="none" w:sz="0" w:space="0" w:color="auto"/>
                <w:right w:val="none" w:sz="0" w:space="0" w:color="auto"/>
              </w:divBdr>
              <w:divsChild>
                <w:div w:id="1636986480">
                  <w:marLeft w:val="0"/>
                  <w:marRight w:val="0"/>
                  <w:marTop w:val="0"/>
                  <w:marBottom w:val="0"/>
                  <w:divBdr>
                    <w:top w:val="none" w:sz="0" w:space="0" w:color="auto"/>
                    <w:left w:val="none" w:sz="0" w:space="0" w:color="auto"/>
                    <w:bottom w:val="none" w:sz="0" w:space="0" w:color="auto"/>
                    <w:right w:val="none" w:sz="0" w:space="0" w:color="auto"/>
                  </w:divBdr>
                </w:div>
              </w:divsChild>
            </w:div>
            <w:div w:id="1665283189">
              <w:marLeft w:val="0"/>
              <w:marRight w:val="0"/>
              <w:marTop w:val="0"/>
              <w:marBottom w:val="0"/>
              <w:divBdr>
                <w:top w:val="none" w:sz="0" w:space="0" w:color="auto"/>
                <w:left w:val="none" w:sz="0" w:space="0" w:color="auto"/>
                <w:bottom w:val="none" w:sz="0" w:space="0" w:color="auto"/>
                <w:right w:val="none" w:sz="0" w:space="0" w:color="auto"/>
              </w:divBdr>
              <w:divsChild>
                <w:div w:id="771364518">
                  <w:marLeft w:val="0"/>
                  <w:marRight w:val="0"/>
                  <w:marTop w:val="0"/>
                  <w:marBottom w:val="0"/>
                  <w:divBdr>
                    <w:top w:val="none" w:sz="0" w:space="0" w:color="auto"/>
                    <w:left w:val="none" w:sz="0" w:space="0" w:color="auto"/>
                    <w:bottom w:val="none" w:sz="0" w:space="0" w:color="auto"/>
                    <w:right w:val="none" w:sz="0" w:space="0" w:color="auto"/>
                  </w:divBdr>
                </w:div>
              </w:divsChild>
            </w:div>
            <w:div w:id="621112926">
              <w:marLeft w:val="0"/>
              <w:marRight w:val="0"/>
              <w:marTop w:val="0"/>
              <w:marBottom w:val="0"/>
              <w:divBdr>
                <w:top w:val="none" w:sz="0" w:space="0" w:color="auto"/>
                <w:left w:val="none" w:sz="0" w:space="0" w:color="auto"/>
                <w:bottom w:val="none" w:sz="0" w:space="0" w:color="auto"/>
                <w:right w:val="none" w:sz="0" w:space="0" w:color="auto"/>
              </w:divBdr>
              <w:divsChild>
                <w:div w:id="2039041280">
                  <w:marLeft w:val="0"/>
                  <w:marRight w:val="0"/>
                  <w:marTop w:val="0"/>
                  <w:marBottom w:val="0"/>
                  <w:divBdr>
                    <w:top w:val="none" w:sz="0" w:space="0" w:color="auto"/>
                    <w:left w:val="none" w:sz="0" w:space="0" w:color="auto"/>
                    <w:bottom w:val="none" w:sz="0" w:space="0" w:color="auto"/>
                    <w:right w:val="none" w:sz="0" w:space="0" w:color="auto"/>
                  </w:divBdr>
                </w:div>
              </w:divsChild>
            </w:div>
            <w:div w:id="54476850">
              <w:marLeft w:val="0"/>
              <w:marRight w:val="0"/>
              <w:marTop w:val="0"/>
              <w:marBottom w:val="0"/>
              <w:divBdr>
                <w:top w:val="none" w:sz="0" w:space="0" w:color="auto"/>
                <w:left w:val="none" w:sz="0" w:space="0" w:color="auto"/>
                <w:bottom w:val="none" w:sz="0" w:space="0" w:color="auto"/>
                <w:right w:val="none" w:sz="0" w:space="0" w:color="auto"/>
              </w:divBdr>
              <w:divsChild>
                <w:div w:id="1035420443">
                  <w:marLeft w:val="0"/>
                  <w:marRight w:val="0"/>
                  <w:marTop w:val="0"/>
                  <w:marBottom w:val="0"/>
                  <w:divBdr>
                    <w:top w:val="none" w:sz="0" w:space="0" w:color="auto"/>
                    <w:left w:val="none" w:sz="0" w:space="0" w:color="auto"/>
                    <w:bottom w:val="none" w:sz="0" w:space="0" w:color="auto"/>
                    <w:right w:val="none" w:sz="0" w:space="0" w:color="auto"/>
                  </w:divBdr>
                </w:div>
              </w:divsChild>
            </w:div>
            <w:div w:id="203492574">
              <w:marLeft w:val="0"/>
              <w:marRight w:val="0"/>
              <w:marTop w:val="0"/>
              <w:marBottom w:val="0"/>
              <w:divBdr>
                <w:top w:val="none" w:sz="0" w:space="0" w:color="auto"/>
                <w:left w:val="none" w:sz="0" w:space="0" w:color="auto"/>
                <w:bottom w:val="none" w:sz="0" w:space="0" w:color="auto"/>
                <w:right w:val="none" w:sz="0" w:space="0" w:color="auto"/>
              </w:divBdr>
              <w:divsChild>
                <w:div w:id="1673029002">
                  <w:marLeft w:val="0"/>
                  <w:marRight w:val="0"/>
                  <w:marTop w:val="0"/>
                  <w:marBottom w:val="0"/>
                  <w:divBdr>
                    <w:top w:val="none" w:sz="0" w:space="0" w:color="auto"/>
                    <w:left w:val="none" w:sz="0" w:space="0" w:color="auto"/>
                    <w:bottom w:val="none" w:sz="0" w:space="0" w:color="auto"/>
                    <w:right w:val="none" w:sz="0" w:space="0" w:color="auto"/>
                  </w:divBdr>
                </w:div>
              </w:divsChild>
            </w:div>
            <w:div w:id="265892848">
              <w:marLeft w:val="0"/>
              <w:marRight w:val="0"/>
              <w:marTop w:val="0"/>
              <w:marBottom w:val="0"/>
              <w:divBdr>
                <w:top w:val="none" w:sz="0" w:space="0" w:color="auto"/>
                <w:left w:val="none" w:sz="0" w:space="0" w:color="auto"/>
                <w:bottom w:val="none" w:sz="0" w:space="0" w:color="auto"/>
                <w:right w:val="none" w:sz="0" w:space="0" w:color="auto"/>
              </w:divBdr>
              <w:divsChild>
                <w:div w:id="698091017">
                  <w:marLeft w:val="0"/>
                  <w:marRight w:val="0"/>
                  <w:marTop w:val="0"/>
                  <w:marBottom w:val="0"/>
                  <w:divBdr>
                    <w:top w:val="none" w:sz="0" w:space="0" w:color="auto"/>
                    <w:left w:val="none" w:sz="0" w:space="0" w:color="auto"/>
                    <w:bottom w:val="none" w:sz="0" w:space="0" w:color="auto"/>
                    <w:right w:val="none" w:sz="0" w:space="0" w:color="auto"/>
                  </w:divBdr>
                </w:div>
              </w:divsChild>
            </w:div>
            <w:div w:id="967470817">
              <w:marLeft w:val="0"/>
              <w:marRight w:val="0"/>
              <w:marTop w:val="0"/>
              <w:marBottom w:val="0"/>
              <w:divBdr>
                <w:top w:val="none" w:sz="0" w:space="0" w:color="auto"/>
                <w:left w:val="none" w:sz="0" w:space="0" w:color="auto"/>
                <w:bottom w:val="none" w:sz="0" w:space="0" w:color="auto"/>
                <w:right w:val="none" w:sz="0" w:space="0" w:color="auto"/>
              </w:divBdr>
              <w:divsChild>
                <w:div w:id="170878601">
                  <w:marLeft w:val="0"/>
                  <w:marRight w:val="0"/>
                  <w:marTop w:val="0"/>
                  <w:marBottom w:val="0"/>
                  <w:divBdr>
                    <w:top w:val="none" w:sz="0" w:space="0" w:color="auto"/>
                    <w:left w:val="none" w:sz="0" w:space="0" w:color="auto"/>
                    <w:bottom w:val="none" w:sz="0" w:space="0" w:color="auto"/>
                    <w:right w:val="none" w:sz="0" w:space="0" w:color="auto"/>
                  </w:divBdr>
                </w:div>
              </w:divsChild>
            </w:div>
            <w:div w:id="1146822469">
              <w:marLeft w:val="0"/>
              <w:marRight w:val="0"/>
              <w:marTop w:val="0"/>
              <w:marBottom w:val="0"/>
              <w:divBdr>
                <w:top w:val="none" w:sz="0" w:space="0" w:color="auto"/>
                <w:left w:val="none" w:sz="0" w:space="0" w:color="auto"/>
                <w:bottom w:val="none" w:sz="0" w:space="0" w:color="auto"/>
                <w:right w:val="none" w:sz="0" w:space="0" w:color="auto"/>
              </w:divBdr>
              <w:divsChild>
                <w:div w:id="1247959929">
                  <w:marLeft w:val="0"/>
                  <w:marRight w:val="0"/>
                  <w:marTop w:val="0"/>
                  <w:marBottom w:val="0"/>
                  <w:divBdr>
                    <w:top w:val="none" w:sz="0" w:space="0" w:color="auto"/>
                    <w:left w:val="none" w:sz="0" w:space="0" w:color="auto"/>
                    <w:bottom w:val="none" w:sz="0" w:space="0" w:color="auto"/>
                    <w:right w:val="none" w:sz="0" w:space="0" w:color="auto"/>
                  </w:divBdr>
                </w:div>
              </w:divsChild>
            </w:div>
            <w:div w:id="3821836">
              <w:marLeft w:val="0"/>
              <w:marRight w:val="0"/>
              <w:marTop w:val="0"/>
              <w:marBottom w:val="0"/>
              <w:divBdr>
                <w:top w:val="none" w:sz="0" w:space="0" w:color="auto"/>
                <w:left w:val="none" w:sz="0" w:space="0" w:color="auto"/>
                <w:bottom w:val="none" w:sz="0" w:space="0" w:color="auto"/>
                <w:right w:val="none" w:sz="0" w:space="0" w:color="auto"/>
              </w:divBdr>
              <w:divsChild>
                <w:div w:id="524908869">
                  <w:marLeft w:val="0"/>
                  <w:marRight w:val="0"/>
                  <w:marTop w:val="0"/>
                  <w:marBottom w:val="0"/>
                  <w:divBdr>
                    <w:top w:val="none" w:sz="0" w:space="0" w:color="auto"/>
                    <w:left w:val="none" w:sz="0" w:space="0" w:color="auto"/>
                    <w:bottom w:val="none" w:sz="0" w:space="0" w:color="auto"/>
                    <w:right w:val="none" w:sz="0" w:space="0" w:color="auto"/>
                  </w:divBdr>
                </w:div>
              </w:divsChild>
            </w:div>
            <w:div w:id="1025446677">
              <w:marLeft w:val="0"/>
              <w:marRight w:val="0"/>
              <w:marTop w:val="0"/>
              <w:marBottom w:val="0"/>
              <w:divBdr>
                <w:top w:val="none" w:sz="0" w:space="0" w:color="auto"/>
                <w:left w:val="none" w:sz="0" w:space="0" w:color="auto"/>
                <w:bottom w:val="none" w:sz="0" w:space="0" w:color="auto"/>
                <w:right w:val="none" w:sz="0" w:space="0" w:color="auto"/>
              </w:divBdr>
              <w:divsChild>
                <w:div w:id="1299258832">
                  <w:marLeft w:val="0"/>
                  <w:marRight w:val="0"/>
                  <w:marTop w:val="0"/>
                  <w:marBottom w:val="0"/>
                  <w:divBdr>
                    <w:top w:val="none" w:sz="0" w:space="0" w:color="auto"/>
                    <w:left w:val="none" w:sz="0" w:space="0" w:color="auto"/>
                    <w:bottom w:val="none" w:sz="0" w:space="0" w:color="auto"/>
                    <w:right w:val="none" w:sz="0" w:space="0" w:color="auto"/>
                  </w:divBdr>
                </w:div>
              </w:divsChild>
            </w:div>
            <w:div w:id="695084888">
              <w:marLeft w:val="0"/>
              <w:marRight w:val="0"/>
              <w:marTop w:val="0"/>
              <w:marBottom w:val="0"/>
              <w:divBdr>
                <w:top w:val="none" w:sz="0" w:space="0" w:color="auto"/>
                <w:left w:val="none" w:sz="0" w:space="0" w:color="auto"/>
                <w:bottom w:val="none" w:sz="0" w:space="0" w:color="auto"/>
                <w:right w:val="none" w:sz="0" w:space="0" w:color="auto"/>
              </w:divBdr>
              <w:divsChild>
                <w:div w:id="164055783">
                  <w:marLeft w:val="0"/>
                  <w:marRight w:val="0"/>
                  <w:marTop w:val="0"/>
                  <w:marBottom w:val="0"/>
                  <w:divBdr>
                    <w:top w:val="none" w:sz="0" w:space="0" w:color="auto"/>
                    <w:left w:val="none" w:sz="0" w:space="0" w:color="auto"/>
                    <w:bottom w:val="none" w:sz="0" w:space="0" w:color="auto"/>
                    <w:right w:val="none" w:sz="0" w:space="0" w:color="auto"/>
                  </w:divBdr>
                </w:div>
              </w:divsChild>
            </w:div>
            <w:div w:id="587345054">
              <w:marLeft w:val="0"/>
              <w:marRight w:val="0"/>
              <w:marTop w:val="0"/>
              <w:marBottom w:val="0"/>
              <w:divBdr>
                <w:top w:val="none" w:sz="0" w:space="0" w:color="auto"/>
                <w:left w:val="none" w:sz="0" w:space="0" w:color="auto"/>
                <w:bottom w:val="none" w:sz="0" w:space="0" w:color="auto"/>
                <w:right w:val="none" w:sz="0" w:space="0" w:color="auto"/>
              </w:divBdr>
              <w:divsChild>
                <w:div w:id="2078892059">
                  <w:marLeft w:val="0"/>
                  <w:marRight w:val="0"/>
                  <w:marTop w:val="0"/>
                  <w:marBottom w:val="0"/>
                  <w:divBdr>
                    <w:top w:val="none" w:sz="0" w:space="0" w:color="auto"/>
                    <w:left w:val="none" w:sz="0" w:space="0" w:color="auto"/>
                    <w:bottom w:val="none" w:sz="0" w:space="0" w:color="auto"/>
                    <w:right w:val="none" w:sz="0" w:space="0" w:color="auto"/>
                  </w:divBdr>
                </w:div>
              </w:divsChild>
            </w:div>
            <w:div w:id="1629117627">
              <w:marLeft w:val="0"/>
              <w:marRight w:val="0"/>
              <w:marTop w:val="0"/>
              <w:marBottom w:val="0"/>
              <w:divBdr>
                <w:top w:val="none" w:sz="0" w:space="0" w:color="auto"/>
                <w:left w:val="none" w:sz="0" w:space="0" w:color="auto"/>
                <w:bottom w:val="none" w:sz="0" w:space="0" w:color="auto"/>
                <w:right w:val="none" w:sz="0" w:space="0" w:color="auto"/>
              </w:divBdr>
              <w:divsChild>
                <w:div w:id="112777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064192">
      <w:bodyDiv w:val="1"/>
      <w:marLeft w:val="0"/>
      <w:marRight w:val="0"/>
      <w:marTop w:val="0"/>
      <w:marBottom w:val="0"/>
      <w:divBdr>
        <w:top w:val="none" w:sz="0" w:space="0" w:color="auto"/>
        <w:left w:val="none" w:sz="0" w:space="0" w:color="auto"/>
        <w:bottom w:val="none" w:sz="0" w:space="0" w:color="auto"/>
        <w:right w:val="none" w:sz="0" w:space="0" w:color="auto"/>
      </w:divBdr>
      <w:divsChild>
        <w:div w:id="707222546">
          <w:marLeft w:val="0"/>
          <w:marRight w:val="0"/>
          <w:marTop w:val="0"/>
          <w:marBottom w:val="0"/>
          <w:divBdr>
            <w:top w:val="none" w:sz="0" w:space="0" w:color="auto"/>
            <w:left w:val="none" w:sz="0" w:space="0" w:color="auto"/>
            <w:bottom w:val="none" w:sz="0" w:space="0" w:color="auto"/>
            <w:right w:val="none" w:sz="0" w:space="0" w:color="auto"/>
          </w:divBdr>
          <w:divsChild>
            <w:div w:id="1733890224">
              <w:marLeft w:val="0"/>
              <w:marRight w:val="0"/>
              <w:marTop w:val="0"/>
              <w:marBottom w:val="0"/>
              <w:divBdr>
                <w:top w:val="none" w:sz="0" w:space="0" w:color="auto"/>
                <w:left w:val="none" w:sz="0" w:space="0" w:color="auto"/>
                <w:bottom w:val="none" w:sz="0" w:space="0" w:color="auto"/>
                <w:right w:val="none" w:sz="0" w:space="0" w:color="auto"/>
              </w:divBdr>
              <w:divsChild>
                <w:div w:id="1320841143">
                  <w:marLeft w:val="0"/>
                  <w:marRight w:val="0"/>
                  <w:marTop w:val="0"/>
                  <w:marBottom w:val="0"/>
                  <w:divBdr>
                    <w:top w:val="none" w:sz="0" w:space="0" w:color="auto"/>
                    <w:left w:val="none" w:sz="0" w:space="0" w:color="auto"/>
                    <w:bottom w:val="none" w:sz="0" w:space="0" w:color="auto"/>
                    <w:right w:val="none" w:sz="0" w:space="0" w:color="auto"/>
                  </w:divBdr>
                  <w:divsChild>
                    <w:div w:id="71947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454149">
      <w:bodyDiv w:val="1"/>
      <w:marLeft w:val="0"/>
      <w:marRight w:val="0"/>
      <w:marTop w:val="0"/>
      <w:marBottom w:val="0"/>
      <w:divBdr>
        <w:top w:val="none" w:sz="0" w:space="0" w:color="auto"/>
        <w:left w:val="none" w:sz="0" w:space="0" w:color="auto"/>
        <w:bottom w:val="none" w:sz="0" w:space="0" w:color="auto"/>
        <w:right w:val="none" w:sz="0" w:space="0" w:color="auto"/>
      </w:divBdr>
      <w:divsChild>
        <w:div w:id="34425943">
          <w:marLeft w:val="0"/>
          <w:marRight w:val="0"/>
          <w:marTop w:val="0"/>
          <w:marBottom w:val="0"/>
          <w:divBdr>
            <w:top w:val="none" w:sz="0" w:space="0" w:color="auto"/>
            <w:left w:val="none" w:sz="0" w:space="0" w:color="auto"/>
            <w:bottom w:val="none" w:sz="0" w:space="0" w:color="auto"/>
            <w:right w:val="none" w:sz="0" w:space="0" w:color="auto"/>
          </w:divBdr>
          <w:divsChild>
            <w:div w:id="512844286">
              <w:marLeft w:val="0"/>
              <w:marRight w:val="0"/>
              <w:marTop w:val="0"/>
              <w:marBottom w:val="0"/>
              <w:divBdr>
                <w:top w:val="none" w:sz="0" w:space="0" w:color="auto"/>
                <w:left w:val="none" w:sz="0" w:space="0" w:color="auto"/>
                <w:bottom w:val="none" w:sz="0" w:space="0" w:color="auto"/>
                <w:right w:val="none" w:sz="0" w:space="0" w:color="auto"/>
              </w:divBdr>
              <w:divsChild>
                <w:div w:id="1489783153">
                  <w:marLeft w:val="0"/>
                  <w:marRight w:val="0"/>
                  <w:marTop w:val="0"/>
                  <w:marBottom w:val="0"/>
                  <w:divBdr>
                    <w:top w:val="none" w:sz="0" w:space="0" w:color="auto"/>
                    <w:left w:val="none" w:sz="0" w:space="0" w:color="auto"/>
                    <w:bottom w:val="none" w:sz="0" w:space="0" w:color="auto"/>
                    <w:right w:val="none" w:sz="0" w:space="0" w:color="auto"/>
                  </w:divBdr>
                </w:div>
              </w:divsChild>
            </w:div>
            <w:div w:id="1109663236">
              <w:marLeft w:val="0"/>
              <w:marRight w:val="0"/>
              <w:marTop w:val="0"/>
              <w:marBottom w:val="0"/>
              <w:divBdr>
                <w:top w:val="none" w:sz="0" w:space="0" w:color="auto"/>
                <w:left w:val="none" w:sz="0" w:space="0" w:color="auto"/>
                <w:bottom w:val="none" w:sz="0" w:space="0" w:color="auto"/>
                <w:right w:val="none" w:sz="0" w:space="0" w:color="auto"/>
              </w:divBdr>
              <w:divsChild>
                <w:div w:id="473451207">
                  <w:marLeft w:val="0"/>
                  <w:marRight w:val="0"/>
                  <w:marTop w:val="0"/>
                  <w:marBottom w:val="0"/>
                  <w:divBdr>
                    <w:top w:val="none" w:sz="0" w:space="0" w:color="auto"/>
                    <w:left w:val="none" w:sz="0" w:space="0" w:color="auto"/>
                    <w:bottom w:val="none" w:sz="0" w:space="0" w:color="auto"/>
                    <w:right w:val="none" w:sz="0" w:space="0" w:color="auto"/>
                  </w:divBdr>
                  <w:divsChild>
                    <w:div w:id="170244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144747">
      <w:bodyDiv w:val="1"/>
      <w:marLeft w:val="0"/>
      <w:marRight w:val="0"/>
      <w:marTop w:val="0"/>
      <w:marBottom w:val="0"/>
      <w:divBdr>
        <w:top w:val="none" w:sz="0" w:space="0" w:color="auto"/>
        <w:left w:val="none" w:sz="0" w:space="0" w:color="auto"/>
        <w:bottom w:val="none" w:sz="0" w:space="0" w:color="auto"/>
        <w:right w:val="none" w:sz="0" w:space="0" w:color="auto"/>
      </w:divBdr>
    </w:div>
    <w:div w:id="1630042274">
      <w:bodyDiv w:val="1"/>
      <w:marLeft w:val="0"/>
      <w:marRight w:val="0"/>
      <w:marTop w:val="0"/>
      <w:marBottom w:val="0"/>
      <w:divBdr>
        <w:top w:val="none" w:sz="0" w:space="0" w:color="auto"/>
        <w:left w:val="none" w:sz="0" w:space="0" w:color="auto"/>
        <w:bottom w:val="none" w:sz="0" w:space="0" w:color="auto"/>
        <w:right w:val="none" w:sz="0" w:space="0" w:color="auto"/>
      </w:divBdr>
      <w:divsChild>
        <w:div w:id="573855956">
          <w:marLeft w:val="0"/>
          <w:marRight w:val="0"/>
          <w:marTop w:val="0"/>
          <w:marBottom w:val="0"/>
          <w:divBdr>
            <w:top w:val="none" w:sz="0" w:space="0" w:color="auto"/>
            <w:left w:val="none" w:sz="0" w:space="0" w:color="auto"/>
            <w:bottom w:val="none" w:sz="0" w:space="0" w:color="auto"/>
            <w:right w:val="none" w:sz="0" w:space="0" w:color="auto"/>
          </w:divBdr>
          <w:divsChild>
            <w:div w:id="1614021903">
              <w:marLeft w:val="0"/>
              <w:marRight w:val="0"/>
              <w:marTop w:val="0"/>
              <w:marBottom w:val="0"/>
              <w:divBdr>
                <w:top w:val="none" w:sz="0" w:space="0" w:color="auto"/>
                <w:left w:val="none" w:sz="0" w:space="0" w:color="auto"/>
                <w:bottom w:val="none" w:sz="0" w:space="0" w:color="auto"/>
                <w:right w:val="none" w:sz="0" w:space="0" w:color="auto"/>
              </w:divBdr>
              <w:divsChild>
                <w:div w:id="20904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11054">
      <w:bodyDiv w:val="1"/>
      <w:marLeft w:val="0"/>
      <w:marRight w:val="0"/>
      <w:marTop w:val="0"/>
      <w:marBottom w:val="0"/>
      <w:divBdr>
        <w:top w:val="none" w:sz="0" w:space="0" w:color="auto"/>
        <w:left w:val="none" w:sz="0" w:space="0" w:color="auto"/>
        <w:bottom w:val="none" w:sz="0" w:space="0" w:color="auto"/>
        <w:right w:val="none" w:sz="0" w:space="0" w:color="auto"/>
      </w:divBdr>
      <w:divsChild>
        <w:div w:id="841433715">
          <w:marLeft w:val="0"/>
          <w:marRight w:val="0"/>
          <w:marTop w:val="0"/>
          <w:marBottom w:val="0"/>
          <w:divBdr>
            <w:top w:val="none" w:sz="0" w:space="0" w:color="auto"/>
            <w:left w:val="none" w:sz="0" w:space="0" w:color="auto"/>
            <w:bottom w:val="none" w:sz="0" w:space="0" w:color="auto"/>
            <w:right w:val="none" w:sz="0" w:space="0" w:color="auto"/>
          </w:divBdr>
          <w:divsChild>
            <w:div w:id="666634792">
              <w:marLeft w:val="0"/>
              <w:marRight w:val="0"/>
              <w:marTop w:val="0"/>
              <w:marBottom w:val="0"/>
              <w:divBdr>
                <w:top w:val="none" w:sz="0" w:space="0" w:color="auto"/>
                <w:left w:val="none" w:sz="0" w:space="0" w:color="auto"/>
                <w:bottom w:val="none" w:sz="0" w:space="0" w:color="auto"/>
                <w:right w:val="none" w:sz="0" w:space="0" w:color="auto"/>
              </w:divBdr>
              <w:divsChild>
                <w:div w:id="1139960283">
                  <w:marLeft w:val="0"/>
                  <w:marRight w:val="0"/>
                  <w:marTop w:val="0"/>
                  <w:marBottom w:val="0"/>
                  <w:divBdr>
                    <w:top w:val="none" w:sz="0" w:space="0" w:color="auto"/>
                    <w:left w:val="none" w:sz="0" w:space="0" w:color="auto"/>
                    <w:bottom w:val="none" w:sz="0" w:space="0" w:color="auto"/>
                    <w:right w:val="none" w:sz="0" w:space="0" w:color="auto"/>
                  </w:divBdr>
                  <w:divsChild>
                    <w:div w:id="138911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776328">
      <w:bodyDiv w:val="1"/>
      <w:marLeft w:val="0"/>
      <w:marRight w:val="0"/>
      <w:marTop w:val="0"/>
      <w:marBottom w:val="0"/>
      <w:divBdr>
        <w:top w:val="none" w:sz="0" w:space="0" w:color="auto"/>
        <w:left w:val="none" w:sz="0" w:space="0" w:color="auto"/>
        <w:bottom w:val="none" w:sz="0" w:space="0" w:color="auto"/>
        <w:right w:val="none" w:sz="0" w:space="0" w:color="auto"/>
      </w:divBdr>
      <w:divsChild>
        <w:div w:id="106975200">
          <w:marLeft w:val="0"/>
          <w:marRight w:val="0"/>
          <w:marTop w:val="0"/>
          <w:marBottom w:val="0"/>
          <w:divBdr>
            <w:top w:val="none" w:sz="0" w:space="0" w:color="auto"/>
            <w:left w:val="none" w:sz="0" w:space="0" w:color="auto"/>
            <w:bottom w:val="none" w:sz="0" w:space="0" w:color="auto"/>
            <w:right w:val="none" w:sz="0" w:space="0" w:color="auto"/>
          </w:divBdr>
          <w:divsChild>
            <w:div w:id="1306085261">
              <w:marLeft w:val="0"/>
              <w:marRight w:val="0"/>
              <w:marTop w:val="0"/>
              <w:marBottom w:val="0"/>
              <w:divBdr>
                <w:top w:val="none" w:sz="0" w:space="0" w:color="auto"/>
                <w:left w:val="none" w:sz="0" w:space="0" w:color="auto"/>
                <w:bottom w:val="none" w:sz="0" w:space="0" w:color="auto"/>
                <w:right w:val="none" w:sz="0" w:space="0" w:color="auto"/>
              </w:divBdr>
              <w:divsChild>
                <w:div w:id="44099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047311">
      <w:bodyDiv w:val="1"/>
      <w:marLeft w:val="0"/>
      <w:marRight w:val="0"/>
      <w:marTop w:val="0"/>
      <w:marBottom w:val="0"/>
      <w:divBdr>
        <w:top w:val="none" w:sz="0" w:space="0" w:color="auto"/>
        <w:left w:val="none" w:sz="0" w:space="0" w:color="auto"/>
        <w:bottom w:val="none" w:sz="0" w:space="0" w:color="auto"/>
        <w:right w:val="none" w:sz="0" w:space="0" w:color="auto"/>
      </w:divBdr>
      <w:divsChild>
        <w:div w:id="624822024">
          <w:marLeft w:val="0"/>
          <w:marRight w:val="0"/>
          <w:marTop w:val="0"/>
          <w:marBottom w:val="0"/>
          <w:divBdr>
            <w:top w:val="none" w:sz="0" w:space="0" w:color="auto"/>
            <w:left w:val="none" w:sz="0" w:space="0" w:color="auto"/>
            <w:bottom w:val="none" w:sz="0" w:space="0" w:color="auto"/>
            <w:right w:val="none" w:sz="0" w:space="0" w:color="auto"/>
          </w:divBdr>
        </w:div>
        <w:div w:id="1335692335">
          <w:marLeft w:val="0"/>
          <w:marRight w:val="0"/>
          <w:marTop w:val="0"/>
          <w:marBottom w:val="0"/>
          <w:divBdr>
            <w:top w:val="none" w:sz="0" w:space="0" w:color="auto"/>
            <w:left w:val="none" w:sz="0" w:space="0" w:color="auto"/>
            <w:bottom w:val="none" w:sz="0" w:space="0" w:color="auto"/>
            <w:right w:val="none" w:sz="0" w:space="0" w:color="auto"/>
          </w:divBdr>
        </w:div>
        <w:div w:id="1677801741">
          <w:marLeft w:val="0"/>
          <w:marRight w:val="0"/>
          <w:marTop w:val="0"/>
          <w:marBottom w:val="0"/>
          <w:divBdr>
            <w:top w:val="none" w:sz="0" w:space="0" w:color="auto"/>
            <w:left w:val="none" w:sz="0" w:space="0" w:color="auto"/>
            <w:bottom w:val="none" w:sz="0" w:space="0" w:color="auto"/>
            <w:right w:val="none" w:sz="0" w:space="0" w:color="auto"/>
          </w:divBdr>
        </w:div>
        <w:div w:id="1383678349">
          <w:marLeft w:val="0"/>
          <w:marRight w:val="0"/>
          <w:marTop w:val="0"/>
          <w:marBottom w:val="0"/>
          <w:divBdr>
            <w:top w:val="none" w:sz="0" w:space="0" w:color="auto"/>
            <w:left w:val="none" w:sz="0" w:space="0" w:color="auto"/>
            <w:bottom w:val="none" w:sz="0" w:space="0" w:color="auto"/>
            <w:right w:val="none" w:sz="0" w:space="0" w:color="auto"/>
          </w:divBdr>
        </w:div>
        <w:div w:id="1628854665">
          <w:marLeft w:val="0"/>
          <w:marRight w:val="0"/>
          <w:marTop w:val="0"/>
          <w:marBottom w:val="0"/>
          <w:divBdr>
            <w:top w:val="none" w:sz="0" w:space="0" w:color="auto"/>
            <w:left w:val="none" w:sz="0" w:space="0" w:color="auto"/>
            <w:bottom w:val="none" w:sz="0" w:space="0" w:color="auto"/>
            <w:right w:val="none" w:sz="0" w:space="0" w:color="auto"/>
          </w:divBdr>
        </w:div>
      </w:divsChild>
    </w:div>
    <w:div w:id="2054502880">
      <w:bodyDiv w:val="1"/>
      <w:marLeft w:val="0"/>
      <w:marRight w:val="0"/>
      <w:marTop w:val="0"/>
      <w:marBottom w:val="0"/>
      <w:divBdr>
        <w:top w:val="none" w:sz="0" w:space="0" w:color="auto"/>
        <w:left w:val="none" w:sz="0" w:space="0" w:color="auto"/>
        <w:bottom w:val="none" w:sz="0" w:space="0" w:color="auto"/>
        <w:right w:val="none" w:sz="0" w:space="0" w:color="auto"/>
      </w:divBdr>
      <w:divsChild>
        <w:div w:id="531722111">
          <w:marLeft w:val="0"/>
          <w:marRight w:val="0"/>
          <w:marTop w:val="0"/>
          <w:marBottom w:val="0"/>
          <w:divBdr>
            <w:top w:val="none" w:sz="0" w:space="0" w:color="auto"/>
            <w:left w:val="none" w:sz="0" w:space="0" w:color="auto"/>
            <w:bottom w:val="none" w:sz="0" w:space="0" w:color="auto"/>
            <w:right w:val="none" w:sz="0" w:space="0" w:color="auto"/>
          </w:divBdr>
          <w:divsChild>
            <w:div w:id="615598712">
              <w:marLeft w:val="0"/>
              <w:marRight w:val="0"/>
              <w:marTop w:val="0"/>
              <w:marBottom w:val="0"/>
              <w:divBdr>
                <w:top w:val="none" w:sz="0" w:space="0" w:color="auto"/>
                <w:left w:val="none" w:sz="0" w:space="0" w:color="auto"/>
                <w:bottom w:val="none" w:sz="0" w:space="0" w:color="auto"/>
                <w:right w:val="none" w:sz="0" w:space="0" w:color="auto"/>
              </w:divBdr>
              <w:divsChild>
                <w:div w:id="382022287">
                  <w:marLeft w:val="0"/>
                  <w:marRight w:val="0"/>
                  <w:marTop w:val="0"/>
                  <w:marBottom w:val="0"/>
                  <w:divBdr>
                    <w:top w:val="none" w:sz="0" w:space="0" w:color="auto"/>
                    <w:left w:val="none" w:sz="0" w:space="0" w:color="auto"/>
                    <w:bottom w:val="none" w:sz="0" w:space="0" w:color="auto"/>
                    <w:right w:val="none" w:sz="0" w:space="0" w:color="auto"/>
                  </w:divBdr>
                </w:div>
              </w:divsChild>
            </w:div>
            <w:div w:id="671495946">
              <w:marLeft w:val="0"/>
              <w:marRight w:val="0"/>
              <w:marTop w:val="0"/>
              <w:marBottom w:val="0"/>
              <w:divBdr>
                <w:top w:val="none" w:sz="0" w:space="0" w:color="auto"/>
                <w:left w:val="none" w:sz="0" w:space="0" w:color="auto"/>
                <w:bottom w:val="none" w:sz="0" w:space="0" w:color="auto"/>
                <w:right w:val="none" w:sz="0" w:space="0" w:color="auto"/>
              </w:divBdr>
              <w:divsChild>
                <w:div w:id="180558140">
                  <w:marLeft w:val="0"/>
                  <w:marRight w:val="0"/>
                  <w:marTop w:val="0"/>
                  <w:marBottom w:val="0"/>
                  <w:divBdr>
                    <w:top w:val="none" w:sz="0" w:space="0" w:color="auto"/>
                    <w:left w:val="none" w:sz="0" w:space="0" w:color="auto"/>
                    <w:bottom w:val="none" w:sz="0" w:space="0" w:color="auto"/>
                    <w:right w:val="none" w:sz="0" w:space="0" w:color="auto"/>
                  </w:divBdr>
                  <w:divsChild>
                    <w:div w:id="20938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za/" TargetMode="External"/><Relationship Id="rId18" Type="http://schemas.openxmlformats.org/officeDocument/2006/relationships/image" Target="media/image3.png"/><Relationship Id="rId26" Type="http://schemas.openxmlformats.org/officeDocument/2006/relationships/hyperlink" Target="https://www.nacosa.org.za/wp-content/uploads/2016/11/Integrated-Adherence-Guidelines-NDOH.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ris.who.int/bitstream/handle/10665/69058/WHO_HIV_2005.02.pdf"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yperlink" Target="https://knowledgehub.health.gov.za/elibrary/third-line-antiretrovirals"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mic.uct.ac.za/" TargetMode="External"/><Relationship Id="rId29" Type="http://schemas.openxmlformats.org/officeDocument/2006/relationships/hyperlink" Target="mailto:TLART@health.gov.z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LART@health.gov.za"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hyperlink" Target="https://knowledgehub.health.gov.za/elibrary/third-line-antiretrovirals"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hiv-druginteractionslite.org/checker"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hyperlink" Target="https://knowledgehub.health.gov.za/elibrary/third-line-antiretrovirals" TargetMode="External"/><Relationship Id="rId30" Type="http://schemas.openxmlformats.org/officeDocument/2006/relationships/image" Target="media/image8.png"/><Relationship Id="rId35" Type="http://schemas.openxmlformats.org/officeDocument/2006/relationships/image" Target="media/image13.png"/></Relationships>
</file>

<file path=word/_rels/endnotes.xml.rels><?xml version="1.0" encoding="UTF-8" standalone="yes"?>
<Relationships xmlns="http://schemas.openxmlformats.org/package/2006/relationships"><Relationship Id="rId13" Type="http://schemas.openxmlformats.org/officeDocument/2006/relationships/hyperlink" Target="https://www.who.int/publications/i/item/9789240031593" TargetMode="External"/><Relationship Id="rId18" Type="http://schemas.openxmlformats.org/officeDocument/2006/relationships/hyperlink" Target="https://www.knowledgehub.org.za/content/standard-treatment-guidelines-and-essential-medicines-list" TargetMode="External"/><Relationship Id="rId26" Type="http://schemas.openxmlformats.org/officeDocument/2006/relationships/hyperlink" Target="https://knowledgehub.health.gov.za/system/files/elibdownloads/2023-07/National%20ART%20Clinical%20Guideline%20AR%204.5%2020230713%20Version%204%20WEB.pdf" TargetMode="External"/><Relationship Id="rId39" Type="http://schemas.openxmlformats.org/officeDocument/2006/relationships/hyperlink" Target="https://www.who.int/publications/i/item/9789240031593" TargetMode="External"/><Relationship Id="rId21" Type="http://schemas.openxmlformats.org/officeDocument/2006/relationships/hyperlink" Target="https://www.knowledgehub.org.za/content/standard-treatment-guidelines-and-essential-medicines-list" TargetMode="External"/><Relationship Id="rId34" Type="http://schemas.openxmlformats.org/officeDocument/2006/relationships/hyperlink" Target="https://www.ncbi.nlm.nih.gov/pubmed/28520619" TargetMode="External"/><Relationship Id="rId42" Type="http://schemas.openxmlformats.org/officeDocument/2006/relationships/hyperlink" Target="https://www.ncbi.nlm.nih.gov/pubmed/16010179" TargetMode="External"/><Relationship Id="rId47" Type="http://schemas.openxmlformats.org/officeDocument/2006/relationships/hyperlink" Target="http://www.ncbi.nlm.nih.gov/pubmed/12917946" TargetMode="External"/><Relationship Id="rId50" Type="http://schemas.openxmlformats.org/officeDocument/2006/relationships/hyperlink" Target="https://www.knowledgehub.org.za/content/standard-treatment-guidelines-and-essential-medicines-list" TargetMode="External"/><Relationship Id="rId55" Type="http://schemas.openxmlformats.org/officeDocument/2006/relationships/hyperlink" Target="https://www.knowledgehub.org.za/content/standard-treatment-guidelines-and-essential-medicines-list" TargetMode="External"/><Relationship Id="rId63" Type="http://schemas.openxmlformats.org/officeDocument/2006/relationships/hyperlink" Target="https://doi.org/10.4102/sajhivmed.v20i1.1030" TargetMode="External"/><Relationship Id="rId68" Type="http://schemas.openxmlformats.org/officeDocument/2006/relationships/hyperlink" Target="https://doi.org/10.4102/sajhivmed.v20i1.1030" TargetMode="External"/><Relationship Id="rId76" Type="http://schemas.openxmlformats.org/officeDocument/2006/relationships/hyperlink" Target="https://www.ncbi.nlm.nih.gov/pubmed/29319636" TargetMode="External"/><Relationship Id="rId84" Type="http://schemas.openxmlformats.org/officeDocument/2006/relationships/hyperlink" Target="https://academic.oup.com/jpids/article/8/5/450/5095260" TargetMode="External"/><Relationship Id="rId7" Type="http://schemas.openxmlformats.org/officeDocument/2006/relationships/hyperlink" Target="http://www.ncbi.nlm.nih.gov/pubmed/26148280" TargetMode="External"/><Relationship Id="rId71" Type="http://schemas.openxmlformats.org/officeDocument/2006/relationships/hyperlink" Target="https://doi.org/10.4102/sajhivmed.v20i1.1030" TargetMode="External"/><Relationship Id="rId2" Type="http://schemas.openxmlformats.org/officeDocument/2006/relationships/hyperlink" Target="http://www.ncbi.nlm.nih.gov/pubmed/26193126" TargetMode="External"/><Relationship Id="rId16" Type="http://schemas.openxmlformats.org/officeDocument/2006/relationships/hyperlink" Target="https://www.knowledgehub.org.za/content/standard-treatment-guidelines-and-essential-medicines-list" TargetMode="External"/><Relationship Id="rId29" Type="http://schemas.openxmlformats.org/officeDocument/2006/relationships/hyperlink" Target="https://pubmed.ncbi.nlm.nih.gov/30918967/" TargetMode="External"/><Relationship Id="rId11" Type="http://schemas.openxmlformats.org/officeDocument/2006/relationships/hyperlink" Target="https://www.who.int/publications/i/item/9789240031593" TargetMode="External"/><Relationship Id="rId24" Type="http://schemas.openxmlformats.org/officeDocument/2006/relationships/hyperlink" Target="https://www.ncbi.nlm.nih.gov/pubmed/31393412" TargetMode="External"/><Relationship Id="rId32" Type="http://schemas.openxmlformats.org/officeDocument/2006/relationships/hyperlink" Target="https://www.knowledgehub.org.za/" TargetMode="External"/><Relationship Id="rId37" Type="http://schemas.openxmlformats.org/officeDocument/2006/relationships/hyperlink" Target="http://www.ncbi.nlm.nih.gov/pubmed/25234519" TargetMode="External"/><Relationship Id="rId40" Type="http://schemas.openxmlformats.org/officeDocument/2006/relationships/hyperlink" Target="https://www.who.int/publications/i/item/9789240031593" TargetMode="External"/><Relationship Id="rId45" Type="http://schemas.openxmlformats.org/officeDocument/2006/relationships/hyperlink" Target="http://www.health.gov.za/" TargetMode="External"/><Relationship Id="rId53" Type="http://schemas.openxmlformats.org/officeDocument/2006/relationships/hyperlink" Target="https://www.knowledgehub.org.za/content/standard-treatment-guidelines-and-essential-medicines-list" TargetMode="External"/><Relationship Id="rId58" Type="http://schemas.openxmlformats.org/officeDocument/2006/relationships/hyperlink" Target="http://www.ncbi.nlm.nih.gov/pubmed/20597693" TargetMode="External"/><Relationship Id="rId66" Type="http://schemas.openxmlformats.org/officeDocument/2006/relationships/hyperlink" Target="http://www.ncbi.nlm.nih.gov/pubmed/20415574" TargetMode="External"/><Relationship Id="rId74" Type="http://schemas.openxmlformats.org/officeDocument/2006/relationships/hyperlink" Target="https://www.ncbi.nlm.nih.gov/pubmed/22300753" TargetMode="External"/><Relationship Id="rId79" Type="http://schemas.openxmlformats.org/officeDocument/2006/relationships/hyperlink" Target="https://www.who.int/publications/i/item/9789240031593" TargetMode="External"/><Relationship Id="rId87" Type="http://schemas.openxmlformats.org/officeDocument/2006/relationships/hyperlink" Target="https://www.ncbi.nlm.nih.gov/pubmed/22158861" TargetMode="External"/><Relationship Id="rId5" Type="http://schemas.openxmlformats.org/officeDocument/2006/relationships/hyperlink" Target="https://www.knowledgehub.org.za/content/standard-treatment-guidelines-and-essential-medicines-list" TargetMode="External"/><Relationship Id="rId61" Type="http://schemas.openxmlformats.org/officeDocument/2006/relationships/hyperlink" Target="http://www.health.gov.za/" TargetMode="External"/><Relationship Id="rId82" Type="http://schemas.openxmlformats.org/officeDocument/2006/relationships/hyperlink" Target="https://www.who.int/publications/i/item/9789240031593" TargetMode="External"/><Relationship Id="rId19" Type="http://schemas.openxmlformats.org/officeDocument/2006/relationships/hyperlink" Target="https://pubmed.ncbi.nlm.nih.gov/23075918/" TargetMode="External"/><Relationship Id="rId4" Type="http://schemas.openxmlformats.org/officeDocument/2006/relationships/hyperlink" Target="https://www.knowledgehub.org.za/elibrary/national-consolidated-guidelines-management-hiv-adults-adolescents-children-and-infants" TargetMode="External"/><Relationship Id="rId9" Type="http://schemas.openxmlformats.org/officeDocument/2006/relationships/hyperlink" Target="https://pubmed.ncbi.nlm.nih.gov/30039850/" TargetMode="External"/><Relationship Id="rId14" Type="http://schemas.openxmlformats.org/officeDocument/2006/relationships/hyperlink" Target="https://www.knowledgehub.org.za/content/standard-treatment-guidelines-and-essential-medicines-list" TargetMode="External"/><Relationship Id="rId22" Type="http://schemas.openxmlformats.org/officeDocument/2006/relationships/hyperlink" Target="http://www.ncbi.nlm.nih.gov/pubmed/25074854" TargetMode="External"/><Relationship Id="rId27" Type="http://schemas.openxmlformats.org/officeDocument/2006/relationships/hyperlink" Target="https://www.knowledgehub.org.za/content/standard-treatment-guidelines-and-essential-medicines-list" TargetMode="External"/><Relationship Id="rId30" Type="http://schemas.openxmlformats.org/officeDocument/2006/relationships/hyperlink" Target="http://www.ncbi.nlm.nih.gov/pubmed/16672914" TargetMode="External"/><Relationship Id="rId35" Type="http://schemas.openxmlformats.org/officeDocument/2006/relationships/hyperlink" Target="https://www.knowledgehub.org.za/elibrary/national-consolidated-guidelines-management-hiv-adults-adolescents-children-and-infants" TargetMode="External"/><Relationship Id="rId43" Type="http://schemas.openxmlformats.org/officeDocument/2006/relationships/hyperlink" Target="https://www.ema.europa.eu/en/documents/public-statement/important-new-pharmacokinetic-data-demonstrating-reyataz-atazanavir-sulfate-combined-norvir_en.pdf" TargetMode="External"/><Relationship Id="rId48" Type="http://schemas.openxmlformats.org/officeDocument/2006/relationships/hyperlink" Target="https://www.who.int/publications/i/item/9789240031593" TargetMode="External"/><Relationship Id="rId56" Type="http://schemas.openxmlformats.org/officeDocument/2006/relationships/hyperlink" Target="https://www.knowledgehub.org.za/content/standard-treatment-guidelines-and-essential-medicines-list" TargetMode="External"/><Relationship Id="rId64" Type="http://schemas.openxmlformats.org/officeDocument/2006/relationships/hyperlink" Target="https://www.who.int/publications/i/item/9789240031593" TargetMode="External"/><Relationship Id="rId69" Type="http://schemas.openxmlformats.org/officeDocument/2006/relationships/hyperlink" Target="http://www.ncbi.nlm.nih.gov/pubmed/23984730" TargetMode="External"/><Relationship Id="rId77" Type="http://schemas.openxmlformats.org/officeDocument/2006/relationships/hyperlink" Target="https://www.who.int/publications/i/item/9789240031593" TargetMode="External"/><Relationship Id="rId8" Type="http://schemas.openxmlformats.org/officeDocument/2006/relationships/hyperlink" Target="http://www.ncbi.nlm.nih.gov/pubmed/21596680" TargetMode="External"/><Relationship Id="rId51" Type="http://schemas.openxmlformats.org/officeDocument/2006/relationships/hyperlink" Target="http://www.ncbi.nlm.nih.gov/pubmed/24835842%20" TargetMode="External"/><Relationship Id="rId72" Type="http://schemas.openxmlformats.org/officeDocument/2006/relationships/hyperlink" Target="https://doi.org/10.4102/sajhivmed.v20i1.1030" TargetMode="External"/><Relationship Id="rId80" Type="http://schemas.openxmlformats.org/officeDocument/2006/relationships/hyperlink" Target="https://www.who.int/publications/i/item/9789240031593" TargetMode="External"/><Relationship Id="rId85" Type="http://schemas.openxmlformats.org/officeDocument/2006/relationships/hyperlink" Target="http://www.ncbi.nlm.nih.gov/pubmed/27149090" TargetMode="External"/><Relationship Id="rId3" Type="http://schemas.openxmlformats.org/officeDocument/2006/relationships/hyperlink" Target="https://www.ncbi.nlm.nih.gov/pubmed/27163694" TargetMode="External"/><Relationship Id="rId12" Type="http://schemas.openxmlformats.org/officeDocument/2006/relationships/hyperlink" Target="https://pubmed.ncbi.nlm.nih.gov/32201629/" TargetMode="External"/><Relationship Id="rId17" Type="http://schemas.openxmlformats.org/officeDocument/2006/relationships/hyperlink" Target="https://www.knowledgehub.org.za/e-library" TargetMode="External"/><Relationship Id="rId25" Type="http://schemas.openxmlformats.org/officeDocument/2006/relationships/hyperlink" Target="https://knowledgehub.health.gov.za/system/files/elibdownloads/2023-07/National%20ART%20Clinical%20Guideline%20AR%204.5%2020230713%20Version%204%20WEB.pdf" TargetMode="External"/><Relationship Id="rId33" Type="http://schemas.openxmlformats.org/officeDocument/2006/relationships/hyperlink" Target="https://www.ncbi.nlm.nih.gov/pubmed/30946164" TargetMode="External"/><Relationship Id="rId38" Type="http://schemas.openxmlformats.org/officeDocument/2006/relationships/hyperlink" Target="https://pubmed.ncbi.nlm.nih.gov/29568644/" TargetMode="External"/><Relationship Id="rId46" Type="http://schemas.openxmlformats.org/officeDocument/2006/relationships/hyperlink" Target="http://www.health.gov.za/" TargetMode="External"/><Relationship Id="rId59" Type="http://schemas.openxmlformats.org/officeDocument/2006/relationships/hyperlink" Target="https://pubmed.ncbi.nlm.nih.gov/29514236/" TargetMode="External"/><Relationship Id="rId67" Type="http://schemas.openxmlformats.org/officeDocument/2006/relationships/hyperlink" Target="https://www.who.int/publications/i/item/9789240031593" TargetMode="External"/><Relationship Id="rId20" Type="http://schemas.openxmlformats.org/officeDocument/2006/relationships/hyperlink" Target="https://pubmed.ncbi.nlm.nih.gov/30918967/" TargetMode="External"/><Relationship Id="rId41" Type="http://schemas.openxmlformats.org/officeDocument/2006/relationships/hyperlink" Target="https://www.hiv-druginteractions.org/checker" TargetMode="External"/><Relationship Id="rId54" Type="http://schemas.openxmlformats.org/officeDocument/2006/relationships/hyperlink" Target="https://www.knowledgehub.org.za/content/standard-treatment-guidelines-and-essential-medicines-list" TargetMode="External"/><Relationship Id="rId62" Type="http://schemas.openxmlformats.org/officeDocument/2006/relationships/hyperlink" Target="https://www.who.int/publications/i/item/9789240031593" TargetMode="External"/><Relationship Id="rId70" Type="http://schemas.openxmlformats.org/officeDocument/2006/relationships/hyperlink" Target="http://www.ncbi.nlm.nih.gov/pubmed/26746458" TargetMode="External"/><Relationship Id="rId75" Type="http://schemas.openxmlformats.org/officeDocument/2006/relationships/hyperlink" Target="https://www.who.int/publications/i/item/9789240031593" TargetMode="External"/><Relationship Id="rId83" Type="http://schemas.openxmlformats.org/officeDocument/2006/relationships/hyperlink" Target="https://www.who.int/publications/i/item/9789240031593" TargetMode="External"/><Relationship Id="rId88" Type="http://schemas.openxmlformats.org/officeDocument/2006/relationships/hyperlink" Target="https://www.knowledgehub.org.za/" TargetMode="External"/><Relationship Id="rId1" Type="http://schemas.openxmlformats.org/officeDocument/2006/relationships/hyperlink" Target="http://www.ncbi.nlm.nih.gov/pubmed/26192873" TargetMode="External"/><Relationship Id="rId6" Type="http://schemas.openxmlformats.org/officeDocument/2006/relationships/hyperlink" Target="https://www.who.int/publications/i/item/9789240031593" TargetMode="External"/><Relationship Id="rId15" Type="http://schemas.openxmlformats.org/officeDocument/2006/relationships/hyperlink" Target="https://www.ncbi.nlm.nih.gov/pubmed/27736859" TargetMode="External"/><Relationship Id="rId23" Type="http://schemas.openxmlformats.org/officeDocument/2006/relationships/hyperlink" Target="https://www.ncbi.nlm.nih.gov/pubmed/30420123" TargetMode="External"/><Relationship Id="rId28" Type="http://schemas.openxmlformats.org/officeDocument/2006/relationships/hyperlink" Target="https://pubmed.ncbi.nlm.nih.gov/23075918/" TargetMode="External"/><Relationship Id="rId36" Type="http://schemas.openxmlformats.org/officeDocument/2006/relationships/hyperlink" Target="https://www.medicines.org.uk/emc/" TargetMode="External"/><Relationship Id="rId49" Type="http://schemas.openxmlformats.org/officeDocument/2006/relationships/hyperlink" Target="https://www.knowledgehub.org.za/elibrary/national-consolidated-guidelines-management-hiv-adults-adolescents-children-and-infants" TargetMode="External"/><Relationship Id="rId57" Type="http://schemas.openxmlformats.org/officeDocument/2006/relationships/hyperlink" Target="https://www.who.int/publications/i/item/9789240031593" TargetMode="External"/><Relationship Id="rId10" Type="http://schemas.openxmlformats.org/officeDocument/2006/relationships/hyperlink" Target="https://www.knowledgehub.org.za/elibrary/national-consolidated-guidelines-management-hiv-adults-adolescents-children-and-infants" TargetMode="External"/><Relationship Id="rId31" Type="http://schemas.openxmlformats.org/officeDocument/2006/relationships/hyperlink" Target="https://www.ncbi.nlm.nih.gov/pubmed/31633805" TargetMode="External"/><Relationship Id="rId44" Type="http://schemas.openxmlformats.org/officeDocument/2006/relationships/hyperlink" Target="https://www.who.int/publications/i/item/9789240031593" TargetMode="External"/><Relationship Id="rId52" Type="http://schemas.openxmlformats.org/officeDocument/2006/relationships/hyperlink" Target="https://www.knowledgehub.org.za/content/standard-treatment-guidelines-and-essential-medicines-list" TargetMode="External"/><Relationship Id="rId60" Type="http://schemas.openxmlformats.org/officeDocument/2006/relationships/hyperlink" Target="https://www.who.int/publications/i/item/9789240031593" TargetMode="External"/><Relationship Id="rId65" Type="http://schemas.openxmlformats.org/officeDocument/2006/relationships/hyperlink" Target="https://doi.org/10.4102/sajhivmed.v20i1.1030" TargetMode="External"/><Relationship Id="rId73" Type="http://schemas.openxmlformats.org/officeDocument/2006/relationships/hyperlink" Target="https://www.ncbi.nlm.nih.gov/pubmed/26042815" TargetMode="External"/><Relationship Id="rId78" Type="http://schemas.openxmlformats.org/officeDocument/2006/relationships/hyperlink" Target="https://www.who.int/publications/i/item/9789240031593" TargetMode="External"/><Relationship Id="rId81" Type="http://schemas.openxmlformats.org/officeDocument/2006/relationships/hyperlink" Target="https://www.who.int/publications/i/item/9789240031593" TargetMode="External"/><Relationship Id="rId86" Type="http://schemas.openxmlformats.org/officeDocument/2006/relationships/hyperlink" Target="https://www.who.int/publications/i/item/978924003159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1%20EML%20revisions\Document%20build%20-%20Andre\Template\PHC%20STG%20Template_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883D54240D6C47B8BC7FCA393E6837" ma:contentTypeVersion="3" ma:contentTypeDescription="Create a new document." ma:contentTypeScope="" ma:versionID="dd6fa984b3b7eb2a2c4a626f40687305">
  <xsd:schema xmlns:xsd="http://www.w3.org/2001/XMLSchema" xmlns:xs="http://www.w3.org/2001/XMLSchema" xmlns:p="http://schemas.microsoft.com/office/2006/metadata/properties" xmlns:ns2="db2edbec-7b6a-4636-a93d-e96dc4f301eb" targetNamespace="http://schemas.microsoft.com/office/2006/metadata/properties" ma:root="true" ma:fieldsID="c911f0fbf13573087636f74098ec44f5" ns2:_="">
    <xsd:import namespace="db2edbec-7b6a-4636-a93d-e96dc4f301e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2edbec-7b6a-4636-a93d-e96dc4f301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75893-A1ED-4619-A487-F1FA8650D3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E2092E-60BA-4DD0-8E5E-A281FF2C46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2edbec-7b6a-4636-a93d-e96dc4f301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72A485-77E2-4F0C-B5C4-C0202ED035D0}">
  <ds:schemaRefs>
    <ds:schemaRef ds:uri="http://schemas.microsoft.com/sharepoint/v3/contenttype/forms"/>
  </ds:schemaRefs>
</ds:datastoreItem>
</file>

<file path=customXml/itemProps4.xml><?xml version="1.0" encoding="utf-8"?>
<ds:datastoreItem xmlns:ds="http://schemas.openxmlformats.org/officeDocument/2006/customXml" ds:itemID="{530C6E29-A39B-4ACE-A52C-14B9AB505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PHC STG Template_Chapter</Template>
  <TotalTime>0</TotalTime>
  <Pages>68</Pages>
  <Words>12995</Words>
  <Characters>74073</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Chapter #</vt:lpstr>
    </vt:vector>
  </TitlesOfParts>
  <Company/>
  <LinksUpToDate>false</LinksUpToDate>
  <CharactersWithSpaces>86895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dc:title>
  <dc:subject>Chapter Description</dc:subject>
  <dc:creator>andre</dc:creator>
  <cp:keywords/>
  <dc:description/>
  <cp:lastModifiedBy>Zahiera Adam</cp:lastModifiedBy>
  <cp:revision>2</cp:revision>
  <cp:lastPrinted>2022-08-15T18:50:00Z</cp:lastPrinted>
  <dcterms:created xsi:type="dcterms:W3CDTF">2025-11-03T14:36:00Z</dcterms:created>
  <dcterms:modified xsi:type="dcterms:W3CDTF">2025-11-03T14:36:00Z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0x010100B1883D54240D6C47B8BC7FCA393E6837</vt:lpwstr>
  </property>
</Properties>
</file>