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B0F9" w14:textId="4250B577" w:rsidR="00580997" w:rsidRPr="00E56A09" w:rsidRDefault="00FF01A9" w:rsidP="00FF01A9">
      <w:pPr>
        <w:pStyle w:val="Heading1"/>
      </w:pPr>
      <w:r w:rsidRPr="00E56A09">
        <w:t>Respiratory conditions</w:t>
      </w:r>
    </w:p>
    <w:p w14:paraId="6CE2C306" w14:textId="77777777" w:rsidR="00485F1D" w:rsidRDefault="00034FAB">
      <w:pPr>
        <w:pStyle w:val="TOC7"/>
        <w:rPr>
          <w:rFonts w:asciiTheme="minorHAnsi" w:eastAsiaTheme="minorEastAsia" w:hAnsiTheme="minorHAnsi"/>
          <w:spacing w:val="0"/>
          <w:sz w:val="22"/>
          <w:szCs w:val="22"/>
          <w:lang w:val="en-US"/>
        </w:rPr>
      </w:pPr>
      <w:r>
        <w:fldChar w:fldCharType="begin"/>
      </w:r>
      <w:r>
        <w:instrText xml:space="preserve"> TOC \b Chapter17 \n \h \z \u \t "Heading 1A,6,Heading 2,7,Heading 3,8,Heading 4,9, Heading 8,9" </w:instrText>
      </w:r>
      <w:r>
        <w:fldChar w:fldCharType="separate"/>
      </w:r>
      <w:hyperlink w:anchor="_Toc177054020" w:history="1">
        <w:r w:rsidR="00485F1D" w:rsidRPr="00F451C8">
          <w:rPr>
            <w:rStyle w:val="Hyperlink"/>
          </w:rPr>
          <w:t>17.1</w:t>
        </w:r>
        <w:r w:rsidR="00485F1D">
          <w:rPr>
            <w:rFonts w:asciiTheme="minorHAnsi" w:eastAsiaTheme="minorEastAsia" w:hAnsiTheme="minorHAnsi"/>
            <w:spacing w:val="0"/>
            <w:sz w:val="22"/>
            <w:szCs w:val="22"/>
            <w:lang w:val="en-US"/>
          </w:rPr>
          <w:tab/>
        </w:r>
        <w:r w:rsidR="00485F1D" w:rsidRPr="00F451C8">
          <w:rPr>
            <w:rStyle w:val="Hyperlink"/>
          </w:rPr>
          <w:t>Conditions with predominant wheeze</w:t>
        </w:r>
      </w:hyperlink>
    </w:p>
    <w:p w14:paraId="5260AAA6" w14:textId="0F04D5B3" w:rsidR="00485F1D" w:rsidRDefault="008C4800">
      <w:pPr>
        <w:pStyle w:val="TOC8"/>
        <w:rPr>
          <w:rFonts w:asciiTheme="minorHAnsi" w:eastAsiaTheme="minorEastAsia" w:hAnsiTheme="minorHAnsi"/>
          <w:spacing w:val="0"/>
          <w:sz w:val="22"/>
          <w:szCs w:val="22"/>
          <w:lang w:val="en-US"/>
        </w:rPr>
      </w:pPr>
      <w:hyperlink w:anchor="_Toc177054021" w:history="1">
        <w:r w:rsidR="00485F1D" w:rsidRPr="00F451C8">
          <w:rPr>
            <w:rStyle w:val="Hyperlink"/>
          </w:rPr>
          <w:t>17.1.1</w:t>
        </w:r>
        <w:r w:rsidR="00485F1D">
          <w:rPr>
            <w:rFonts w:asciiTheme="minorHAnsi" w:eastAsiaTheme="minorEastAsia" w:hAnsiTheme="minorHAnsi"/>
            <w:spacing w:val="0"/>
            <w:sz w:val="22"/>
            <w:szCs w:val="22"/>
            <w:lang w:val="en-US"/>
          </w:rPr>
          <w:tab/>
        </w:r>
        <w:r w:rsidR="00485F1D" w:rsidRPr="00F451C8">
          <w:rPr>
            <w:rStyle w:val="Hyperlink"/>
          </w:rPr>
          <w:t xml:space="preserve">Acute asthma &amp; acute exacerbation of COPD, </w:t>
        </w:r>
        <w:r w:rsidR="00485F1D">
          <w:rPr>
            <w:rStyle w:val="Hyperlink"/>
          </w:rPr>
          <w:t>adults</w:t>
        </w:r>
      </w:hyperlink>
    </w:p>
    <w:p w14:paraId="617F8AAE" w14:textId="207FAE1A" w:rsidR="00485F1D" w:rsidRDefault="008C4800">
      <w:pPr>
        <w:pStyle w:val="TOC8"/>
        <w:rPr>
          <w:rFonts w:asciiTheme="minorHAnsi" w:eastAsiaTheme="minorEastAsia" w:hAnsiTheme="minorHAnsi"/>
          <w:spacing w:val="0"/>
          <w:sz w:val="22"/>
          <w:szCs w:val="22"/>
          <w:lang w:val="en-US"/>
        </w:rPr>
      </w:pPr>
      <w:hyperlink w:anchor="_Toc177054022" w:history="1">
        <w:r w:rsidR="00485F1D" w:rsidRPr="00F451C8">
          <w:rPr>
            <w:rStyle w:val="Hyperlink"/>
          </w:rPr>
          <w:t>17.1.2</w:t>
        </w:r>
        <w:r w:rsidR="00485F1D">
          <w:rPr>
            <w:rFonts w:asciiTheme="minorHAnsi" w:eastAsiaTheme="minorEastAsia" w:hAnsiTheme="minorHAnsi"/>
            <w:spacing w:val="0"/>
            <w:sz w:val="22"/>
            <w:szCs w:val="22"/>
            <w:lang w:val="en-US"/>
          </w:rPr>
          <w:tab/>
        </w:r>
        <w:r w:rsidR="00485F1D" w:rsidRPr="00F451C8">
          <w:rPr>
            <w:rStyle w:val="Hyperlink"/>
          </w:rPr>
          <w:t xml:space="preserve">Acute asthma, </w:t>
        </w:r>
        <w:r w:rsidR="00485F1D">
          <w:rPr>
            <w:rStyle w:val="Hyperlink"/>
          </w:rPr>
          <w:t>children</w:t>
        </w:r>
      </w:hyperlink>
    </w:p>
    <w:p w14:paraId="74F81005" w14:textId="77777777" w:rsidR="00485F1D" w:rsidRDefault="008C4800">
      <w:pPr>
        <w:pStyle w:val="TOC8"/>
        <w:rPr>
          <w:rFonts w:asciiTheme="minorHAnsi" w:eastAsiaTheme="minorEastAsia" w:hAnsiTheme="minorHAnsi"/>
          <w:spacing w:val="0"/>
          <w:sz w:val="22"/>
          <w:szCs w:val="22"/>
          <w:lang w:val="en-US"/>
        </w:rPr>
      </w:pPr>
      <w:hyperlink w:anchor="_Toc177054023" w:history="1">
        <w:r w:rsidR="00485F1D" w:rsidRPr="00F451C8">
          <w:rPr>
            <w:rStyle w:val="Hyperlink"/>
          </w:rPr>
          <w:t>17.1.3 Chronic asthma</w:t>
        </w:r>
      </w:hyperlink>
    </w:p>
    <w:p w14:paraId="6B8B95B6" w14:textId="77777777" w:rsidR="00485F1D" w:rsidRDefault="008C4800">
      <w:pPr>
        <w:pStyle w:val="TOC8"/>
        <w:rPr>
          <w:rFonts w:asciiTheme="minorHAnsi" w:eastAsiaTheme="minorEastAsia" w:hAnsiTheme="minorHAnsi"/>
          <w:spacing w:val="0"/>
          <w:sz w:val="22"/>
          <w:szCs w:val="22"/>
          <w:lang w:val="en-US"/>
        </w:rPr>
      </w:pPr>
      <w:hyperlink w:anchor="_Toc177054024" w:history="1">
        <w:r w:rsidR="00485F1D" w:rsidRPr="00F451C8">
          <w:rPr>
            <w:rStyle w:val="Hyperlink"/>
          </w:rPr>
          <w:t>17.1.4 Acute bronchiolitis in children</w:t>
        </w:r>
      </w:hyperlink>
    </w:p>
    <w:p w14:paraId="64FB57BC" w14:textId="77777777" w:rsidR="00485F1D" w:rsidRDefault="008C4800">
      <w:pPr>
        <w:pStyle w:val="TOC8"/>
        <w:rPr>
          <w:rFonts w:asciiTheme="minorHAnsi" w:eastAsiaTheme="minorEastAsia" w:hAnsiTheme="minorHAnsi"/>
          <w:spacing w:val="0"/>
          <w:sz w:val="22"/>
          <w:szCs w:val="22"/>
          <w:lang w:val="en-US"/>
        </w:rPr>
      </w:pPr>
      <w:hyperlink w:anchor="_Toc177054025" w:history="1">
        <w:r w:rsidR="00485F1D" w:rsidRPr="00F451C8">
          <w:rPr>
            <w:rStyle w:val="Hyperlink"/>
          </w:rPr>
          <w:t>17.1.5 Chronic obstructive pulmonary disease (COPD)</w:t>
        </w:r>
      </w:hyperlink>
    </w:p>
    <w:p w14:paraId="1961A170" w14:textId="77777777" w:rsidR="00485F1D" w:rsidRDefault="008C4800">
      <w:pPr>
        <w:pStyle w:val="TOC7"/>
        <w:rPr>
          <w:rFonts w:asciiTheme="minorHAnsi" w:eastAsiaTheme="minorEastAsia" w:hAnsiTheme="minorHAnsi"/>
          <w:spacing w:val="0"/>
          <w:sz w:val="22"/>
          <w:szCs w:val="22"/>
          <w:lang w:val="en-US"/>
        </w:rPr>
      </w:pPr>
      <w:hyperlink w:anchor="_Toc177054026" w:history="1">
        <w:r w:rsidR="00485F1D" w:rsidRPr="00F451C8">
          <w:rPr>
            <w:rStyle w:val="Hyperlink"/>
          </w:rPr>
          <w:t>17.2</w:t>
        </w:r>
        <w:r w:rsidR="00485F1D">
          <w:rPr>
            <w:rFonts w:asciiTheme="minorHAnsi" w:eastAsiaTheme="minorEastAsia" w:hAnsiTheme="minorHAnsi"/>
            <w:spacing w:val="0"/>
            <w:sz w:val="22"/>
            <w:szCs w:val="22"/>
            <w:lang w:val="en-US"/>
          </w:rPr>
          <w:tab/>
        </w:r>
        <w:r w:rsidR="00485F1D" w:rsidRPr="00F451C8">
          <w:rPr>
            <w:rStyle w:val="Hyperlink"/>
          </w:rPr>
          <w:t>Stridor (upper airways obstruction)</w:t>
        </w:r>
      </w:hyperlink>
    </w:p>
    <w:p w14:paraId="517B0CDE" w14:textId="77777777" w:rsidR="00485F1D" w:rsidRDefault="008C4800">
      <w:pPr>
        <w:pStyle w:val="TOC8"/>
        <w:rPr>
          <w:rFonts w:asciiTheme="minorHAnsi" w:eastAsiaTheme="minorEastAsia" w:hAnsiTheme="minorHAnsi"/>
          <w:spacing w:val="0"/>
          <w:sz w:val="22"/>
          <w:szCs w:val="22"/>
          <w:lang w:val="en-US"/>
        </w:rPr>
      </w:pPr>
      <w:hyperlink w:anchor="_Toc177054027" w:history="1">
        <w:r w:rsidR="00485F1D" w:rsidRPr="00F451C8">
          <w:rPr>
            <w:rStyle w:val="Hyperlink"/>
          </w:rPr>
          <w:t>17.2.1</w:t>
        </w:r>
        <w:r w:rsidR="00485F1D">
          <w:rPr>
            <w:rFonts w:asciiTheme="minorHAnsi" w:eastAsiaTheme="minorEastAsia" w:hAnsiTheme="minorHAnsi"/>
            <w:spacing w:val="0"/>
            <w:sz w:val="22"/>
            <w:szCs w:val="22"/>
            <w:lang w:val="en-US"/>
          </w:rPr>
          <w:tab/>
        </w:r>
        <w:r w:rsidR="00485F1D" w:rsidRPr="00F451C8">
          <w:rPr>
            <w:rStyle w:val="Hyperlink"/>
          </w:rPr>
          <w:t>Croup (laryngotracheo bronchitis) in children</w:t>
        </w:r>
      </w:hyperlink>
    </w:p>
    <w:p w14:paraId="78A98FEA" w14:textId="77777777" w:rsidR="00485F1D" w:rsidRDefault="008C4800">
      <w:pPr>
        <w:pStyle w:val="TOC7"/>
        <w:rPr>
          <w:rFonts w:asciiTheme="minorHAnsi" w:eastAsiaTheme="minorEastAsia" w:hAnsiTheme="minorHAnsi"/>
          <w:spacing w:val="0"/>
          <w:sz w:val="22"/>
          <w:szCs w:val="22"/>
          <w:lang w:val="en-US"/>
        </w:rPr>
      </w:pPr>
      <w:hyperlink w:anchor="_Toc177054028" w:history="1">
        <w:r w:rsidR="00485F1D" w:rsidRPr="00F451C8">
          <w:rPr>
            <w:rStyle w:val="Hyperlink"/>
          </w:rPr>
          <w:t>17.3</w:t>
        </w:r>
        <w:r w:rsidR="00485F1D">
          <w:rPr>
            <w:rFonts w:asciiTheme="minorHAnsi" w:eastAsiaTheme="minorEastAsia" w:hAnsiTheme="minorHAnsi"/>
            <w:spacing w:val="0"/>
            <w:sz w:val="22"/>
            <w:szCs w:val="22"/>
            <w:lang w:val="en-US"/>
          </w:rPr>
          <w:tab/>
        </w:r>
        <w:r w:rsidR="00485F1D" w:rsidRPr="00F451C8">
          <w:rPr>
            <w:rStyle w:val="Hyperlink"/>
          </w:rPr>
          <w:t>Respiratory infections</w:t>
        </w:r>
      </w:hyperlink>
    </w:p>
    <w:p w14:paraId="1C02FA19" w14:textId="77777777" w:rsidR="00485F1D" w:rsidRDefault="008C4800">
      <w:pPr>
        <w:pStyle w:val="TOC8"/>
        <w:rPr>
          <w:rFonts w:asciiTheme="minorHAnsi" w:eastAsiaTheme="minorEastAsia" w:hAnsiTheme="minorHAnsi"/>
          <w:spacing w:val="0"/>
          <w:sz w:val="22"/>
          <w:szCs w:val="22"/>
          <w:lang w:val="en-US"/>
        </w:rPr>
      </w:pPr>
      <w:hyperlink w:anchor="_Toc177054029" w:history="1">
        <w:r w:rsidR="00485F1D" w:rsidRPr="00F451C8">
          <w:rPr>
            <w:rStyle w:val="Hyperlink"/>
          </w:rPr>
          <w:t>17.3.1</w:t>
        </w:r>
        <w:r w:rsidR="00485F1D">
          <w:rPr>
            <w:rFonts w:asciiTheme="minorHAnsi" w:eastAsiaTheme="minorEastAsia" w:hAnsiTheme="minorHAnsi"/>
            <w:spacing w:val="0"/>
            <w:sz w:val="22"/>
            <w:szCs w:val="22"/>
            <w:lang w:val="en-US"/>
          </w:rPr>
          <w:tab/>
        </w:r>
        <w:r w:rsidR="00485F1D" w:rsidRPr="00F451C8">
          <w:rPr>
            <w:rStyle w:val="Hyperlink"/>
          </w:rPr>
          <w:t>Influenza</w:t>
        </w:r>
      </w:hyperlink>
    </w:p>
    <w:p w14:paraId="39414EC0" w14:textId="77777777" w:rsidR="00485F1D" w:rsidRDefault="008C4800">
      <w:pPr>
        <w:pStyle w:val="TOC8"/>
        <w:rPr>
          <w:rFonts w:asciiTheme="minorHAnsi" w:eastAsiaTheme="minorEastAsia" w:hAnsiTheme="minorHAnsi"/>
          <w:spacing w:val="0"/>
          <w:sz w:val="22"/>
          <w:szCs w:val="22"/>
          <w:lang w:val="en-US"/>
        </w:rPr>
      </w:pPr>
      <w:hyperlink w:anchor="_Toc177054030" w:history="1">
        <w:r w:rsidR="00485F1D" w:rsidRPr="00F451C8">
          <w:rPr>
            <w:rStyle w:val="Hyperlink"/>
          </w:rPr>
          <w:t>17.3.2</w:t>
        </w:r>
        <w:r w:rsidR="00485F1D">
          <w:rPr>
            <w:rFonts w:asciiTheme="minorHAnsi" w:eastAsiaTheme="minorEastAsia" w:hAnsiTheme="minorHAnsi"/>
            <w:spacing w:val="0"/>
            <w:sz w:val="22"/>
            <w:szCs w:val="22"/>
            <w:lang w:val="en-US"/>
          </w:rPr>
          <w:tab/>
        </w:r>
        <w:r w:rsidR="00485F1D" w:rsidRPr="00F451C8">
          <w:rPr>
            <w:rStyle w:val="Hyperlink"/>
          </w:rPr>
          <w:t>Acute bronchitis in adults or adolescents</w:t>
        </w:r>
      </w:hyperlink>
    </w:p>
    <w:p w14:paraId="1976E209" w14:textId="77777777" w:rsidR="00485F1D" w:rsidRDefault="008C4800">
      <w:pPr>
        <w:pStyle w:val="TOC8"/>
        <w:rPr>
          <w:rFonts w:asciiTheme="minorHAnsi" w:eastAsiaTheme="minorEastAsia" w:hAnsiTheme="minorHAnsi"/>
          <w:spacing w:val="0"/>
          <w:sz w:val="22"/>
          <w:szCs w:val="22"/>
          <w:lang w:val="en-US"/>
        </w:rPr>
      </w:pPr>
      <w:hyperlink w:anchor="_Toc177054031" w:history="1">
        <w:r w:rsidR="00485F1D" w:rsidRPr="00F451C8">
          <w:rPr>
            <w:rStyle w:val="Hyperlink"/>
          </w:rPr>
          <w:t>17.3.3</w:t>
        </w:r>
        <w:r w:rsidR="00485F1D">
          <w:rPr>
            <w:rFonts w:asciiTheme="minorHAnsi" w:eastAsiaTheme="minorEastAsia" w:hAnsiTheme="minorHAnsi"/>
            <w:spacing w:val="0"/>
            <w:sz w:val="22"/>
            <w:szCs w:val="22"/>
            <w:lang w:val="en-US"/>
          </w:rPr>
          <w:tab/>
        </w:r>
        <w:r w:rsidR="00485F1D" w:rsidRPr="00F451C8">
          <w:rPr>
            <w:rStyle w:val="Hyperlink"/>
          </w:rPr>
          <w:t>Acute exacerbation of chronic obstructive pulmonary disease (COPD)</w:t>
        </w:r>
      </w:hyperlink>
    </w:p>
    <w:p w14:paraId="00CA3549" w14:textId="77777777" w:rsidR="00485F1D" w:rsidRDefault="008C4800">
      <w:pPr>
        <w:pStyle w:val="TOC8"/>
        <w:rPr>
          <w:rFonts w:asciiTheme="minorHAnsi" w:eastAsiaTheme="minorEastAsia" w:hAnsiTheme="minorHAnsi"/>
          <w:spacing w:val="0"/>
          <w:sz w:val="22"/>
          <w:szCs w:val="22"/>
          <w:lang w:val="en-US"/>
        </w:rPr>
      </w:pPr>
      <w:hyperlink w:anchor="_Toc177054032" w:history="1">
        <w:r w:rsidR="00485F1D" w:rsidRPr="00F451C8">
          <w:rPr>
            <w:rStyle w:val="Hyperlink"/>
          </w:rPr>
          <w:t>17.3.4</w:t>
        </w:r>
        <w:r w:rsidR="00485F1D">
          <w:rPr>
            <w:rFonts w:asciiTheme="minorHAnsi" w:eastAsiaTheme="minorEastAsia" w:hAnsiTheme="minorHAnsi"/>
            <w:spacing w:val="0"/>
            <w:sz w:val="22"/>
            <w:szCs w:val="22"/>
            <w:lang w:val="en-US"/>
          </w:rPr>
          <w:tab/>
        </w:r>
        <w:r w:rsidR="00485F1D" w:rsidRPr="00F451C8">
          <w:rPr>
            <w:rStyle w:val="Hyperlink"/>
          </w:rPr>
          <w:t>Pneumonia</w:t>
        </w:r>
      </w:hyperlink>
    </w:p>
    <w:p w14:paraId="686AE5F8" w14:textId="77777777" w:rsidR="00485F1D" w:rsidRDefault="008C4800">
      <w:pPr>
        <w:pStyle w:val="TOC9"/>
        <w:rPr>
          <w:rFonts w:asciiTheme="minorHAnsi" w:eastAsiaTheme="minorEastAsia" w:hAnsiTheme="minorHAnsi"/>
          <w:spacing w:val="0"/>
          <w:sz w:val="22"/>
          <w:szCs w:val="22"/>
          <w:lang w:val="en-US"/>
        </w:rPr>
      </w:pPr>
      <w:hyperlink w:anchor="_Toc177054033" w:history="1">
        <w:r w:rsidR="00485F1D" w:rsidRPr="00F451C8">
          <w:rPr>
            <w:rStyle w:val="Hyperlink"/>
          </w:rPr>
          <w:t>17.3.4.1</w:t>
        </w:r>
        <w:r w:rsidR="00485F1D">
          <w:rPr>
            <w:rFonts w:asciiTheme="minorHAnsi" w:eastAsiaTheme="minorEastAsia" w:hAnsiTheme="minorHAnsi"/>
            <w:spacing w:val="0"/>
            <w:sz w:val="22"/>
            <w:szCs w:val="22"/>
            <w:lang w:val="en-US"/>
          </w:rPr>
          <w:tab/>
        </w:r>
        <w:r w:rsidR="00485F1D" w:rsidRPr="00F451C8">
          <w:rPr>
            <w:rStyle w:val="Hyperlink"/>
          </w:rPr>
          <w:t>Pneumonia in children</w:t>
        </w:r>
      </w:hyperlink>
    </w:p>
    <w:p w14:paraId="68053AA0" w14:textId="77777777" w:rsidR="00485F1D" w:rsidRDefault="008C4800">
      <w:pPr>
        <w:pStyle w:val="TOC9"/>
        <w:rPr>
          <w:rFonts w:asciiTheme="minorHAnsi" w:eastAsiaTheme="minorEastAsia" w:hAnsiTheme="minorHAnsi"/>
          <w:spacing w:val="0"/>
          <w:sz w:val="22"/>
          <w:szCs w:val="22"/>
          <w:lang w:val="en-US"/>
        </w:rPr>
      </w:pPr>
      <w:hyperlink w:anchor="_Toc177054034" w:history="1">
        <w:r w:rsidR="00485F1D" w:rsidRPr="00F451C8">
          <w:rPr>
            <w:rStyle w:val="Hyperlink"/>
          </w:rPr>
          <w:t>17.3.4.2</w:t>
        </w:r>
        <w:r w:rsidR="00485F1D">
          <w:rPr>
            <w:rFonts w:asciiTheme="minorHAnsi" w:eastAsiaTheme="minorEastAsia" w:hAnsiTheme="minorHAnsi"/>
            <w:spacing w:val="0"/>
            <w:sz w:val="22"/>
            <w:szCs w:val="22"/>
            <w:lang w:val="en-US"/>
          </w:rPr>
          <w:tab/>
        </w:r>
        <w:r w:rsidR="00485F1D" w:rsidRPr="00F451C8">
          <w:rPr>
            <w:rStyle w:val="Hyperlink"/>
          </w:rPr>
          <w:t>Pneumonia in adults</w:t>
        </w:r>
      </w:hyperlink>
    </w:p>
    <w:p w14:paraId="2BA70822" w14:textId="77777777" w:rsidR="00485F1D" w:rsidRDefault="008C4800">
      <w:pPr>
        <w:pStyle w:val="TOC9"/>
        <w:rPr>
          <w:rFonts w:asciiTheme="minorHAnsi" w:eastAsiaTheme="minorEastAsia" w:hAnsiTheme="minorHAnsi"/>
          <w:spacing w:val="0"/>
          <w:sz w:val="22"/>
          <w:szCs w:val="22"/>
          <w:lang w:val="en-US"/>
        </w:rPr>
      </w:pPr>
      <w:hyperlink w:anchor="_Toc177054035" w:history="1">
        <w:r w:rsidR="00485F1D" w:rsidRPr="00F451C8">
          <w:rPr>
            <w:rStyle w:val="Hyperlink"/>
          </w:rPr>
          <w:t>17.3.4.2.1</w:t>
        </w:r>
        <w:r w:rsidR="00485F1D">
          <w:rPr>
            <w:rFonts w:asciiTheme="minorHAnsi" w:eastAsiaTheme="minorEastAsia" w:hAnsiTheme="minorHAnsi"/>
            <w:spacing w:val="0"/>
            <w:sz w:val="22"/>
            <w:szCs w:val="22"/>
            <w:lang w:val="en-US"/>
          </w:rPr>
          <w:tab/>
        </w:r>
        <w:r w:rsidR="00485F1D" w:rsidRPr="00F451C8">
          <w:rPr>
            <w:rStyle w:val="Hyperlink"/>
          </w:rPr>
          <w:t>Uncomplicated pneumonia</w:t>
        </w:r>
      </w:hyperlink>
    </w:p>
    <w:p w14:paraId="41EFCB6E" w14:textId="2FC30D63" w:rsidR="00485F1D" w:rsidRDefault="008C4800">
      <w:pPr>
        <w:pStyle w:val="TOC9"/>
        <w:rPr>
          <w:rFonts w:asciiTheme="minorHAnsi" w:eastAsiaTheme="minorEastAsia" w:hAnsiTheme="minorHAnsi"/>
          <w:spacing w:val="0"/>
          <w:sz w:val="22"/>
          <w:szCs w:val="22"/>
          <w:lang w:val="en-US"/>
        </w:rPr>
      </w:pPr>
      <w:hyperlink w:anchor="_Toc177054036" w:history="1">
        <w:r w:rsidR="00485F1D" w:rsidRPr="00F451C8">
          <w:rPr>
            <w:rStyle w:val="Hyperlink"/>
          </w:rPr>
          <w:t>17.3.4.2.2</w:t>
        </w:r>
        <w:r w:rsidR="00485F1D">
          <w:rPr>
            <w:rFonts w:asciiTheme="minorHAnsi" w:eastAsiaTheme="minorEastAsia" w:hAnsiTheme="minorHAnsi"/>
            <w:spacing w:val="0"/>
            <w:sz w:val="22"/>
            <w:szCs w:val="22"/>
            <w:lang w:val="en-US"/>
          </w:rPr>
          <w:tab/>
        </w:r>
        <w:r w:rsidR="00485F1D" w:rsidRPr="00F451C8">
          <w:rPr>
            <w:rStyle w:val="Hyperlink"/>
          </w:rPr>
          <w:t xml:space="preserve">Pneumonia in adults with underlying medical conditions or </w:t>
        </w:r>
        <w:r w:rsidR="007277E7">
          <w:rPr>
            <w:rStyle w:val="Hyperlink"/>
          </w:rPr>
          <w:t>&gt;</w:t>
        </w:r>
        <w:r w:rsidR="00485F1D" w:rsidRPr="00F451C8">
          <w:rPr>
            <w:rStyle w:val="Hyperlink"/>
          </w:rPr>
          <w:t>65 years of age</w:t>
        </w:r>
      </w:hyperlink>
    </w:p>
    <w:p w14:paraId="275C14F4" w14:textId="77777777" w:rsidR="00485F1D" w:rsidRDefault="008C4800">
      <w:pPr>
        <w:pStyle w:val="TOC9"/>
        <w:rPr>
          <w:rFonts w:asciiTheme="minorHAnsi" w:eastAsiaTheme="minorEastAsia" w:hAnsiTheme="minorHAnsi"/>
          <w:spacing w:val="0"/>
          <w:sz w:val="22"/>
          <w:szCs w:val="22"/>
          <w:lang w:val="en-US"/>
        </w:rPr>
      </w:pPr>
      <w:hyperlink w:anchor="_Toc177054037" w:history="1">
        <w:r w:rsidR="00485F1D" w:rsidRPr="00F451C8">
          <w:rPr>
            <w:rStyle w:val="Hyperlink"/>
          </w:rPr>
          <w:t>17.3.4.2.3</w:t>
        </w:r>
        <w:r w:rsidR="00485F1D">
          <w:rPr>
            <w:rFonts w:asciiTheme="minorHAnsi" w:eastAsiaTheme="minorEastAsia" w:hAnsiTheme="minorHAnsi"/>
            <w:spacing w:val="0"/>
            <w:sz w:val="22"/>
            <w:szCs w:val="22"/>
            <w:lang w:val="en-US"/>
          </w:rPr>
          <w:tab/>
        </w:r>
        <w:r w:rsidR="00485F1D" w:rsidRPr="00F451C8">
          <w:rPr>
            <w:rStyle w:val="Hyperlink"/>
          </w:rPr>
          <w:t>Severe pneumonia</w:t>
        </w:r>
      </w:hyperlink>
    </w:p>
    <w:p w14:paraId="129C8DE4" w14:textId="77777777" w:rsidR="00485F1D" w:rsidRDefault="008C4800">
      <w:pPr>
        <w:pStyle w:val="TOC9"/>
        <w:rPr>
          <w:rFonts w:asciiTheme="minorHAnsi" w:eastAsiaTheme="minorEastAsia" w:hAnsiTheme="minorHAnsi"/>
          <w:spacing w:val="0"/>
          <w:sz w:val="22"/>
          <w:szCs w:val="22"/>
          <w:lang w:val="en-US"/>
        </w:rPr>
      </w:pPr>
      <w:hyperlink w:anchor="_Toc177054038" w:history="1">
        <w:r w:rsidR="00485F1D" w:rsidRPr="00F451C8">
          <w:rPr>
            <w:rStyle w:val="Hyperlink"/>
          </w:rPr>
          <w:t>17.3.4.2.4</w:t>
        </w:r>
        <w:r w:rsidR="00485F1D">
          <w:rPr>
            <w:rFonts w:asciiTheme="minorHAnsi" w:eastAsiaTheme="minorEastAsia" w:hAnsiTheme="minorHAnsi"/>
            <w:spacing w:val="0"/>
            <w:sz w:val="22"/>
            <w:szCs w:val="22"/>
            <w:lang w:val="en-US"/>
          </w:rPr>
          <w:tab/>
        </w:r>
        <w:r w:rsidR="00485F1D" w:rsidRPr="00F451C8">
          <w:rPr>
            <w:rStyle w:val="Hyperlink"/>
          </w:rPr>
          <w:t>Pneumocystis pneumonia</w:t>
        </w:r>
      </w:hyperlink>
    </w:p>
    <w:p w14:paraId="1AFC0E9D" w14:textId="77777777" w:rsidR="00485F1D" w:rsidRDefault="008C4800">
      <w:pPr>
        <w:pStyle w:val="TOC7"/>
        <w:rPr>
          <w:rFonts w:asciiTheme="minorHAnsi" w:eastAsiaTheme="minorEastAsia" w:hAnsiTheme="minorHAnsi"/>
          <w:spacing w:val="0"/>
          <w:sz w:val="22"/>
          <w:szCs w:val="22"/>
          <w:lang w:val="en-US"/>
        </w:rPr>
      </w:pPr>
      <w:hyperlink w:anchor="_Toc177054039" w:history="1">
        <w:r w:rsidR="00485F1D" w:rsidRPr="00F451C8">
          <w:rPr>
            <w:rStyle w:val="Hyperlink"/>
          </w:rPr>
          <w:t>17.4</w:t>
        </w:r>
        <w:r w:rsidR="00485F1D">
          <w:rPr>
            <w:rFonts w:asciiTheme="minorHAnsi" w:eastAsiaTheme="minorEastAsia" w:hAnsiTheme="minorHAnsi"/>
            <w:spacing w:val="0"/>
            <w:sz w:val="22"/>
            <w:szCs w:val="22"/>
            <w:lang w:val="en-US"/>
          </w:rPr>
          <w:tab/>
        </w:r>
        <w:r w:rsidR="00485F1D" w:rsidRPr="00F451C8">
          <w:rPr>
            <w:rStyle w:val="Hyperlink"/>
          </w:rPr>
          <w:t>Pulmonary tuberculosis (TB)</w:t>
        </w:r>
      </w:hyperlink>
    </w:p>
    <w:p w14:paraId="52C96C02" w14:textId="77777777" w:rsidR="00485F1D" w:rsidRDefault="008C4800">
      <w:pPr>
        <w:pStyle w:val="TOC8"/>
        <w:rPr>
          <w:rFonts w:asciiTheme="minorHAnsi" w:eastAsiaTheme="minorEastAsia" w:hAnsiTheme="minorHAnsi"/>
          <w:spacing w:val="0"/>
          <w:sz w:val="22"/>
          <w:szCs w:val="22"/>
          <w:lang w:val="en-US"/>
        </w:rPr>
      </w:pPr>
      <w:hyperlink w:anchor="_Toc177054040" w:history="1">
        <w:r w:rsidR="00485F1D" w:rsidRPr="00F451C8">
          <w:rPr>
            <w:rStyle w:val="Hyperlink"/>
          </w:rPr>
          <w:t>17.4.1</w:t>
        </w:r>
        <w:r w:rsidR="00485F1D">
          <w:rPr>
            <w:rFonts w:asciiTheme="minorHAnsi" w:eastAsiaTheme="minorEastAsia" w:hAnsiTheme="minorHAnsi"/>
            <w:spacing w:val="0"/>
            <w:sz w:val="22"/>
            <w:szCs w:val="22"/>
            <w:lang w:val="en-US"/>
          </w:rPr>
          <w:tab/>
        </w:r>
        <w:r w:rsidR="00485F1D" w:rsidRPr="00F451C8">
          <w:rPr>
            <w:rStyle w:val="Hyperlink"/>
          </w:rPr>
          <w:t>Pulmonary tuberculosis (TB) in adults</w:t>
        </w:r>
      </w:hyperlink>
    </w:p>
    <w:p w14:paraId="144173CD" w14:textId="77777777" w:rsidR="00485F1D" w:rsidRDefault="008C4800">
      <w:pPr>
        <w:pStyle w:val="TOC9"/>
        <w:rPr>
          <w:rFonts w:asciiTheme="minorHAnsi" w:eastAsiaTheme="minorEastAsia" w:hAnsiTheme="minorHAnsi"/>
          <w:spacing w:val="0"/>
          <w:sz w:val="22"/>
          <w:szCs w:val="22"/>
          <w:lang w:val="en-US"/>
        </w:rPr>
      </w:pPr>
      <w:hyperlink w:anchor="_Toc177054041" w:history="1">
        <w:r w:rsidR="00485F1D" w:rsidRPr="00F451C8">
          <w:rPr>
            <w:rStyle w:val="Hyperlink"/>
          </w:rPr>
          <w:t>17.4.1.1</w:t>
        </w:r>
        <w:r w:rsidR="00485F1D">
          <w:rPr>
            <w:rFonts w:asciiTheme="minorHAnsi" w:eastAsiaTheme="minorEastAsia" w:hAnsiTheme="minorHAnsi"/>
            <w:spacing w:val="0"/>
            <w:sz w:val="22"/>
            <w:szCs w:val="22"/>
            <w:lang w:val="en-US"/>
          </w:rPr>
          <w:tab/>
        </w:r>
        <w:r w:rsidR="00485F1D" w:rsidRPr="00F451C8">
          <w:rPr>
            <w:rStyle w:val="Hyperlink"/>
          </w:rPr>
          <w:t>TB chemoprophylaxis/isoniazid preventive therapy (IPT) in adults</w:t>
        </w:r>
      </w:hyperlink>
    </w:p>
    <w:p w14:paraId="2E04489B" w14:textId="77777777" w:rsidR="00485F1D" w:rsidRDefault="008C4800">
      <w:pPr>
        <w:pStyle w:val="TOC9"/>
        <w:rPr>
          <w:rFonts w:asciiTheme="minorHAnsi" w:eastAsiaTheme="minorEastAsia" w:hAnsiTheme="minorHAnsi"/>
          <w:spacing w:val="0"/>
          <w:sz w:val="22"/>
          <w:szCs w:val="22"/>
          <w:lang w:val="en-US"/>
        </w:rPr>
      </w:pPr>
      <w:hyperlink w:anchor="_Toc177054042" w:history="1">
        <w:r w:rsidR="00485F1D" w:rsidRPr="00F451C8">
          <w:rPr>
            <w:rStyle w:val="Hyperlink"/>
          </w:rPr>
          <w:t>17.4.1.2</w:t>
        </w:r>
        <w:r w:rsidR="00485F1D">
          <w:rPr>
            <w:rFonts w:asciiTheme="minorHAnsi" w:eastAsiaTheme="minorEastAsia" w:hAnsiTheme="minorHAnsi"/>
            <w:spacing w:val="0"/>
            <w:sz w:val="22"/>
            <w:szCs w:val="22"/>
            <w:lang w:val="en-US"/>
          </w:rPr>
          <w:tab/>
        </w:r>
        <w:r w:rsidR="00485F1D" w:rsidRPr="00F451C8">
          <w:rPr>
            <w:rStyle w:val="Hyperlink"/>
          </w:rPr>
          <w:t>TB control programme: medicine regimens in adults</w:t>
        </w:r>
      </w:hyperlink>
    </w:p>
    <w:p w14:paraId="75622092" w14:textId="77777777" w:rsidR="00485F1D" w:rsidRDefault="008C4800">
      <w:pPr>
        <w:pStyle w:val="TOC8"/>
        <w:rPr>
          <w:rFonts w:asciiTheme="minorHAnsi" w:eastAsiaTheme="minorEastAsia" w:hAnsiTheme="minorHAnsi"/>
          <w:spacing w:val="0"/>
          <w:sz w:val="22"/>
          <w:szCs w:val="22"/>
          <w:lang w:val="en-US"/>
        </w:rPr>
      </w:pPr>
      <w:hyperlink w:anchor="_Toc177054043" w:history="1">
        <w:r w:rsidR="00485F1D" w:rsidRPr="00F451C8">
          <w:rPr>
            <w:rStyle w:val="Hyperlink"/>
          </w:rPr>
          <w:t>17.4.2</w:t>
        </w:r>
        <w:r w:rsidR="00485F1D">
          <w:rPr>
            <w:rFonts w:asciiTheme="minorHAnsi" w:eastAsiaTheme="minorEastAsia" w:hAnsiTheme="minorHAnsi"/>
            <w:spacing w:val="0"/>
            <w:sz w:val="22"/>
            <w:szCs w:val="22"/>
            <w:lang w:val="en-US"/>
          </w:rPr>
          <w:tab/>
        </w:r>
        <w:r w:rsidR="00485F1D" w:rsidRPr="00F451C8">
          <w:rPr>
            <w:rStyle w:val="Hyperlink"/>
          </w:rPr>
          <w:t>Pulmonary tuberculosis (TB) in children</w:t>
        </w:r>
      </w:hyperlink>
    </w:p>
    <w:p w14:paraId="50887F11" w14:textId="77777777" w:rsidR="00485F1D" w:rsidRDefault="008C4800">
      <w:pPr>
        <w:pStyle w:val="TOC9"/>
        <w:rPr>
          <w:rFonts w:asciiTheme="minorHAnsi" w:eastAsiaTheme="minorEastAsia" w:hAnsiTheme="minorHAnsi"/>
          <w:spacing w:val="0"/>
          <w:sz w:val="22"/>
          <w:szCs w:val="22"/>
          <w:lang w:val="en-US"/>
        </w:rPr>
      </w:pPr>
      <w:hyperlink w:anchor="_Toc177054044" w:history="1">
        <w:r w:rsidR="00485F1D" w:rsidRPr="00F451C8">
          <w:rPr>
            <w:rStyle w:val="Hyperlink"/>
          </w:rPr>
          <w:t>17.4.2.1</w:t>
        </w:r>
        <w:r w:rsidR="00485F1D">
          <w:rPr>
            <w:rFonts w:asciiTheme="minorHAnsi" w:eastAsiaTheme="minorEastAsia" w:hAnsiTheme="minorHAnsi"/>
            <w:spacing w:val="0"/>
            <w:sz w:val="22"/>
            <w:szCs w:val="22"/>
            <w:lang w:val="en-US"/>
          </w:rPr>
          <w:tab/>
        </w:r>
        <w:r w:rsidR="00485F1D" w:rsidRPr="00F451C8">
          <w:rPr>
            <w:rStyle w:val="Hyperlink"/>
          </w:rPr>
          <w:t>TB chemoprophylaxis/isoniazid preventive therapy (IPT) in children</w:t>
        </w:r>
      </w:hyperlink>
    </w:p>
    <w:p w14:paraId="1F7F9D19" w14:textId="77777777" w:rsidR="00485F1D" w:rsidRDefault="008C4800">
      <w:pPr>
        <w:pStyle w:val="TOC9"/>
        <w:rPr>
          <w:rFonts w:asciiTheme="minorHAnsi" w:eastAsiaTheme="minorEastAsia" w:hAnsiTheme="minorHAnsi"/>
          <w:spacing w:val="0"/>
          <w:sz w:val="22"/>
          <w:szCs w:val="22"/>
          <w:lang w:val="en-US"/>
        </w:rPr>
      </w:pPr>
      <w:hyperlink w:anchor="_Toc177054045" w:history="1">
        <w:r w:rsidR="00485F1D" w:rsidRPr="00F451C8">
          <w:rPr>
            <w:rStyle w:val="Hyperlink"/>
          </w:rPr>
          <w:t>17.4.2.2</w:t>
        </w:r>
        <w:r w:rsidR="00485F1D">
          <w:rPr>
            <w:rFonts w:asciiTheme="minorHAnsi" w:eastAsiaTheme="minorEastAsia" w:hAnsiTheme="minorHAnsi"/>
            <w:spacing w:val="0"/>
            <w:sz w:val="22"/>
            <w:szCs w:val="22"/>
            <w:lang w:val="en-US"/>
          </w:rPr>
          <w:tab/>
        </w:r>
        <w:r w:rsidR="00485F1D" w:rsidRPr="00F451C8">
          <w:rPr>
            <w:rStyle w:val="Hyperlink"/>
          </w:rPr>
          <w:t>TB control programme: medicine regimens in children</w:t>
        </w:r>
      </w:hyperlink>
    </w:p>
    <w:p w14:paraId="7DBA8D76" w14:textId="77777777" w:rsidR="00485F1D" w:rsidRDefault="008C4800">
      <w:pPr>
        <w:pStyle w:val="TOC8"/>
        <w:rPr>
          <w:rFonts w:asciiTheme="minorHAnsi" w:eastAsiaTheme="minorEastAsia" w:hAnsiTheme="minorHAnsi"/>
          <w:spacing w:val="0"/>
          <w:sz w:val="22"/>
          <w:szCs w:val="22"/>
          <w:lang w:val="en-US"/>
        </w:rPr>
      </w:pPr>
      <w:hyperlink w:anchor="_Toc177054046" w:history="1">
        <w:r w:rsidR="00485F1D" w:rsidRPr="00F451C8">
          <w:rPr>
            <w:rStyle w:val="Hyperlink"/>
          </w:rPr>
          <w:t>17.4.3</w:t>
        </w:r>
        <w:r w:rsidR="00485F1D">
          <w:rPr>
            <w:rFonts w:asciiTheme="minorHAnsi" w:eastAsiaTheme="minorEastAsia" w:hAnsiTheme="minorHAnsi"/>
            <w:spacing w:val="0"/>
            <w:sz w:val="22"/>
            <w:szCs w:val="22"/>
            <w:lang w:val="en-US"/>
          </w:rPr>
          <w:tab/>
        </w:r>
        <w:r w:rsidR="00485F1D" w:rsidRPr="00F451C8">
          <w:rPr>
            <w:rStyle w:val="Hyperlink"/>
          </w:rPr>
          <w:t>TB, HIV and AIDS</w:t>
        </w:r>
      </w:hyperlink>
    </w:p>
    <w:p w14:paraId="78D1EFB6" w14:textId="77777777" w:rsidR="00485F1D" w:rsidRDefault="008C4800">
      <w:pPr>
        <w:pStyle w:val="TOC8"/>
        <w:rPr>
          <w:rFonts w:asciiTheme="minorHAnsi" w:eastAsiaTheme="minorEastAsia" w:hAnsiTheme="minorHAnsi"/>
          <w:spacing w:val="0"/>
          <w:sz w:val="22"/>
          <w:szCs w:val="22"/>
          <w:lang w:val="en-US"/>
        </w:rPr>
      </w:pPr>
      <w:hyperlink w:anchor="_Toc177054047" w:history="1">
        <w:r w:rsidR="00485F1D" w:rsidRPr="00F451C8">
          <w:rPr>
            <w:rStyle w:val="Hyperlink"/>
          </w:rPr>
          <w:t>17.4.4</w:t>
        </w:r>
        <w:r w:rsidR="00485F1D">
          <w:rPr>
            <w:rFonts w:asciiTheme="minorHAnsi" w:eastAsiaTheme="minorEastAsia" w:hAnsiTheme="minorHAnsi"/>
            <w:spacing w:val="0"/>
            <w:sz w:val="22"/>
            <w:szCs w:val="22"/>
            <w:lang w:val="en-US"/>
          </w:rPr>
          <w:tab/>
        </w:r>
        <w:r w:rsidR="00485F1D" w:rsidRPr="00F451C8">
          <w:rPr>
            <w:rStyle w:val="Hyperlink"/>
          </w:rPr>
          <w:t>Drug-resistant tuberculosis (MDR TB)</w:t>
        </w:r>
      </w:hyperlink>
    </w:p>
    <w:p w14:paraId="28E5FF19" w14:textId="77777777" w:rsidR="00485F1D" w:rsidRDefault="008C4800">
      <w:pPr>
        <w:pStyle w:val="TOC9"/>
        <w:rPr>
          <w:rFonts w:asciiTheme="minorHAnsi" w:eastAsiaTheme="minorEastAsia" w:hAnsiTheme="minorHAnsi"/>
          <w:spacing w:val="0"/>
          <w:sz w:val="22"/>
          <w:szCs w:val="22"/>
          <w:lang w:val="en-US"/>
        </w:rPr>
      </w:pPr>
      <w:hyperlink w:anchor="_Toc177054048" w:history="1">
        <w:r w:rsidR="00485F1D" w:rsidRPr="00F451C8">
          <w:rPr>
            <w:rStyle w:val="Hyperlink"/>
          </w:rPr>
          <w:t>17.4.4.1</w:t>
        </w:r>
        <w:r w:rsidR="00485F1D">
          <w:rPr>
            <w:rFonts w:asciiTheme="minorHAnsi" w:eastAsiaTheme="minorEastAsia" w:hAnsiTheme="minorHAnsi"/>
            <w:spacing w:val="0"/>
            <w:sz w:val="22"/>
            <w:szCs w:val="22"/>
            <w:lang w:val="en-US"/>
          </w:rPr>
          <w:tab/>
        </w:r>
        <w:r w:rsidR="00485F1D" w:rsidRPr="00F451C8">
          <w:rPr>
            <w:rStyle w:val="Hyperlink"/>
          </w:rPr>
          <w:t>Isoniazid mono-resistant tuberculosis in adults</w:t>
        </w:r>
      </w:hyperlink>
    </w:p>
    <w:p w14:paraId="1A781DCD" w14:textId="03AD60AF" w:rsidR="00485F1D" w:rsidRDefault="008C4800">
      <w:pPr>
        <w:pStyle w:val="TOC9"/>
        <w:rPr>
          <w:rFonts w:asciiTheme="minorHAnsi" w:eastAsiaTheme="minorEastAsia" w:hAnsiTheme="minorHAnsi"/>
          <w:spacing w:val="0"/>
          <w:sz w:val="22"/>
          <w:szCs w:val="22"/>
          <w:lang w:val="en-US"/>
        </w:rPr>
      </w:pPr>
      <w:hyperlink w:anchor="_Toc177054049" w:history="1">
        <w:r w:rsidR="00485F1D" w:rsidRPr="00F451C8">
          <w:rPr>
            <w:rStyle w:val="Hyperlink"/>
          </w:rPr>
          <w:t>17.4.4.2</w:t>
        </w:r>
        <w:r w:rsidR="00485F1D">
          <w:rPr>
            <w:rFonts w:asciiTheme="minorHAnsi" w:eastAsiaTheme="minorEastAsia" w:hAnsiTheme="minorHAnsi"/>
            <w:spacing w:val="0"/>
            <w:sz w:val="22"/>
            <w:szCs w:val="22"/>
            <w:lang w:val="en-US"/>
          </w:rPr>
          <w:tab/>
        </w:r>
        <w:r w:rsidR="00485F1D">
          <w:rPr>
            <w:rStyle w:val="Hyperlink"/>
          </w:rPr>
          <w:t>Rifampicin</w:t>
        </w:r>
        <w:r w:rsidR="00485F1D" w:rsidRPr="00F451C8">
          <w:rPr>
            <w:rStyle w:val="Hyperlink"/>
          </w:rPr>
          <w:t>-resistant tuberculosis (RR TB), in adults</w:t>
        </w:r>
      </w:hyperlink>
    </w:p>
    <w:p w14:paraId="0D1C1266" w14:textId="19B90EEC" w:rsidR="00485F1D" w:rsidRDefault="008C4800">
      <w:pPr>
        <w:pStyle w:val="TOC9"/>
        <w:rPr>
          <w:rFonts w:asciiTheme="minorHAnsi" w:eastAsiaTheme="minorEastAsia" w:hAnsiTheme="minorHAnsi"/>
          <w:spacing w:val="0"/>
          <w:sz w:val="22"/>
          <w:szCs w:val="22"/>
          <w:lang w:val="en-US"/>
        </w:rPr>
      </w:pPr>
      <w:hyperlink w:anchor="_Toc177054050" w:history="1">
        <w:r w:rsidR="00485F1D" w:rsidRPr="00F451C8">
          <w:rPr>
            <w:rStyle w:val="Hyperlink"/>
          </w:rPr>
          <w:t>17.4.4.3</w:t>
        </w:r>
        <w:r w:rsidR="00485F1D">
          <w:rPr>
            <w:rFonts w:asciiTheme="minorHAnsi" w:eastAsiaTheme="minorEastAsia" w:hAnsiTheme="minorHAnsi"/>
            <w:spacing w:val="0"/>
            <w:sz w:val="22"/>
            <w:szCs w:val="22"/>
            <w:lang w:val="en-US"/>
          </w:rPr>
          <w:tab/>
        </w:r>
        <w:r w:rsidR="00485F1D">
          <w:rPr>
            <w:rStyle w:val="Hyperlink"/>
          </w:rPr>
          <w:t>Rifampicin</w:t>
        </w:r>
        <w:r w:rsidR="00485F1D" w:rsidRPr="00F451C8">
          <w:rPr>
            <w:rStyle w:val="Hyperlink"/>
          </w:rPr>
          <w:t>-resistant (RR</w:t>
        </w:r>
        <w:r w:rsidR="00485F1D">
          <w:rPr>
            <w:rStyle w:val="Hyperlink"/>
          </w:rPr>
          <w:t>), PRE-XDR AND XDR tuberculosis</w:t>
        </w:r>
        <w:r w:rsidR="00485F1D" w:rsidRPr="00F451C8">
          <w:rPr>
            <w:rStyle w:val="Hyperlink"/>
          </w:rPr>
          <w:t>, in children</w:t>
        </w:r>
      </w:hyperlink>
    </w:p>
    <w:p w14:paraId="7C765CCF" w14:textId="6B3371F1" w:rsidR="00550B9E" w:rsidRDefault="00034FAB" w:rsidP="00550B9E">
      <w:pPr>
        <w:pStyle w:val="NoSpacing"/>
        <w:rPr>
          <w:noProof/>
        </w:rPr>
      </w:pPr>
      <w:r>
        <w:rPr>
          <w:noProof/>
        </w:rPr>
        <w:fldChar w:fldCharType="end"/>
      </w:r>
      <w:r w:rsidR="00550B9E">
        <w:rPr>
          <w:noProof/>
        </w:rPr>
        <w:br w:type="page"/>
      </w:r>
    </w:p>
    <w:p w14:paraId="6513FE58" w14:textId="3E11F47A" w:rsidR="00FF01A9" w:rsidRPr="00B91457" w:rsidRDefault="00B91457" w:rsidP="00B91457">
      <w:pPr>
        <w:pStyle w:val="Heading2"/>
      </w:pPr>
      <w:bookmarkStart w:id="0" w:name="_Toc57837001"/>
      <w:bookmarkStart w:id="1" w:name="_Toc57838373"/>
      <w:bookmarkStart w:id="2" w:name="_Toc57838469"/>
      <w:bookmarkStart w:id="3" w:name="_Toc57839886"/>
      <w:bookmarkStart w:id="4" w:name="_Toc57840023"/>
      <w:bookmarkStart w:id="5" w:name="_Toc177054020"/>
      <w:bookmarkStart w:id="6" w:name="Chapter17"/>
      <w:r w:rsidRPr="00B91457">
        <w:lastRenderedPageBreak/>
        <w:t>Conditions with predominant wheeze</w:t>
      </w:r>
      <w:bookmarkEnd w:id="0"/>
      <w:bookmarkEnd w:id="1"/>
      <w:bookmarkEnd w:id="2"/>
      <w:bookmarkEnd w:id="3"/>
      <w:bookmarkEnd w:id="4"/>
      <w:bookmarkEnd w:id="5"/>
      <w:r w:rsidR="00DA63AC">
        <w:fldChar w:fldCharType="begin"/>
      </w:r>
      <w:r w:rsidR="00DA63AC">
        <w:instrText xml:space="preserve"> XE "</w:instrText>
      </w:r>
      <w:r w:rsidR="00DA63AC" w:rsidRPr="004A0AEB">
        <w:instrText>Conditions with predominant wheeze</w:instrText>
      </w:r>
      <w:r w:rsidR="00DA63AC">
        <w:instrText xml:space="preserve">" </w:instrText>
      </w:r>
      <w:r w:rsidR="00DA63AC" w:rsidRPr="00DA63AC">
        <w:instrText xml:space="preserve">\f “c” </w:instrText>
      </w:r>
      <w:r w:rsidR="00DA63AC">
        <w:fldChar w:fldCharType="end"/>
      </w:r>
    </w:p>
    <w:p w14:paraId="4B116DC7" w14:textId="77777777" w:rsidR="00FF01A9" w:rsidRPr="00F006D2" w:rsidRDefault="00FF01A9" w:rsidP="00FF01A9">
      <w:pPr>
        <w:pStyle w:val="NoSpacing"/>
        <w:rPr>
          <w:sz w:val="8"/>
          <w:szCs w:val="8"/>
        </w:rPr>
      </w:pPr>
    </w:p>
    <w:p w14:paraId="76AD5623" w14:textId="07249560" w:rsidR="00FF01A9" w:rsidRPr="0028477E" w:rsidRDefault="00B91457" w:rsidP="0028477E">
      <w:pPr>
        <w:pStyle w:val="Heading3"/>
      </w:pPr>
      <w:bookmarkStart w:id="7" w:name="_Hlk165977329"/>
      <w:bookmarkStart w:id="8" w:name="_Toc57838374"/>
      <w:bookmarkStart w:id="9" w:name="_Toc57838470"/>
      <w:bookmarkStart w:id="10" w:name="_Toc57839887"/>
      <w:bookmarkStart w:id="11" w:name="_Toc57840024"/>
      <w:bookmarkStart w:id="12" w:name="_Toc177054021"/>
      <w:r w:rsidRPr="0028477E">
        <w:t xml:space="preserve">Acute asthma </w:t>
      </w:r>
      <w:r w:rsidR="00FF01A9" w:rsidRPr="0028477E">
        <w:t xml:space="preserve">&amp; </w:t>
      </w:r>
      <w:bookmarkEnd w:id="7"/>
      <w:r w:rsidRPr="0028477E">
        <w:t xml:space="preserve">acute exacerbation of </w:t>
      </w:r>
      <w:r w:rsidR="0028477E" w:rsidRPr="0028477E">
        <w:t>COPD</w:t>
      </w:r>
      <w:bookmarkEnd w:id="8"/>
      <w:bookmarkEnd w:id="9"/>
      <w:bookmarkEnd w:id="10"/>
      <w:bookmarkEnd w:id="11"/>
      <w:r w:rsidR="00836FAC">
        <w:t>,</w:t>
      </w:r>
      <w:r w:rsidR="00966868">
        <w:t xml:space="preserve"> ADULTS</w:t>
      </w:r>
      <w:bookmarkEnd w:id="12"/>
      <w:r w:rsidR="00FB2686">
        <w:fldChar w:fldCharType="begin"/>
      </w:r>
      <w:r w:rsidR="00FB2686">
        <w:instrText xml:space="preserve"> XE "</w:instrText>
      </w:r>
      <w:r w:rsidR="00FB2686" w:rsidRPr="004A0AEB">
        <w:instrText>Acute asthma &amp; acute exacerbation of COPD</w:instrText>
      </w:r>
      <w:r w:rsidR="00FB2686">
        <w:instrText xml:space="preserve">" </w:instrText>
      </w:r>
      <w:r w:rsidR="00FB2686" w:rsidRPr="00FB2686">
        <w:instrText xml:space="preserve">\f “c” </w:instrText>
      </w:r>
      <w:r w:rsidR="00FB2686">
        <w:fldChar w:fldCharType="end"/>
      </w:r>
    </w:p>
    <w:p w14:paraId="72CE7DAA" w14:textId="7480D858" w:rsidR="00FF01A9" w:rsidRPr="001F4BAA" w:rsidRDefault="00FF01A9" w:rsidP="002344FD">
      <w:pPr>
        <w:pStyle w:val="ICD10"/>
        <w:shd w:val="clear" w:color="auto" w:fill="F2F2F2" w:themeFill="background1" w:themeFillShade="F2"/>
        <w:tabs>
          <w:tab w:val="left" w:pos="2753"/>
        </w:tabs>
      </w:pPr>
      <w:r w:rsidRPr="001F4BAA">
        <w:t>J46/J45.0-1/J45.8</w:t>
      </w:r>
      <w:r w:rsidR="00CC57F7">
        <w:t>-</w:t>
      </w:r>
      <w:r w:rsidRPr="001F4BAA">
        <w:t>9</w:t>
      </w:r>
    </w:p>
    <w:p w14:paraId="1B4CEA70" w14:textId="77777777" w:rsidR="00605612" w:rsidRDefault="00605612" w:rsidP="00605612">
      <w:pPr>
        <w:pStyle w:val="Heading5"/>
        <w:spacing w:before="0"/>
      </w:pPr>
    </w:p>
    <w:p w14:paraId="0546233E" w14:textId="77777777" w:rsidR="00FF01A9" w:rsidRPr="001F4BAA" w:rsidRDefault="00FF01A9" w:rsidP="00605612">
      <w:pPr>
        <w:pStyle w:val="Heading5"/>
        <w:spacing w:before="0"/>
      </w:pPr>
      <w:r w:rsidRPr="008D61C1">
        <w:t>DESCRIPTION</w:t>
      </w:r>
    </w:p>
    <w:p w14:paraId="4041259F" w14:textId="77777777" w:rsidR="00605612" w:rsidRPr="005A1785" w:rsidRDefault="00605612" w:rsidP="00605612">
      <w:pPr>
        <w:spacing w:before="0" w:after="0"/>
        <w:rPr>
          <w:rFonts w:eastAsia="Calibri" w:cs="Arial"/>
          <w:bCs/>
        </w:rPr>
      </w:pPr>
      <w:r w:rsidRPr="005A1785">
        <w:rPr>
          <w:rFonts w:eastAsia="Calibri" w:cs="Arial"/>
        </w:rPr>
        <w:t>Acute asthma is an emergency and presents with one or more of the following:</w:t>
      </w:r>
    </w:p>
    <w:tbl>
      <w:tblPr>
        <w:tblW w:w="0" w:type="auto"/>
        <w:tblInd w:w="-113" w:type="dxa"/>
        <w:tblLook w:val="04A0" w:firstRow="1" w:lastRow="0" w:firstColumn="1" w:lastColumn="0" w:noHBand="0" w:noVBand="1"/>
      </w:tblPr>
      <w:tblGrid>
        <w:gridCol w:w="3589"/>
        <w:gridCol w:w="3213"/>
      </w:tblGrid>
      <w:tr w:rsidR="00FF01A9" w:rsidRPr="001F4BAA" w14:paraId="72B61737" w14:textId="77777777" w:rsidTr="00A628EE">
        <w:tc>
          <w:tcPr>
            <w:tcW w:w="3589" w:type="dxa"/>
          </w:tcPr>
          <w:p w14:paraId="3DE8DB35" w14:textId="77777777" w:rsidR="00FF01A9" w:rsidRPr="001F4BAA" w:rsidRDefault="00FF01A9" w:rsidP="00605612">
            <w:pPr>
              <w:pStyle w:val="ListParagraph"/>
            </w:pPr>
            <w:r w:rsidRPr="001F4BAA">
              <w:t>wheeze</w:t>
            </w:r>
          </w:p>
        </w:tc>
        <w:tc>
          <w:tcPr>
            <w:tcW w:w="3213" w:type="dxa"/>
          </w:tcPr>
          <w:p w14:paraId="292E5D17" w14:textId="7031CE80" w:rsidR="00FF01A9" w:rsidRPr="001F4BAA" w:rsidRDefault="00605612" w:rsidP="00605612">
            <w:pPr>
              <w:pStyle w:val="ListParagraph"/>
            </w:pPr>
            <w:r w:rsidRPr="001F4BAA">
              <w:t>cough</w:t>
            </w:r>
          </w:p>
        </w:tc>
      </w:tr>
      <w:tr w:rsidR="00FF01A9" w:rsidRPr="001F4BAA" w14:paraId="7D900AEB" w14:textId="77777777" w:rsidTr="00A628EE">
        <w:tc>
          <w:tcPr>
            <w:tcW w:w="3589" w:type="dxa"/>
          </w:tcPr>
          <w:p w14:paraId="4EA58D58" w14:textId="01FF1F34" w:rsidR="00FF01A9" w:rsidRPr="001F4BAA" w:rsidRDefault="00FF01A9" w:rsidP="00F006D2">
            <w:pPr>
              <w:pStyle w:val="ListParagraph"/>
            </w:pPr>
            <w:r w:rsidRPr="001F4BAA">
              <w:t>chest</w:t>
            </w:r>
            <w:r w:rsidR="00605612">
              <w:t xml:space="preserve"> tightness</w:t>
            </w:r>
          </w:p>
        </w:tc>
        <w:tc>
          <w:tcPr>
            <w:tcW w:w="3213" w:type="dxa"/>
          </w:tcPr>
          <w:p w14:paraId="402C4641" w14:textId="77777777" w:rsidR="00FF01A9" w:rsidRPr="001F4BAA" w:rsidRDefault="00FF01A9" w:rsidP="00F006D2">
            <w:pPr>
              <w:pStyle w:val="ListParagraph"/>
            </w:pPr>
            <w:r w:rsidRPr="001F4BAA">
              <w:t>respiratory distress</w:t>
            </w:r>
          </w:p>
        </w:tc>
      </w:tr>
    </w:tbl>
    <w:p w14:paraId="2FE51C4F" w14:textId="77777777" w:rsidR="00605612" w:rsidRPr="00015714" w:rsidRDefault="00605612" w:rsidP="008D61C1">
      <w:pPr>
        <w:spacing w:before="120" w:line="276" w:lineRule="auto"/>
        <w:rPr>
          <w:rFonts w:eastAsia="Calibri" w:cs="Arial"/>
          <w:b/>
        </w:rPr>
      </w:pPr>
      <w:r w:rsidRPr="00015714">
        <w:rPr>
          <w:rFonts w:eastAsia="Calibri" w:cs="Arial"/>
          <w:b/>
        </w:rPr>
        <w:t>Differential Diagnosis</w:t>
      </w:r>
    </w:p>
    <w:p w14:paraId="3EC8EE56" w14:textId="77777777" w:rsidR="00605612" w:rsidRPr="0071605C" w:rsidRDefault="00605612" w:rsidP="008542CC">
      <w:pPr>
        <w:pStyle w:val="ListParagraph"/>
        <w:numPr>
          <w:ilvl w:val="0"/>
          <w:numId w:val="60"/>
        </w:numPr>
        <w:spacing w:line="276" w:lineRule="auto"/>
        <w:jc w:val="left"/>
        <w:rPr>
          <w:rFonts w:eastAsia="Calibri" w:cs="Arial"/>
          <w:bCs/>
        </w:rPr>
      </w:pPr>
      <w:r w:rsidRPr="0071605C">
        <w:rPr>
          <w:rFonts w:eastAsia="Calibri" w:cs="Arial"/>
          <w:bCs/>
        </w:rPr>
        <w:t>If &gt; 50 years old with first presentation of asthma, consider pulmonary oedema due to heart failure as an alternate diagnosis.</w:t>
      </w:r>
    </w:p>
    <w:p w14:paraId="790AB427" w14:textId="77777777" w:rsidR="00605612" w:rsidRPr="005A1785" w:rsidRDefault="00605612" w:rsidP="008542CC">
      <w:pPr>
        <w:pStyle w:val="ListParagraph"/>
        <w:numPr>
          <w:ilvl w:val="0"/>
          <w:numId w:val="60"/>
        </w:numPr>
        <w:spacing w:after="120"/>
        <w:ind w:left="357" w:hanging="357"/>
        <w:jc w:val="left"/>
        <w:rPr>
          <w:iCs/>
          <w:szCs w:val="20"/>
        </w:rPr>
      </w:pPr>
      <w:r w:rsidRPr="009426C1">
        <w:rPr>
          <w:rFonts w:eastAsia="Calibri" w:cs="Times New Roman"/>
          <w:bCs/>
        </w:rPr>
        <w:t>In patients who do not respond with 1 hour of initiating the acute asthma algorithm</w:t>
      </w:r>
      <w:r>
        <w:rPr>
          <w:rFonts w:eastAsia="Calibri" w:cs="Times New Roman"/>
          <w:bCs/>
        </w:rPr>
        <w:t>,</w:t>
      </w:r>
      <w:r w:rsidRPr="009426C1">
        <w:rPr>
          <w:iCs/>
          <w:szCs w:val="20"/>
        </w:rPr>
        <w:t xml:space="preserve"> </w:t>
      </w:r>
      <w:r>
        <w:rPr>
          <w:iCs/>
          <w:szCs w:val="20"/>
        </w:rPr>
        <w:t>e</w:t>
      </w:r>
      <w:r w:rsidRPr="00273C69">
        <w:rPr>
          <w:iCs/>
          <w:szCs w:val="20"/>
        </w:rPr>
        <w:t>xclude upper airway obstruction/stridor, pneumothorax, and anaphylaxis</w:t>
      </w:r>
      <w:r>
        <w:rPr>
          <w:iCs/>
          <w:szCs w:val="20"/>
        </w:rPr>
        <w:t xml:space="preserve"> and refer to hospital</w:t>
      </w:r>
    </w:p>
    <w:p w14:paraId="7E47850D" w14:textId="77777777" w:rsidR="00605612" w:rsidRPr="00605612" w:rsidRDefault="00605612" w:rsidP="00605612">
      <w:pPr>
        <w:pStyle w:val="ListParagraph"/>
        <w:numPr>
          <w:ilvl w:val="0"/>
          <w:numId w:val="0"/>
        </w:numPr>
        <w:pBdr>
          <w:top w:val="double" w:sz="4" w:space="1" w:color="auto"/>
          <w:left w:val="double" w:sz="4" w:space="4" w:color="auto"/>
          <w:bottom w:val="double" w:sz="4" w:space="1" w:color="auto"/>
          <w:right w:val="double" w:sz="4" w:space="4" w:color="auto"/>
        </w:pBdr>
        <w:spacing w:line="276" w:lineRule="auto"/>
        <w:ind w:left="360" w:right="113"/>
        <w:jc w:val="center"/>
        <w:rPr>
          <w:rFonts w:eastAsia="Calibri" w:cs="Arial"/>
          <w:bCs/>
        </w:rPr>
      </w:pPr>
      <w:r w:rsidRPr="00605612">
        <w:rPr>
          <w:rFonts w:eastAsia="Calibri" w:cs="Arial"/>
        </w:rPr>
        <w:t xml:space="preserve">Peak expiratory flow rate (PEFR) is expressed as percentage of predicted normal (or personal best if known). </w:t>
      </w:r>
      <w:r w:rsidRPr="00605612">
        <w:rPr>
          <w:rFonts w:eastAsia="Calibri" w:cs="Arial"/>
          <w:bCs/>
          <w:i/>
          <w:iCs/>
        </w:rPr>
        <w:t>See PEF charts in Appendix V: Asthma monitoring</w:t>
      </w:r>
      <w:r w:rsidRPr="00605612">
        <w:rPr>
          <w:rFonts w:eastAsia="Calibri" w:cs="Arial"/>
          <w:bCs/>
        </w:rPr>
        <w:t>.</w:t>
      </w:r>
    </w:p>
    <w:p w14:paraId="32B54A3C" w14:textId="77777777" w:rsidR="00605612" w:rsidRDefault="00605612" w:rsidP="00605612">
      <w:pPr>
        <w:spacing w:before="0" w:after="0"/>
        <w:rPr>
          <w:rFonts w:eastAsia="Calibri" w:cs="Times New Roman"/>
          <w:b/>
        </w:rPr>
      </w:pPr>
    </w:p>
    <w:p w14:paraId="69210267" w14:textId="0E068687" w:rsidR="00605612" w:rsidRDefault="00605612" w:rsidP="00605612">
      <w:pPr>
        <w:spacing w:before="0" w:after="0"/>
        <w:rPr>
          <w:rFonts w:eastAsia="Calibri" w:cs="Times New Roman"/>
        </w:rPr>
      </w:pPr>
      <w:r>
        <w:rPr>
          <w:rFonts w:eastAsia="Calibri" w:cs="Times New Roman"/>
          <w:b/>
        </w:rPr>
        <w:t xml:space="preserve">Bronchodilator </w:t>
      </w:r>
      <w:r w:rsidR="008D61C1">
        <w:rPr>
          <w:rFonts w:eastAsia="Calibri" w:cs="Times New Roman"/>
          <w:b/>
        </w:rPr>
        <w:t>a</w:t>
      </w:r>
      <w:r>
        <w:rPr>
          <w:rFonts w:eastAsia="Calibri" w:cs="Times New Roman"/>
          <w:b/>
        </w:rPr>
        <w:t>dministration</w:t>
      </w:r>
      <w:r w:rsidRPr="00214AA8">
        <w:rPr>
          <w:rFonts w:eastAsia="Calibri" w:cs="Times New Roman"/>
          <w:b/>
        </w:rPr>
        <w:t>:</w:t>
      </w:r>
      <w:r w:rsidRPr="00214AA8">
        <w:rPr>
          <w:rFonts w:eastAsia="Calibri" w:cs="Times New Roman"/>
        </w:rPr>
        <w:t xml:space="preserve"> </w:t>
      </w:r>
    </w:p>
    <w:p w14:paraId="326625E0" w14:textId="6FEDA75A" w:rsidR="00605612" w:rsidRPr="00605612" w:rsidRDefault="00605612" w:rsidP="008542CC">
      <w:pPr>
        <w:pStyle w:val="ListParagraph"/>
        <w:numPr>
          <w:ilvl w:val="0"/>
          <w:numId w:val="60"/>
        </w:numPr>
        <w:jc w:val="left"/>
        <w:rPr>
          <w:rFonts w:eastAsia="Calibri" w:cs="Times New Roman"/>
          <w:bCs/>
        </w:rPr>
      </w:pPr>
      <w:r>
        <w:rPr>
          <w:rFonts w:eastAsia="Calibri" w:cs="Times New Roman"/>
        </w:rPr>
        <w:t>S</w:t>
      </w:r>
      <w:r w:rsidRPr="00214AA8">
        <w:rPr>
          <w:rFonts w:eastAsia="Calibri" w:cs="Times New Roman"/>
        </w:rPr>
        <w:t xml:space="preserve">albutamol </w:t>
      </w:r>
      <w:r>
        <w:rPr>
          <w:rFonts w:eastAsia="Calibri" w:cs="Times New Roman"/>
        </w:rPr>
        <w:t xml:space="preserve">administered </w:t>
      </w:r>
      <w:r w:rsidRPr="00214AA8">
        <w:rPr>
          <w:rFonts w:eastAsia="Calibri" w:cs="Times New Roman"/>
        </w:rPr>
        <w:t>via spacer is as effective as, and cheaper than</w:t>
      </w:r>
      <w:r>
        <w:rPr>
          <w:rFonts w:eastAsia="Calibri" w:cs="Times New Roman"/>
        </w:rPr>
        <w:t xml:space="preserve"> via</w:t>
      </w:r>
      <w:r w:rsidRPr="00214AA8">
        <w:rPr>
          <w:rFonts w:eastAsia="Calibri" w:cs="Times New Roman"/>
        </w:rPr>
        <w:t xml:space="preserve"> nebuliser</w:t>
      </w:r>
      <w:r>
        <w:rPr>
          <w:rFonts w:eastAsia="Calibri" w:cs="Times New Roman"/>
        </w:rPr>
        <w:t>.</w:t>
      </w:r>
    </w:p>
    <w:p w14:paraId="00713236" w14:textId="77777777" w:rsidR="00605612" w:rsidRPr="00CF5A11" w:rsidRDefault="00605612" w:rsidP="008542CC">
      <w:pPr>
        <w:pStyle w:val="ListParagraph"/>
        <w:numPr>
          <w:ilvl w:val="0"/>
          <w:numId w:val="60"/>
        </w:numPr>
        <w:jc w:val="left"/>
        <w:rPr>
          <w:rFonts w:eastAsia="Calibri" w:cs="Times New Roman"/>
          <w:bCs/>
        </w:rPr>
      </w:pPr>
      <w:r>
        <w:rPr>
          <w:rFonts w:eastAsia="Calibri" w:cs="Times New Roman"/>
          <w:bCs/>
        </w:rPr>
        <w:t>When using metered dose inhalers (MDIs), shake inhaler between each puff.</w:t>
      </w:r>
    </w:p>
    <w:tbl>
      <w:tblPr>
        <w:tblpPr w:leftFromText="180" w:rightFromText="180" w:vertAnchor="text" w:horzAnchor="margin" w:tblpXSpec="right" w:tblpY="28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6135F7" w:rsidRPr="001F4BAA" w14:paraId="7EB50A5B" w14:textId="77777777" w:rsidTr="006135F7">
        <w:tc>
          <w:tcPr>
            <w:tcW w:w="907" w:type="dxa"/>
          </w:tcPr>
          <w:p w14:paraId="21ACD6B1" w14:textId="77777777" w:rsidR="006135F7" w:rsidRPr="002344FD" w:rsidRDefault="006135F7" w:rsidP="006135F7">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2"/>
            </w:r>
          </w:p>
        </w:tc>
      </w:tr>
    </w:tbl>
    <w:p w14:paraId="0B3A1372" w14:textId="0D670A83" w:rsidR="00605612" w:rsidRPr="008D61C1" w:rsidRDefault="00605612" w:rsidP="00605612">
      <w:pPr>
        <w:pStyle w:val="ListParagraph"/>
        <w:numPr>
          <w:ilvl w:val="0"/>
          <w:numId w:val="60"/>
        </w:numPr>
        <w:ind w:left="357" w:hanging="357"/>
        <w:jc w:val="left"/>
        <w:rPr>
          <w:rFonts w:eastAsia="Calibri" w:cs="Times New Roman"/>
          <w:bCs/>
        </w:rPr>
      </w:pPr>
      <w:r w:rsidRPr="009416E5">
        <w:rPr>
          <w:rFonts w:eastAsia="Calibri" w:cs="Arial"/>
        </w:rPr>
        <w:t>For guidance on inhaler, spacer and nebuliser device techniques, See</w:t>
      </w:r>
      <w:r w:rsidRPr="00E4455C">
        <w:rPr>
          <w:rFonts w:eastAsia="Calibri" w:cs="Arial"/>
          <w:i/>
          <w:iCs/>
        </w:rPr>
        <w:t xml:space="preserve"> Appendix VI: Devices for Respiratory Conditions.</w:t>
      </w:r>
    </w:p>
    <w:p w14:paraId="772744B8" w14:textId="77777777" w:rsidR="00605612" w:rsidRPr="00605612" w:rsidRDefault="00605612" w:rsidP="008D61C1">
      <w:pPr>
        <w:spacing w:after="0"/>
        <w:rPr>
          <w:rFonts w:eastAsia="Calibri" w:cs="Times New Roman"/>
          <w:b/>
        </w:rPr>
      </w:pPr>
      <w:r w:rsidRPr="00605612">
        <w:rPr>
          <w:rFonts w:eastAsia="Calibri" w:cs="Times New Roman"/>
          <w:b/>
        </w:rPr>
        <w:t>Risk factors for asthma-related death</w:t>
      </w:r>
    </w:p>
    <w:p w14:paraId="38842F4B" w14:textId="35CFFC86"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History of near-fatal asthma requiring intubation and mechanical ventilation.</w:t>
      </w:r>
    </w:p>
    <w:p w14:paraId="2A81F4F7" w14:textId="22E10947"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Hospitalisation or emergency care visit for asthma in the past year</w:t>
      </w:r>
      <w:r>
        <w:rPr>
          <w:rFonts w:eastAsia="Calibri" w:cs="Times New Roman"/>
        </w:rPr>
        <w:t>.</w:t>
      </w:r>
    </w:p>
    <w:p w14:paraId="569F6CD0" w14:textId="2E2DB705"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Currently using or recent discontinuation of oral corticosteroids</w:t>
      </w:r>
      <w:r>
        <w:rPr>
          <w:rFonts w:eastAsia="Calibri" w:cs="Times New Roman"/>
        </w:rPr>
        <w:t>.</w:t>
      </w:r>
    </w:p>
    <w:p w14:paraId="3D1E5389" w14:textId="2AD30692"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Not currently using inhaled corticosteroids (ICS)</w:t>
      </w:r>
      <w:r>
        <w:rPr>
          <w:rFonts w:eastAsia="Calibri" w:cs="Times New Roman"/>
        </w:rPr>
        <w:t>.</w:t>
      </w:r>
    </w:p>
    <w:p w14:paraId="4F777ECB" w14:textId="7CAFDB03"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Over-use of short-acting β2 agonists (SABAs) (over 1 cannister per month) or using nebulised SABAs</w:t>
      </w:r>
      <w:r>
        <w:rPr>
          <w:rFonts w:eastAsia="Calibri" w:cs="Times New Roman"/>
        </w:rPr>
        <w:t>.</w:t>
      </w:r>
    </w:p>
    <w:p w14:paraId="36480B49" w14:textId="01720957"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Poor adherence with ICS-containing medications</w:t>
      </w:r>
      <w:r>
        <w:rPr>
          <w:rFonts w:eastAsia="Calibri" w:cs="Times New Roman"/>
        </w:rPr>
        <w:t>.</w:t>
      </w:r>
    </w:p>
    <w:p w14:paraId="04E5CBAF" w14:textId="0EDCFCD7"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A history of psychiatric disease or psychosocial problems</w:t>
      </w:r>
      <w:r>
        <w:rPr>
          <w:rFonts w:eastAsia="Calibri" w:cs="Times New Roman"/>
        </w:rPr>
        <w:t>.</w:t>
      </w:r>
    </w:p>
    <w:p w14:paraId="7EC3BC15" w14:textId="4EDC7A5B" w:rsidR="00605612" w:rsidRPr="00605612" w:rsidRDefault="00605612" w:rsidP="008542CC">
      <w:pPr>
        <w:pStyle w:val="ListParagraph"/>
        <w:numPr>
          <w:ilvl w:val="0"/>
          <w:numId w:val="60"/>
        </w:numPr>
        <w:jc w:val="left"/>
        <w:rPr>
          <w:rFonts w:eastAsia="Calibri" w:cs="Times New Roman"/>
        </w:rPr>
      </w:pPr>
      <w:r w:rsidRPr="00605612">
        <w:rPr>
          <w:rFonts w:eastAsia="Calibri" w:cs="Times New Roman"/>
        </w:rPr>
        <w:t>Food allergy in a patient with asthma</w:t>
      </w:r>
      <w:r>
        <w:rPr>
          <w:rFonts w:eastAsia="Calibri" w:cs="Times New Roman"/>
        </w:rPr>
        <w:t>.</w:t>
      </w:r>
    </w:p>
    <w:p w14:paraId="071778CD" w14:textId="4CC4B88A" w:rsidR="00605612" w:rsidRPr="008D61C1" w:rsidRDefault="00605612" w:rsidP="008D61C1">
      <w:pPr>
        <w:pStyle w:val="ListParagraph"/>
        <w:numPr>
          <w:ilvl w:val="0"/>
          <w:numId w:val="60"/>
        </w:numPr>
        <w:jc w:val="left"/>
        <w:rPr>
          <w:rFonts w:eastAsia="Calibri" w:cs="Times New Roman"/>
        </w:rPr>
      </w:pPr>
      <w:r w:rsidRPr="00605612">
        <w:rPr>
          <w:rFonts w:eastAsia="Calibri" w:cs="Times New Roman"/>
        </w:rPr>
        <w:t>Presence of pneumonia, diabetes or arrhythmias (each individually associated with an increased risk of death after hospitalisation for an asthma exacerbation)</w:t>
      </w:r>
      <w:r>
        <w:rPr>
          <w:rFonts w:eastAsia="Calibri" w:cs="Times New Roman"/>
        </w:rPr>
        <w:t>.</w:t>
      </w:r>
    </w:p>
    <w:p w14:paraId="52390ECE" w14:textId="77777777" w:rsidR="00605612" w:rsidRPr="00605612" w:rsidRDefault="00605612" w:rsidP="008D61C1">
      <w:pPr>
        <w:spacing w:after="0"/>
        <w:rPr>
          <w:rFonts w:eastAsia="Calibri" w:cs="Times New Roman"/>
          <w:b/>
        </w:rPr>
      </w:pPr>
      <w:r w:rsidRPr="00605612">
        <w:rPr>
          <w:rFonts w:eastAsia="Calibri" w:cs="Times New Roman"/>
          <w:b/>
        </w:rPr>
        <w:t>Intercurrent bacterial respiratory infections</w:t>
      </w:r>
    </w:p>
    <w:p w14:paraId="71F9E081" w14:textId="77777777" w:rsidR="00605612" w:rsidRPr="00605612" w:rsidRDefault="00605612" w:rsidP="008542CC">
      <w:pPr>
        <w:pStyle w:val="ListParagraph"/>
        <w:numPr>
          <w:ilvl w:val="0"/>
          <w:numId w:val="61"/>
        </w:numPr>
        <w:spacing w:line="276" w:lineRule="auto"/>
        <w:jc w:val="left"/>
        <w:rPr>
          <w:b/>
          <w:lang w:val="en-US"/>
        </w:rPr>
      </w:pPr>
      <w:r w:rsidRPr="008E23DA">
        <w:rPr>
          <w:rFonts w:cs="Arial"/>
        </w:rPr>
        <w:t>Acute asthma exacerbations rarely involve bacteria.</w:t>
      </w:r>
    </w:p>
    <w:p w14:paraId="1E48484C" w14:textId="77777777" w:rsidR="00605612" w:rsidRPr="008E23DA" w:rsidRDefault="00605612" w:rsidP="008542CC">
      <w:pPr>
        <w:pStyle w:val="ListParagraph"/>
        <w:numPr>
          <w:ilvl w:val="0"/>
          <w:numId w:val="61"/>
        </w:numPr>
        <w:spacing w:line="276" w:lineRule="auto"/>
        <w:jc w:val="left"/>
        <w:rPr>
          <w:b/>
          <w:lang w:val="en-US"/>
        </w:rPr>
      </w:pPr>
      <w:r w:rsidRPr="008E23DA">
        <w:rPr>
          <w:rFonts w:cs="Arial"/>
        </w:rPr>
        <w:t>Yellow sputum suggests eosinophilia, not infection.</w:t>
      </w:r>
    </w:p>
    <w:p w14:paraId="560A5B42" w14:textId="77777777" w:rsidR="00605612" w:rsidRPr="008E23DA" w:rsidRDefault="00605612" w:rsidP="008542CC">
      <w:pPr>
        <w:pStyle w:val="ListParagraph"/>
        <w:numPr>
          <w:ilvl w:val="0"/>
          <w:numId w:val="61"/>
        </w:numPr>
        <w:spacing w:line="276" w:lineRule="auto"/>
        <w:jc w:val="left"/>
        <w:rPr>
          <w:b/>
          <w:lang w:val="en-US"/>
        </w:rPr>
      </w:pPr>
      <w:r w:rsidRPr="008E23DA">
        <w:rPr>
          <w:rFonts w:cs="Arial"/>
        </w:rPr>
        <w:t xml:space="preserve">Antibiotics are unnecessary unless </w:t>
      </w:r>
      <w:r>
        <w:rPr>
          <w:rFonts w:cs="Arial"/>
        </w:rPr>
        <w:t>chest X-ray</w:t>
      </w:r>
      <w:r w:rsidRPr="008E23DA">
        <w:rPr>
          <w:rFonts w:cs="Arial"/>
        </w:rPr>
        <w:t xml:space="preserve"> shows consolidation.</w:t>
      </w:r>
    </w:p>
    <w:p w14:paraId="665BD009" w14:textId="77777777" w:rsidR="00605612" w:rsidRPr="005A1785" w:rsidRDefault="00605612" w:rsidP="00605612">
      <w:pPr>
        <w:spacing w:after="120" w:line="276" w:lineRule="auto"/>
        <w:rPr>
          <w:rFonts w:cs="Arial"/>
          <w:i/>
          <w:iCs/>
        </w:rPr>
      </w:pPr>
      <w:r w:rsidRPr="00E35E19">
        <w:rPr>
          <w:rFonts w:cs="Arial"/>
          <w:i/>
          <w:iCs/>
        </w:rPr>
        <w:t>See Section 16.6: Pneumonia, community acquired.</w:t>
      </w:r>
    </w:p>
    <w:p w14:paraId="7E52DC27" w14:textId="77777777" w:rsidR="006135F7" w:rsidRDefault="006135F7" w:rsidP="006135F7">
      <w:pPr>
        <w:spacing w:line="276" w:lineRule="auto"/>
        <w:ind w:left="284" w:hanging="284"/>
      </w:pPr>
      <w:r w:rsidRPr="00484582">
        <w:rPr>
          <w:b/>
          <w:lang w:val="en-US"/>
        </w:rPr>
        <w:lastRenderedPageBreak/>
        <w:t xml:space="preserve">Note: </w:t>
      </w:r>
      <w:r w:rsidRPr="00214AA8">
        <w:t xml:space="preserve"> </w:t>
      </w:r>
      <w:r>
        <w:tab/>
      </w:r>
    </w:p>
    <w:p w14:paraId="4BD4BA7B" w14:textId="77777777" w:rsidR="006135F7" w:rsidRDefault="006135F7" w:rsidP="008542CC">
      <w:pPr>
        <w:pStyle w:val="ListParagraph"/>
        <w:numPr>
          <w:ilvl w:val="0"/>
          <w:numId w:val="60"/>
        </w:numPr>
        <w:contextualSpacing w:val="0"/>
        <w:jc w:val="left"/>
      </w:pPr>
      <w:r w:rsidRPr="00991F8A">
        <w:t xml:space="preserve">There is good evidence to recommend </w:t>
      </w:r>
      <w:r w:rsidRPr="00876E32">
        <w:rPr>
          <w:b/>
          <w:bCs/>
        </w:rPr>
        <w:t>against</w:t>
      </w:r>
      <w:r w:rsidRPr="00991F8A">
        <w:t xml:space="preserve"> the use of IV aminophylline in acute asthma</w:t>
      </w:r>
    </w:p>
    <w:p w14:paraId="3B02D355" w14:textId="3DB18EEF" w:rsidR="006135F7" w:rsidRDefault="006135F7" w:rsidP="008542CC">
      <w:pPr>
        <w:pStyle w:val="ListParagraph"/>
        <w:numPr>
          <w:ilvl w:val="1"/>
          <w:numId w:val="62"/>
        </w:numPr>
        <w:ind w:left="754" w:hanging="357"/>
        <w:contextualSpacing w:val="0"/>
        <w:jc w:val="left"/>
      </w:pPr>
      <w:r w:rsidRPr="00991F8A">
        <w:t>no significant additional bronchodilation</w:t>
      </w:r>
      <w:r>
        <w:t>.</w:t>
      </w:r>
    </w:p>
    <w:p w14:paraId="767224C4" w14:textId="5FC52C22" w:rsidR="006135F7" w:rsidRDefault="006135F7" w:rsidP="008542CC">
      <w:pPr>
        <w:pStyle w:val="ListParagraph"/>
        <w:numPr>
          <w:ilvl w:val="1"/>
          <w:numId w:val="62"/>
        </w:numPr>
        <w:ind w:left="754" w:hanging="357"/>
        <w:contextualSpacing w:val="0"/>
        <w:jc w:val="left"/>
      </w:pPr>
      <w:r w:rsidRPr="00991F8A">
        <w:t>increase</w:t>
      </w:r>
      <w:r>
        <w:t>d</w:t>
      </w:r>
      <w:r w:rsidRPr="00991F8A">
        <w:t xml:space="preserve"> toxicity </w:t>
      </w:r>
      <w:r>
        <w:t>(</w:t>
      </w:r>
      <w:r w:rsidRPr="00991F8A">
        <w:t>e.g. vomiting and dysrhythmias</w:t>
      </w:r>
      <w:r>
        <w:t xml:space="preserve">) with concurrent high-dose nebulised </w:t>
      </w:r>
      <w:r w:rsidRPr="00214AA8">
        <w:t>ß</w:t>
      </w:r>
      <w:r w:rsidRPr="00214AA8">
        <w:rPr>
          <w:vertAlign w:val="subscript"/>
        </w:rPr>
        <w:t>2</w:t>
      </w:r>
      <w:r w:rsidRPr="00214AA8">
        <w:t>-agonists</w:t>
      </w:r>
      <w:r>
        <w:t>.</w:t>
      </w:r>
    </w:p>
    <w:p w14:paraId="1A27A706" w14:textId="77777777" w:rsidR="00E244F5" w:rsidRDefault="00E244F5" w:rsidP="0028477E">
      <w:pPr>
        <w:pStyle w:val="Heading5"/>
      </w:pPr>
    </w:p>
    <w:p w14:paraId="374914AD" w14:textId="77777777" w:rsidR="00FF01A9" w:rsidRDefault="00FF01A9" w:rsidP="00A628EE">
      <w:pPr>
        <w:pStyle w:val="Heading5"/>
        <w:spacing w:before="0"/>
      </w:pPr>
      <w:r w:rsidRPr="001F4BAA">
        <w:t>MEDICINE TREATMENT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59"/>
      </w:tblGrid>
      <w:tr w:rsidR="006135F7" w14:paraId="19D1B839" w14:textId="77777777" w:rsidTr="00756D89">
        <w:tc>
          <w:tcPr>
            <w:tcW w:w="6659" w:type="dxa"/>
          </w:tcPr>
          <w:p w14:paraId="30CBE9B6" w14:textId="7AF9C0D2" w:rsidR="006135F7" w:rsidRDefault="006135F7" w:rsidP="006135F7">
            <w:pPr>
              <w:jc w:val="center"/>
            </w:pPr>
            <w:r w:rsidRPr="007C78D3">
              <w:rPr>
                <w:rFonts w:eastAsia="Calibri" w:cs="Times New Roman"/>
                <w:b/>
              </w:rPr>
              <w:t>CAUTION</w:t>
            </w:r>
            <w:r w:rsidRPr="007C78D3">
              <w:rPr>
                <w:rFonts w:eastAsia="Calibri" w:cs="Times New Roman"/>
              </w:rPr>
              <w:br/>
              <w:t>Avoid sedation of any kind.</w:t>
            </w:r>
          </w:p>
        </w:tc>
      </w:tr>
    </w:tbl>
    <w:p w14:paraId="01889829" w14:textId="77777777" w:rsidR="006135F7" w:rsidRPr="006135F7" w:rsidRDefault="006135F7" w:rsidP="006135F7"/>
    <w:p w14:paraId="74CB3B79" w14:textId="3A1BD158" w:rsidR="007B3A5B" w:rsidRPr="00AD6FF2" w:rsidRDefault="006135F7" w:rsidP="00AD6FF2">
      <w:pPr>
        <w:ind w:left="284" w:hanging="284"/>
        <w:jc w:val="left"/>
      </w:pPr>
      <w:r w:rsidRPr="00AD6FF2">
        <w:t xml:space="preserve">Refer to the </w:t>
      </w:r>
      <w:r w:rsidR="00AD6FF2" w:rsidRPr="00AD6FF2">
        <w:t>acute asthma treatment algorithm below.</w:t>
      </w:r>
    </w:p>
    <w:p w14:paraId="086FEB73" w14:textId="26B5EDD5" w:rsidR="00FF01A9" w:rsidRDefault="00FF01A9" w:rsidP="006135F7">
      <w:pPr>
        <w:pStyle w:val="ListParagraph"/>
        <w:numPr>
          <w:ilvl w:val="0"/>
          <w:numId w:val="0"/>
        </w:numPr>
        <w:ind w:left="567"/>
      </w:pPr>
    </w:p>
    <w:p w14:paraId="00994849" w14:textId="77777777" w:rsidR="006135F7" w:rsidRDefault="006135F7" w:rsidP="006135F7">
      <w:pPr>
        <w:pStyle w:val="ListParagraph"/>
        <w:numPr>
          <w:ilvl w:val="0"/>
          <w:numId w:val="0"/>
        </w:numPr>
        <w:ind w:left="567"/>
      </w:pPr>
    </w:p>
    <w:p w14:paraId="1376C09C" w14:textId="77777777" w:rsidR="006135F7" w:rsidRDefault="006135F7" w:rsidP="006135F7">
      <w:pPr>
        <w:pStyle w:val="ListParagraph"/>
        <w:numPr>
          <w:ilvl w:val="0"/>
          <w:numId w:val="0"/>
        </w:numPr>
        <w:ind w:left="567"/>
      </w:pPr>
    </w:p>
    <w:p w14:paraId="4DC7DAF7" w14:textId="77777777" w:rsidR="006135F7" w:rsidRDefault="006135F7" w:rsidP="006135F7">
      <w:pPr>
        <w:pStyle w:val="ListParagraph"/>
        <w:numPr>
          <w:ilvl w:val="0"/>
          <w:numId w:val="0"/>
        </w:numPr>
        <w:ind w:left="567"/>
      </w:pPr>
    </w:p>
    <w:p w14:paraId="677E80F2" w14:textId="77777777" w:rsidR="006135F7" w:rsidRDefault="006135F7" w:rsidP="006135F7">
      <w:pPr>
        <w:pStyle w:val="ListParagraph"/>
        <w:numPr>
          <w:ilvl w:val="0"/>
          <w:numId w:val="0"/>
        </w:numPr>
        <w:ind w:left="567"/>
      </w:pPr>
    </w:p>
    <w:p w14:paraId="7B25A65E" w14:textId="77777777" w:rsidR="006135F7" w:rsidRDefault="006135F7" w:rsidP="006135F7">
      <w:pPr>
        <w:pStyle w:val="ListParagraph"/>
        <w:numPr>
          <w:ilvl w:val="0"/>
          <w:numId w:val="0"/>
        </w:numPr>
        <w:ind w:left="567"/>
      </w:pPr>
    </w:p>
    <w:p w14:paraId="6E6C57E9" w14:textId="77777777" w:rsidR="006135F7" w:rsidRDefault="006135F7" w:rsidP="006135F7">
      <w:pPr>
        <w:pStyle w:val="ListParagraph"/>
        <w:numPr>
          <w:ilvl w:val="0"/>
          <w:numId w:val="0"/>
        </w:numPr>
        <w:ind w:left="567"/>
      </w:pPr>
    </w:p>
    <w:p w14:paraId="4D7577E9" w14:textId="77777777" w:rsidR="006135F7" w:rsidRDefault="006135F7" w:rsidP="006135F7">
      <w:pPr>
        <w:pStyle w:val="ListParagraph"/>
        <w:numPr>
          <w:ilvl w:val="0"/>
          <w:numId w:val="0"/>
        </w:numPr>
        <w:ind w:left="567"/>
      </w:pPr>
    </w:p>
    <w:p w14:paraId="2E85FFA3" w14:textId="77777777" w:rsidR="006135F7" w:rsidRDefault="006135F7" w:rsidP="006135F7">
      <w:pPr>
        <w:pStyle w:val="ListParagraph"/>
        <w:numPr>
          <w:ilvl w:val="0"/>
          <w:numId w:val="0"/>
        </w:numPr>
        <w:ind w:left="567"/>
      </w:pPr>
    </w:p>
    <w:p w14:paraId="65ACC975" w14:textId="77777777" w:rsidR="006135F7" w:rsidRDefault="006135F7" w:rsidP="006135F7">
      <w:pPr>
        <w:pStyle w:val="ListParagraph"/>
        <w:numPr>
          <w:ilvl w:val="0"/>
          <w:numId w:val="0"/>
        </w:numPr>
        <w:ind w:left="567"/>
      </w:pPr>
    </w:p>
    <w:p w14:paraId="30B98504" w14:textId="77777777" w:rsidR="006135F7" w:rsidRDefault="006135F7" w:rsidP="006135F7">
      <w:pPr>
        <w:pStyle w:val="ListParagraph"/>
        <w:numPr>
          <w:ilvl w:val="0"/>
          <w:numId w:val="0"/>
        </w:numPr>
        <w:ind w:left="567"/>
      </w:pPr>
    </w:p>
    <w:p w14:paraId="5830B96D" w14:textId="77777777" w:rsidR="006135F7" w:rsidRDefault="006135F7" w:rsidP="006135F7">
      <w:pPr>
        <w:pStyle w:val="ListParagraph"/>
        <w:numPr>
          <w:ilvl w:val="0"/>
          <w:numId w:val="0"/>
        </w:numPr>
        <w:ind w:left="567"/>
      </w:pPr>
    </w:p>
    <w:p w14:paraId="604675AB" w14:textId="77777777" w:rsidR="006135F7" w:rsidRDefault="006135F7" w:rsidP="006135F7">
      <w:pPr>
        <w:pStyle w:val="ListParagraph"/>
        <w:numPr>
          <w:ilvl w:val="0"/>
          <w:numId w:val="0"/>
        </w:numPr>
        <w:ind w:left="567"/>
      </w:pPr>
    </w:p>
    <w:p w14:paraId="0A1D109E" w14:textId="77777777" w:rsidR="006135F7" w:rsidRDefault="006135F7" w:rsidP="006135F7">
      <w:pPr>
        <w:pStyle w:val="ListParagraph"/>
        <w:numPr>
          <w:ilvl w:val="0"/>
          <w:numId w:val="0"/>
        </w:numPr>
        <w:ind w:left="567"/>
      </w:pPr>
    </w:p>
    <w:p w14:paraId="18133BAB" w14:textId="77777777" w:rsidR="006135F7" w:rsidRDefault="006135F7" w:rsidP="006135F7">
      <w:pPr>
        <w:pStyle w:val="ListParagraph"/>
        <w:numPr>
          <w:ilvl w:val="0"/>
          <w:numId w:val="0"/>
        </w:numPr>
        <w:ind w:left="567"/>
      </w:pPr>
    </w:p>
    <w:p w14:paraId="5ECCB451" w14:textId="77777777" w:rsidR="00AD6FF2" w:rsidRDefault="00AD6FF2" w:rsidP="006135F7">
      <w:pPr>
        <w:pStyle w:val="ListParagraph"/>
        <w:numPr>
          <w:ilvl w:val="0"/>
          <w:numId w:val="0"/>
        </w:numPr>
        <w:ind w:left="567"/>
      </w:pPr>
    </w:p>
    <w:p w14:paraId="6E2E6635" w14:textId="77777777" w:rsidR="00AD6FF2" w:rsidRDefault="00AD6FF2" w:rsidP="006135F7">
      <w:pPr>
        <w:pStyle w:val="ListParagraph"/>
        <w:numPr>
          <w:ilvl w:val="0"/>
          <w:numId w:val="0"/>
        </w:numPr>
        <w:ind w:left="567"/>
      </w:pPr>
    </w:p>
    <w:p w14:paraId="0513F6D8" w14:textId="77777777" w:rsidR="00AD6FF2" w:rsidRDefault="00AD6FF2" w:rsidP="006135F7">
      <w:pPr>
        <w:pStyle w:val="ListParagraph"/>
        <w:numPr>
          <w:ilvl w:val="0"/>
          <w:numId w:val="0"/>
        </w:numPr>
        <w:ind w:left="567"/>
      </w:pPr>
    </w:p>
    <w:p w14:paraId="69F16C0C" w14:textId="77777777" w:rsidR="00AD6FF2" w:rsidRDefault="00AD6FF2" w:rsidP="006135F7">
      <w:pPr>
        <w:pStyle w:val="ListParagraph"/>
        <w:numPr>
          <w:ilvl w:val="0"/>
          <w:numId w:val="0"/>
        </w:numPr>
        <w:ind w:left="567"/>
      </w:pPr>
    </w:p>
    <w:p w14:paraId="6DCAEF4F" w14:textId="77777777" w:rsidR="00AD6FF2" w:rsidRDefault="00AD6FF2" w:rsidP="006135F7">
      <w:pPr>
        <w:pStyle w:val="ListParagraph"/>
        <w:numPr>
          <w:ilvl w:val="0"/>
          <w:numId w:val="0"/>
        </w:numPr>
        <w:ind w:left="567"/>
      </w:pPr>
    </w:p>
    <w:p w14:paraId="1D4B9992" w14:textId="77777777" w:rsidR="00AD6FF2" w:rsidRDefault="00AD6FF2" w:rsidP="006135F7">
      <w:pPr>
        <w:pStyle w:val="ListParagraph"/>
        <w:numPr>
          <w:ilvl w:val="0"/>
          <w:numId w:val="0"/>
        </w:numPr>
        <w:ind w:left="567"/>
      </w:pPr>
    </w:p>
    <w:p w14:paraId="784F30DB" w14:textId="77777777" w:rsidR="00AD6FF2" w:rsidRDefault="00AD6FF2" w:rsidP="006135F7">
      <w:pPr>
        <w:pStyle w:val="ListParagraph"/>
        <w:numPr>
          <w:ilvl w:val="0"/>
          <w:numId w:val="0"/>
        </w:numPr>
        <w:ind w:left="567"/>
      </w:pPr>
    </w:p>
    <w:p w14:paraId="111231F4" w14:textId="77777777" w:rsidR="00AD6FF2" w:rsidRDefault="00AD6FF2" w:rsidP="006135F7">
      <w:pPr>
        <w:pStyle w:val="ListParagraph"/>
        <w:numPr>
          <w:ilvl w:val="0"/>
          <w:numId w:val="0"/>
        </w:numPr>
        <w:ind w:left="567"/>
      </w:pPr>
    </w:p>
    <w:p w14:paraId="021322CE" w14:textId="77777777" w:rsidR="00AD6FF2" w:rsidRDefault="00AD6FF2" w:rsidP="006135F7">
      <w:pPr>
        <w:pStyle w:val="ListParagraph"/>
        <w:numPr>
          <w:ilvl w:val="0"/>
          <w:numId w:val="0"/>
        </w:numPr>
        <w:ind w:left="567"/>
      </w:pPr>
    </w:p>
    <w:p w14:paraId="332ADF0D" w14:textId="77777777" w:rsidR="00AD6FF2" w:rsidRDefault="00AD6FF2" w:rsidP="006135F7">
      <w:pPr>
        <w:pStyle w:val="ListParagraph"/>
        <w:numPr>
          <w:ilvl w:val="0"/>
          <w:numId w:val="0"/>
        </w:numPr>
        <w:ind w:left="567"/>
      </w:pPr>
    </w:p>
    <w:p w14:paraId="0EBBC1A1" w14:textId="77777777" w:rsidR="00AD6FF2" w:rsidRDefault="00AD6FF2" w:rsidP="006135F7">
      <w:pPr>
        <w:pStyle w:val="ListParagraph"/>
        <w:numPr>
          <w:ilvl w:val="0"/>
          <w:numId w:val="0"/>
        </w:numPr>
        <w:ind w:left="567"/>
      </w:pPr>
    </w:p>
    <w:p w14:paraId="5400080B" w14:textId="77777777" w:rsidR="00AD6FF2" w:rsidRDefault="00AD6FF2" w:rsidP="006135F7">
      <w:pPr>
        <w:pStyle w:val="ListParagraph"/>
        <w:numPr>
          <w:ilvl w:val="0"/>
          <w:numId w:val="0"/>
        </w:numPr>
        <w:ind w:left="567"/>
      </w:pPr>
    </w:p>
    <w:p w14:paraId="20415D92" w14:textId="77777777" w:rsidR="00AD6FF2" w:rsidRDefault="00AD6FF2" w:rsidP="006135F7">
      <w:pPr>
        <w:pStyle w:val="ListParagraph"/>
        <w:numPr>
          <w:ilvl w:val="0"/>
          <w:numId w:val="0"/>
        </w:numPr>
        <w:ind w:left="567"/>
      </w:pPr>
    </w:p>
    <w:p w14:paraId="06AF8023" w14:textId="77777777" w:rsidR="00AD6FF2" w:rsidRDefault="00AD6FF2" w:rsidP="006135F7">
      <w:pPr>
        <w:pStyle w:val="ListParagraph"/>
        <w:numPr>
          <w:ilvl w:val="0"/>
          <w:numId w:val="0"/>
        </w:numPr>
        <w:ind w:left="567"/>
      </w:pPr>
    </w:p>
    <w:p w14:paraId="15D366E1" w14:textId="77777777" w:rsidR="00AD6FF2" w:rsidRDefault="00AD6FF2" w:rsidP="006135F7">
      <w:pPr>
        <w:pStyle w:val="ListParagraph"/>
        <w:numPr>
          <w:ilvl w:val="0"/>
          <w:numId w:val="0"/>
        </w:numPr>
        <w:ind w:left="567"/>
      </w:pPr>
    </w:p>
    <w:p w14:paraId="27574EFA" w14:textId="29E0A0D9" w:rsidR="004568BA" w:rsidRDefault="00AD6FF2" w:rsidP="004568BA">
      <w:pPr>
        <w:pStyle w:val="NoSpacing"/>
        <w:rPr>
          <w:sz w:val="8"/>
          <w:szCs w:val="8"/>
        </w:rPr>
      </w:pPr>
      <w:r w:rsidRPr="00756D89">
        <w:rPr>
          <w:noProof/>
          <w:sz w:val="16"/>
          <w:szCs w:val="16"/>
          <w:lang w:eastAsia="en-ZA"/>
        </w:rPr>
        <w:lastRenderedPageBreak/>
        <w:drawing>
          <wp:inline distT="0" distB="0" distL="0" distR="0" wp14:anchorId="315F92D1" wp14:editId="19FBA58C">
            <wp:extent cx="4181448" cy="6104638"/>
            <wp:effectExtent l="19050" t="19050" r="1016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4942" cy="6109738"/>
                    </a:xfrm>
                    <a:prstGeom prst="rect">
                      <a:avLst/>
                    </a:prstGeom>
                    <a:noFill/>
                    <a:ln w="19050">
                      <a:solidFill>
                        <a:schemeClr val="tx1"/>
                      </a:solidFill>
                    </a:ln>
                  </pic:spPr>
                </pic:pic>
              </a:graphicData>
            </a:graphic>
          </wp:inline>
        </w:drawing>
      </w:r>
    </w:p>
    <w:p w14:paraId="2987614D" w14:textId="333EF2B4" w:rsidR="00756D89" w:rsidRPr="00756D89" w:rsidRDefault="00756D89" w:rsidP="004568BA">
      <w:pPr>
        <w:pStyle w:val="NoSpacing"/>
        <w:rPr>
          <w:sz w:val="16"/>
          <w:szCs w:val="16"/>
        </w:rPr>
      </w:pPr>
      <w:r w:rsidRPr="00756D89">
        <w:rPr>
          <w:sz w:val="16"/>
          <w:szCs w:val="16"/>
        </w:rPr>
        <w:t xml:space="preserve">Figure 17.1 Acute asthma management </w:t>
      </w:r>
      <w:r>
        <w:rPr>
          <w:sz w:val="16"/>
          <w:szCs w:val="16"/>
        </w:rPr>
        <w:t xml:space="preserve">for adults, </w:t>
      </w:r>
      <w:r w:rsidRPr="00756D89">
        <w:rPr>
          <w:sz w:val="16"/>
          <w:szCs w:val="16"/>
        </w:rPr>
        <w:t>algorithm</w:t>
      </w:r>
    </w:p>
    <w:p w14:paraId="5B7D8265" w14:textId="13E146A3" w:rsidR="004568BA" w:rsidRPr="0028477E" w:rsidRDefault="004568BA" w:rsidP="004568BA">
      <w:pPr>
        <w:pStyle w:val="Heading3"/>
      </w:pPr>
      <w:bookmarkStart w:id="13" w:name="_Toc177054022"/>
      <w:r>
        <w:lastRenderedPageBreak/>
        <w:t>Acute asthma, CHILDREN</w:t>
      </w:r>
      <w:bookmarkEnd w:id="13"/>
      <w:r>
        <w:fldChar w:fldCharType="begin"/>
      </w:r>
      <w:r>
        <w:instrText xml:space="preserve"> XE "</w:instrText>
      </w:r>
      <w:r w:rsidRPr="004A0AEB">
        <w:instrText>Acute asthma &amp; acute exacerbation of COPD</w:instrText>
      </w:r>
      <w:r>
        <w:instrText xml:space="preserve">" </w:instrText>
      </w:r>
      <w:r w:rsidRPr="00FB2686">
        <w:instrText xml:space="preserve">\f “c” </w:instrText>
      </w:r>
      <w:r>
        <w:fldChar w:fldCharType="end"/>
      </w:r>
    </w:p>
    <w:p w14:paraId="54B4636E" w14:textId="3F340318" w:rsidR="004568BA" w:rsidRPr="007277E7" w:rsidRDefault="004568BA" w:rsidP="002344FD">
      <w:pPr>
        <w:pStyle w:val="ICD10"/>
        <w:shd w:val="clear" w:color="auto" w:fill="F2F2F2" w:themeFill="background1" w:themeFillShade="F2"/>
        <w:tabs>
          <w:tab w:val="left" w:pos="2753"/>
        </w:tabs>
      </w:pPr>
      <w:r w:rsidRPr="007277E7">
        <w:t>J46/J45.0-1/J45.8</w:t>
      </w:r>
      <w:r w:rsidR="00457205" w:rsidRPr="007277E7">
        <w:t>-</w:t>
      </w:r>
      <w:r w:rsidRPr="007277E7">
        <w:t>9</w:t>
      </w:r>
    </w:p>
    <w:p w14:paraId="02CABA4D" w14:textId="77777777" w:rsidR="00B610B4" w:rsidRDefault="00B610B4" w:rsidP="00FF01A9">
      <w:pPr>
        <w:pStyle w:val="NoSpacing"/>
        <w:rPr>
          <w:b/>
        </w:rPr>
      </w:pPr>
    </w:p>
    <w:p w14:paraId="348F72CA" w14:textId="083C0CFB" w:rsidR="00C40BA5" w:rsidRPr="00B610B4" w:rsidRDefault="00B610B4" w:rsidP="00FF01A9">
      <w:pPr>
        <w:pStyle w:val="NoSpacing"/>
        <w:rPr>
          <w:b/>
        </w:rPr>
      </w:pPr>
      <w:r w:rsidRPr="00B610B4">
        <w:rPr>
          <w:b/>
        </w:rPr>
        <w:t>DESCRIPTION</w:t>
      </w:r>
    </w:p>
    <w:p w14:paraId="205C79C8" w14:textId="77777777" w:rsidR="00C40BA5" w:rsidRPr="001F4BAA" w:rsidRDefault="00C40BA5" w:rsidP="00C40BA5">
      <w:pPr>
        <w:pStyle w:val="NoSpacing"/>
      </w:pPr>
      <w:r w:rsidRPr="001F4BAA">
        <w:t>Bronchospasm in children is usually associated with asthma or with infections such as bronchiolitis or bronchopneumonia. Consider foreign bodies or obstruction of airways due to tuberculous nodes or congenital malformation, especially if the wheeze is unilateral.</w:t>
      </w:r>
    </w:p>
    <w:p w14:paraId="733E5E1D" w14:textId="77777777" w:rsidR="00CE1BF0" w:rsidRDefault="00CE1BF0" w:rsidP="00CE1BF0">
      <w:pPr>
        <w:pStyle w:val="Heading6"/>
        <w:rPr>
          <w:u w:val="single"/>
        </w:rPr>
      </w:pPr>
      <w:r w:rsidRPr="001F4BAA">
        <w:t xml:space="preserve">Recognition and assessment of severity of attacks in </w:t>
      </w:r>
      <w:r w:rsidRPr="00A16BA5">
        <w:t>children</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1418"/>
        <w:gridCol w:w="1559"/>
        <w:gridCol w:w="1504"/>
      </w:tblGrid>
      <w:tr w:rsidR="00CE1BF0" w:rsidRPr="00C72E28" w14:paraId="7FA84E53" w14:textId="77777777" w:rsidTr="00176697">
        <w:trPr>
          <w:trHeight w:val="170"/>
        </w:trPr>
        <w:tc>
          <w:tcPr>
            <w:tcW w:w="1678" w:type="pct"/>
          </w:tcPr>
          <w:p w14:paraId="3AAD73CC" w14:textId="77777777" w:rsidR="00CE1BF0" w:rsidRPr="005571CA" w:rsidRDefault="00CE1BF0" w:rsidP="008D61C1">
            <w:pPr>
              <w:spacing w:after="0"/>
              <w:jc w:val="left"/>
              <w:rPr>
                <w:rFonts w:eastAsia="Aptos" w:cs="Times New Roman"/>
                <w:b/>
                <w:sz w:val="16"/>
                <w:szCs w:val="16"/>
              </w:rPr>
            </w:pPr>
          </w:p>
        </w:tc>
        <w:tc>
          <w:tcPr>
            <w:tcW w:w="1051" w:type="pct"/>
            <w:shd w:val="clear" w:color="auto" w:fill="B2D3AB"/>
          </w:tcPr>
          <w:p w14:paraId="2B403D4A" w14:textId="07A91C29" w:rsidR="00CE1BF0" w:rsidRPr="005571CA" w:rsidRDefault="00CE1BF0" w:rsidP="008D61C1">
            <w:pPr>
              <w:spacing w:after="0"/>
              <w:jc w:val="left"/>
              <w:rPr>
                <w:rFonts w:eastAsia="Aptos" w:cs="Times New Roman"/>
                <w:b/>
                <w:sz w:val="16"/>
                <w:szCs w:val="16"/>
              </w:rPr>
            </w:pPr>
            <w:r w:rsidRPr="005571CA">
              <w:rPr>
                <w:rFonts w:eastAsia="Aptos" w:cs="Times New Roman"/>
                <w:b/>
                <w:sz w:val="16"/>
                <w:szCs w:val="16"/>
              </w:rPr>
              <w:t>Mild</w:t>
            </w:r>
            <w:r w:rsidR="00D303DE">
              <w:rPr>
                <w:rFonts w:eastAsia="Aptos" w:cs="Times New Roman"/>
                <w:b/>
                <w:sz w:val="16"/>
                <w:szCs w:val="16"/>
              </w:rPr>
              <w:t>/</w:t>
            </w:r>
            <w:r w:rsidRPr="005571CA">
              <w:rPr>
                <w:rFonts w:eastAsia="Aptos" w:cs="Times New Roman"/>
                <w:b/>
                <w:sz w:val="16"/>
                <w:szCs w:val="16"/>
              </w:rPr>
              <w:t>Moderate</w:t>
            </w:r>
          </w:p>
        </w:tc>
        <w:tc>
          <w:tcPr>
            <w:tcW w:w="1156" w:type="pct"/>
            <w:shd w:val="clear" w:color="auto" w:fill="FFFF79"/>
          </w:tcPr>
          <w:p w14:paraId="5A7C141A" w14:textId="77777777" w:rsidR="00CE1BF0" w:rsidRPr="005571CA" w:rsidRDefault="00CE1BF0" w:rsidP="008D61C1">
            <w:pPr>
              <w:spacing w:after="0"/>
              <w:jc w:val="left"/>
              <w:rPr>
                <w:rFonts w:eastAsia="Aptos" w:cs="Times New Roman"/>
                <w:b/>
                <w:sz w:val="16"/>
                <w:szCs w:val="16"/>
              </w:rPr>
            </w:pPr>
            <w:r w:rsidRPr="005571CA">
              <w:rPr>
                <w:rFonts w:eastAsia="Aptos" w:cs="Times New Roman"/>
                <w:b/>
                <w:sz w:val="16"/>
                <w:szCs w:val="16"/>
              </w:rPr>
              <w:t>Severe</w:t>
            </w:r>
          </w:p>
        </w:tc>
        <w:tc>
          <w:tcPr>
            <w:tcW w:w="1115" w:type="pct"/>
            <w:shd w:val="clear" w:color="auto" w:fill="EA7676"/>
          </w:tcPr>
          <w:p w14:paraId="651C0994" w14:textId="77777777" w:rsidR="00CE1BF0" w:rsidRPr="005571CA" w:rsidRDefault="00CE1BF0" w:rsidP="008D61C1">
            <w:pPr>
              <w:spacing w:after="0"/>
              <w:jc w:val="left"/>
              <w:rPr>
                <w:rFonts w:eastAsia="Aptos" w:cs="Times New Roman"/>
                <w:b/>
                <w:sz w:val="16"/>
                <w:szCs w:val="16"/>
              </w:rPr>
            </w:pPr>
            <w:r w:rsidRPr="005571CA">
              <w:rPr>
                <w:rFonts w:eastAsia="Aptos" w:cs="Times New Roman"/>
                <w:b/>
                <w:sz w:val="16"/>
                <w:szCs w:val="16"/>
              </w:rPr>
              <w:t>Life-threatening</w:t>
            </w:r>
          </w:p>
        </w:tc>
      </w:tr>
      <w:tr w:rsidR="00CE1BF0" w:rsidRPr="00C72E28" w14:paraId="03897172" w14:textId="77777777" w:rsidTr="00176697">
        <w:trPr>
          <w:trHeight w:val="250"/>
        </w:trPr>
        <w:tc>
          <w:tcPr>
            <w:tcW w:w="1678" w:type="pct"/>
          </w:tcPr>
          <w:p w14:paraId="76D1C501"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Oxygen saturation</w:t>
            </w:r>
          </w:p>
        </w:tc>
        <w:tc>
          <w:tcPr>
            <w:tcW w:w="1051" w:type="pct"/>
            <w:shd w:val="clear" w:color="auto" w:fill="B2D3AB"/>
          </w:tcPr>
          <w:p w14:paraId="687FA522"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&gt;90%</w:t>
            </w:r>
          </w:p>
        </w:tc>
        <w:tc>
          <w:tcPr>
            <w:tcW w:w="1156" w:type="pct"/>
            <w:shd w:val="clear" w:color="auto" w:fill="FFFF79"/>
          </w:tcPr>
          <w:p w14:paraId="03EEE73E" w14:textId="77777777" w:rsidR="00CE1BF0" w:rsidRPr="005571CA" w:rsidRDefault="00CE1BF0" w:rsidP="008D61C1">
            <w:pPr>
              <w:spacing w:after="0"/>
              <w:jc w:val="left"/>
              <w:rPr>
                <w:rFonts w:eastAsia="Aptos" w:cs="Times New Roman"/>
                <w:sz w:val="16"/>
                <w:szCs w:val="16"/>
              </w:rPr>
            </w:pPr>
            <w:r>
              <w:rPr>
                <w:rFonts w:eastAsia="Aptos" w:cs="Times New Roman"/>
                <w:sz w:val="16"/>
                <w:szCs w:val="16"/>
              </w:rPr>
              <w:t>&lt;</w:t>
            </w:r>
            <w:r w:rsidRPr="005571CA">
              <w:rPr>
                <w:rFonts w:eastAsia="Aptos" w:cs="Times New Roman"/>
                <w:sz w:val="16"/>
                <w:szCs w:val="16"/>
              </w:rPr>
              <w:t>90%</w:t>
            </w:r>
          </w:p>
        </w:tc>
        <w:tc>
          <w:tcPr>
            <w:tcW w:w="1115" w:type="pct"/>
            <w:shd w:val="clear" w:color="auto" w:fill="EA7676"/>
          </w:tcPr>
          <w:p w14:paraId="7F29D97C"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&lt;</w:t>
            </w:r>
            <w:r>
              <w:rPr>
                <w:rFonts w:eastAsia="Aptos" w:cs="Times New Roman"/>
                <w:sz w:val="16"/>
                <w:szCs w:val="16"/>
              </w:rPr>
              <w:t>9</w:t>
            </w:r>
            <w:r w:rsidRPr="005571CA">
              <w:rPr>
                <w:rFonts w:eastAsia="Aptos" w:cs="Times New Roman"/>
                <w:sz w:val="16"/>
                <w:szCs w:val="16"/>
              </w:rPr>
              <w:t>0%</w:t>
            </w:r>
          </w:p>
        </w:tc>
      </w:tr>
      <w:tr w:rsidR="00CE1BF0" w:rsidRPr="00C72E28" w14:paraId="32172084" w14:textId="77777777" w:rsidTr="00176697">
        <w:trPr>
          <w:trHeight w:val="262"/>
        </w:trPr>
        <w:tc>
          <w:tcPr>
            <w:tcW w:w="1678" w:type="pct"/>
          </w:tcPr>
          <w:p w14:paraId="4AD1DE95"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Respiratory rate</w:t>
            </w:r>
          </w:p>
        </w:tc>
        <w:tc>
          <w:tcPr>
            <w:tcW w:w="1051" w:type="pct"/>
            <w:shd w:val="clear" w:color="auto" w:fill="B2D3AB"/>
          </w:tcPr>
          <w:p w14:paraId="7054CE7F" w14:textId="59D8094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&lt;40 breaths/</w:t>
            </w:r>
            <w:r w:rsidR="008D61C1">
              <w:rPr>
                <w:rFonts w:eastAsia="Aptos" w:cs="Times New Roman"/>
                <w:sz w:val="16"/>
                <w:szCs w:val="16"/>
              </w:rPr>
              <w:t xml:space="preserve"> </w:t>
            </w:r>
            <w:r w:rsidRPr="005571CA">
              <w:rPr>
                <w:rFonts w:eastAsia="Aptos" w:cs="Times New Roman"/>
                <w:sz w:val="16"/>
                <w:szCs w:val="16"/>
              </w:rPr>
              <w:t>min</w:t>
            </w:r>
          </w:p>
        </w:tc>
        <w:tc>
          <w:tcPr>
            <w:tcW w:w="1156" w:type="pct"/>
            <w:shd w:val="clear" w:color="auto" w:fill="FFFF79"/>
          </w:tcPr>
          <w:p w14:paraId="0082CC36" w14:textId="586CC70B"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&gt;40 breaths/min</w:t>
            </w:r>
          </w:p>
        </w:tc>
        <w:tc>
          <w:tcPr>
            <w:tcW w:w="1115" w:type="pct"/>
            <w:shd w:val="clear" w:color="auto" w:fill="EA7676"/>
          </w:tcPr>
          <w:p w14:paraId="34E0E0A6" w14:textId="54E816F6"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&gt;60 breaths/</w:t>
            </w:r>
            <w:r w:rsidR="008D61C1">
              <w:rPr>
                <w:rFonts w:eastAsia="Aptos" w:cs="Times New Roman"/>
                <w:sz w:val="16"/>
                <w:szCs w:val="16"/>
              </w:rPr>
              <w:t xml:space="preserve"> </w:t>
            </w:r>
            <w:r w:rsidRPr="005571CA">
              <w:rPr>
                <w:rFonts w:eastAsia="Aptos" w:cs="Times New Roman"/>
                <w:sz w:val="16"/>
                <w:szCs w:val="16"/>
              </w:rPr>
              <w:t>min</w:t>
            </w:r>
          </w:p>
        </w:tc>
      </w:tr>
      <w:tr w:rsidR="00CE1BF0" w:rsidRPr="00C72E28" w14:paraId="2A5A7A81" w14:textId="77777777" w:rsidTr="00176697">
        <w:trPr>
          <w:trHeight w:val="250"/>
        </w:trPr>
        <w:tc>
          <w:tcPr>
            <w:tcW w:w="1678" w:type="pct"/>
          </w:tcPr>
          <w:p w14:paraId="3C472F9F" w14:textId="391664D6"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Chest indrawing/</w:t>
            </w:r>
            <w:r w:rsidR="008D61C1">
              <w:rPr>
                <w:rFonts w:eastAsia="Aptos" w:cs="Times New Roman"/>
                <w:b/>
                <w:bCs/>
                <w:sz w:val="16"/>
                <w:szCs w:val="16"/>
              </w:rPr>
              <w:t xml:space="preserve"> </w:t>
            </w:r>
            <w:r w:rsidRPr="0042389E">
              <w:rPr>
                <w:rFonts w:eastAsia="Aptos" w:cs="Times New Roman"/>
                <w:b/>
                <w:bCs/>
                <w:sz w:val="16"/>
                <w:szCs w:val="16"/>
              </w:rPr>
              <w:t>recession</w:t>
            </w:r>
          </w:p>
        </w:tc>
        <w:tc>
          <w:tcPr>
            <w:tcW w:w="1051" w:type="pct"/>
            <w:shd w:val="clear" w:color="auto" w:fill="B2D3AB"/>
          </w:tcPr>
          <w:p w14:paraId="11FAC9C8"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present</w:t>
            </w:r>
          </w:p>
        </w:tc>
        <w:tc>
          <w:tcPr>
            <w:tcW w:w="1156" w:type="pct"/>
            <w:shd w:val="clear" w:color="auto" w:fill="FFFF79"/>
          </w:tcPr>
          <w:p w14:paraId="5D1BC5BC"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present</w:t>
            </w:r>
          </w:p>
        </w:tc>
        <w:tc>
          <w:tcPr>
            <w:tcW w:w="1115" w:type="pct"/>
            <w:shd w:val="clear" w:color="auto" w:fill="EA7676"/>
          </w:tcPr>
          <w:p w14:paraId="0D7DB376"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present</w:t>
            </w:r>
          </w:p>
        </w:tc>
      </w:tr>
      <w:tr w:rsidR="00CE1BF0" w:rsidRPr="00C72E28" w14:paraId="0A42C8D5" w14:textId="77777777" w:rsidTr="00176697">
        <w:trPr>
          <w:trHeight w:val="262"/>
        </w:trPr>
        <w:tc>
          <w:tcPr>
            <w:tcW w:w="1678" w:type="pct"/>
          </w:tcPr>
          <w:p w14:paraId="6C1A6906" w14:textId="213820A3"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 xml:space="preserve">PEF (if </w:t>
            </w:r>
            <w:r w:rsidR="007277E7">
              <w:rPr>
                <w:rFonts w:eastAsia="Aptos" w:cs="Times New Roman"/>
                <w:b/>
                <w:bCs/>
                <w:sz w:val="16"/>
                <w:szCs w:val="16"/>
              </w:rPr>
              <w:t>&gt;</w:t>
            </w:r>
            <w:r w:rsidR="008D61C1">
              <w:rPr>
                <w:rFonts w:eastAsia="Aptos" w:cs="Times New Roman"/>
                <w:b/>
                <w:bCs/>
                <w:sz w:val="16"/>
                <w:szCs w:val="16"/>
              </w:rPr>
              <w:t xml:space="preserve"> </w:t>
            </w:r>
            <w:r w:rsidRPr="0042389E">
              <w:rPr>
                <w:rFonts w:eastAsia="Aptos" w:cs="Times New Roman"/>
                <w:b/>
                <w:bCs/>
                <w:sz w:val="16"/>
                <w:szCs w:val="16"/>
              </w:rPr>
              <w:t xml:space="preserve">5 years </w:t>
            </w:r>
            <w:r w:rsidR="008D61C1">
              <w:rPr>
                <w:rFonts w:eastAsia="Aptos" w:cs="Times New Roman"/>
                <w:b/>
                <w:bCs/>
                <w:sz w:val="16"/>
                <w:szCs w:val="16"/>
              </w:rPr>
              <w:t>old</w:t>
            </w:r>
            <w:r w:rsidRPr="0042389E">
              <w:rPr>
                <w:rFonts w:eastAsia="Aptos" w:cs="Times New Roman"/>
                <w:b/>
                <w:bCs/>
                <w:sz w:val="16"/>
                <w:szCs w:val="16"/>
              </w:rPr>
              <w:t>)</w:t>
            </w:r>
          </w:p>
        </w:tc>
        <w:tc>
          <w:tcPr>
            <w:tcW w:w="1051" w:type="pct"/>
            <w:shd w:val="clear" w:color="auto" w:fill="B2D3AB"/>
          </w:tcPr>
          <w:p w14:paraId="4C3BF3EE"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&gt;60% of predicted</w:t>
            </w:r>
          </w:p>
        </w:tc>
        <w:tc>
          <w:tcPr>
            <w:tcW w:w="1156" w:type="pct"/>
            <w:shd w:val="clear" w:color="auto" w:fill="FFFF79"/>
          </w:tcPr>
          <w:p w14:paraId="3309C8E7"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&lt;60% of predicted</w:t>
            </w:r>
          </w:p>
        </w:tc>
        <w:tc>
          <w:tcPr>
            <w:tcW w:w="1115" w:type="pct"/>
            <w:shd w:val="clear" w:color="auto" w:fill="EA7676"/>
          </w:tcPr>
          <w:p w14:paraId="196D1EC9" w14:textId="57325673"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 xml:space="preserve">&lt;33% of </w:t>
            </w:r>
            <w:r w:rsidR="008D61C1">
              <w:rPr>
                <w:rFonts w:eastAsia="Aptos" w:cs="Times New Roman"/>
                <w:sz w:val="16"/>
                <w:szCs w:val="16"/>
              </w:rPr>
              <w:t>predicted/</w:t>
            </w:r>
            <w:r w:rsidRPr="005571CA">
              <w:rPr>
                <w:rFonts w:eastAsia="Aptos" w:cs="Times New Roman"/>
                <w:sz w:val="16"/>
                <w:szCs w:val="16"/>
              </w:rPr>
              <w:t xml:space="preserve"> unable to blow</w:t>
            </w:r>
          </w:p>
        </w:tc>
      </w:tr>
      <w:tr w:rsidR="00CE1BF0" w:rsidRPr="00C72E28" w14:paraId="29050042" w14:textId="77777777" w:rsidTr="00176697">
        <w:trPr>
          <w:trHeight w:val="250"/>
        </w:trPr>
        <w:tc>
          <w:tcPr>
            <w:tcW w:w="1678" w:type="pct"/>
          </w:tcPr>
          <w:p w14:paraId="3F1F559E"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Speech</w:t>
            </w:r>
          </w:p>
        </w:tc>
        <w:tc>
          <w:tcPr>
            <w:tcW w:w="1051" w:type="pct"/>
            <w:shd w:val="clear" w:color="auto" w:fill="B2D3AB"/>
          </w:tcPr>
          <w:p w14:paraId="302457C1"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 xml:space="preserve">normal </w:t>
            </w:r>
          </w:p>
        </w:tc>
        <w:tc>
          <w:tcPr>
            <w:tcW w:w="1156" w:type="pct"/>
            <w:shd w:val="clear" w:color="auto" w:fill="FFFF79"/>
          </w:tcPr>
          <w:p w14:paraId="7D475A48"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difficult</w:t>
            </w:r>
          </w:p>
        </w:tc>
        <w:tc>
          <w:tcPr>
            <w:tcW w:w="1115" w:type="pct"/>
            <w:shd w:val="clear" w:color="auto" w:fill="EA7676"/>
          </w:tcPr>
          <w:p w14:paraId="355F6DD3"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unable to speak</w:t>
            </w:r>
          </w:p>
        </w:tc>
      </w:tr>
      <w:tr w:rsidR="00CE1BF0" w:rsidRPr="00C72E28" w14:paraId="65A9923F" w14:textId="77777777" w:rsidTr="00176697">
        <w:trPr>
          <w:trHeight w:val="262"/>
        </w:trPr>
        <w:tc>
          <w:tcPr>
            <w:tcW w:w="1678" w:type="pct"/>
          </w:tcPr>
          <w:p w14:paraId="3FE7BE31"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Feeding</w:t>
            </w:r>
          </w:p>
        </w:tc>
        <w:tc>
          <w:tcPr>
            <w:tcW w:w="1051" w:type="pct"/>
            <w:shd w:val="clear" w:color="auto" w:fill="B2D3AB"/>
          </w:tcPr>
          <w:p w14:paraId="38782BF4"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normal</w:t>
            </w:r>
          </w:p>
        </w:tc>
        <w:tc>
          <w:tcPr>
            <w:tcW w:w="1156" w:type="pct"/>
            <w:shd w:val="clear" w:color="auto" w:fill="FFFF79"/>
          </w:tcPr>
          <w:p w14:paraId="753AF46C" w14:textId="412B66E0"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difficulty feeding</w:t>
            </w:r>
          </w:p>
        </w:tc>
        <w:tc>
          <w:tcPr>
            <w:tcW w:w="1115" w:type="pct"/>
            <w:shd w:val="clear" w:color="auto" w:fill="EA7676"/>
          </w:tcPr>
          <w:p w14:paraId="71BFC9B1"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unable to feed</w:t>
            </w:r>
          </w:p>
        </w:tc>
      </w:tr>
      <w:tr w:rsidR="00CE1BF0" w:rsidRPr="00C72E28" w14:paraId="0B073462" w14:textId="77777777" w:rsidTr="00176697">
        <w:trPr>
          <w:trHeight w:val="250"/>
        </w:trPr>
        <w:tc>
          <w:tcPr>
            <w:tcW w:w="1678" w:type="pct"/>
          </w:tcPr>
          <w:p w14:paraId="355C59F9"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Wheeze</w:t>
            </w:r>
          </w:p>
        </w:tc>
        <w:tc>
          <w:tcPr>
            <w:tcW w:w="1051" w:type="pct"/>
            <w:shd w:val="clear" w:color="auto" w:fill="B2D3AB"/>
          </w:tcPr>
          <w:p w14:paraId="32F46C31"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present</w:t>
            </w:r>
          </w:p>
        </w:tc>
        <w:tc>
          <w:tcPr>
            <w:tcW w:w="1156" w:type="pct"/>
            <w:shd w:val="clear" w:color="auto" w:fill="FFFF79"/>
          </w:tcPr>
          <w:p w14:paraId="65E75942"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present</w:t>
            </w:r>
          </w:p>
        </w:tc>
        <w:tc>
          <w:tcPr>
            <w:tcW w:w="1115" w:type="pct"/>
            <w:shd w:val="clear" w:color="auto" w:fill="EA7676"/>
          </w:tcPr>
          <w:p w14:paraId="7758216C"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absent</w:t>
            </w:r>
          </w:p>
        </w:tc>
      </w:tr>
      <w:tr w:rsidR="00CE1BF0" w:rsidRPr="00C72E28" w14:paraId="7CBAE424" w14:textId="77777777" w:rsidTr="00176697">
        <w:trPr>
          <w:trHeight w:val="262"/>
        </w:trPr>
        <w:tc>
          <w:tcPr>
            <w:tcW w:w="1678" w:type="pct"/>
          </w:tcPr>
          <w:p w14:paraId="2E7148BA" w14:textId="77777777" w:rsidR="00CE1BF0" w:rsidRPr="0042389E" w:rsidRDefault="00CE1BF0" w:rsidP="008D61C1">
            <w:pPr>
              <w:spacing w:after="0"/>
              <w:jc w:val="left"/>
              <w:rPr>
                <w:rFonts w:eastAsia="Aptos" w:cs="Times New Roman"/>
                <w:b/>
                <w:bCs/>
                <w:sz w:val="16"/>
                <w:szCs w:val="16"/>
              </w:rPr>
            </w:pPr>
            <w:r w:rsidRPr="0042389E">
              <w:rPr>
                <w:rFonts w:eastAsia="Aptos" w:cs="Times New Roman"/>
                <w:b/>
                <w:bCs/>
                <w:sz w:val="16"/>
                <w:szCs w:val="16"/>
              </w:rPr>
              <w:t>Consciousness</w:t>
            </w:r>
          </w:p>
        </w:tc>
        <w:tc>
          <w:tcPr>
            <w:tcW w:w="1051" w:type="pct"/>
            <w:shd w:val="clear" w:color="auto" w:fill="B2D3AB"/>
          </w:tcPr>
          <w:p w14:paraId="4AFFD918"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normal</w:t>
            </w:r>
          </w:p>
        </w:tc>
        <w:tc>
          <w:tcPr>
            <w:tcW w:w="1156" w:type="pct"/>
            <w:shd w:val="clear" w:color="auto" w:fill="FFFF79"/>
          </w:tcPr>
          <w:p w14:paraId="5438392C"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normal</w:t>
            </w:r>
          </w:p>
        </w:tc>
        <w:tc>
          <w:tcPr>
            <w:tcW w:w="1115" w:type="pct"/>
            <w:shd w:val="clear" w:color="auto" w:fill="EA7676"/>
          </w:tcPr>
          <w:p w14:paraId="0BF62375" w14:textId="77777777" w:rsidR="00CE1BF0" w:rsidRPr="005571CA" w:rsidRDefault="00CE1BF0" w:rsidP="008D61C1">
            <w:pPr>
              <w:spacing w:after="0"/>
              <w:jc w:val="left"/>
              <w:rPr>
                <w:rFonts w:eastAsia="Aptos" w:cs="Times New Roman"/>
                <w:sz w:val="16"/>
                <w:szCs w:val="16"/>
              </w:rPr>
            </w:pPr>
            <w:r w:rsidRPr="005571CA">
              <w:rPr>
                <w:rFonts w:eastAsia="Aptos" w:cs="Times New Roman"/>
                <w:sz w:val="16"/>
                <w:szCs w:val="16"/>
              </w:rPr>
              <w:t>impaired</w:t>
            </w:r>
          </w:p>
        </w:tc>
      </w:tr>
    </w:tbl>
    <w:p w14:paraId="4C8EDB76" w14:textId="77777777" w:rsidR="00C40BA5" w:rsidRDefault="00C40BA5" w:rsidP="00FF01A9">
      <w:pPr>
        <w:pStyle w:val="NoSpacing"/>
      </w:pPr>
    </w:p>
    <w:p w14:paraId="50ECED8C" w14:textId="77777777" w:rsidR="00306BFF" w:rsidRPr="001F4BAA" w:rsidRDefault="00306BFF" w:rsidP="00306BFF">
      <w:pPr>
        <w:pStyle w:val="Heading5"/>
      </w:pPr>
      <w:r w:rsidRPr="001F4BAA">
        <w:t>MEDICINE TREATMENT</w:t>
      </w:r>
    </w:p>
    <w:p w14:paraId="17090720" w14:textId="77777777" w:rsidR="007B3A5B" w:rsidRPr="00A604AA" w:rsidRDefault="007B3A5B" w:rsidP="007B3A5B">
      <w:pPr>
        <w:pStyle w:val="NoSpacing"/>
      </w:pPr>
      <w:r>
        <w:t>See Appendix II: Devices for Respiratory Conditions for guidance on inhaler, spacer and nebuliser device techniques.</w:t>
      </w:r>
    </w:p>
    <w:p w14:paraId="2C61FDF6" w14:textId="2DA7565E" w:rsidR="00306BFF" w:rsidRPr="005B479F" w:rsidRDefault="00306BFF" w:rsidP="00306BFF">
      <w:pPr>
        <w:pStyle w:val="Heading6"/>
      </w:pPr>
      <w:r w:rsidRPr="00D34C59">
        <w:rPr>
          <w:u w:val="single"/>
        </w:rPr>
        <w:t>Mild</w:t>
      </w:r>
      <w:r w:rsidR="008319F3">
        <w:rPr>
          <w:u w:val="single"/>
        </w:rPr>
        <w:t xml:space="preserve"> to </w:t>
      </w:r>
      <w:r w:rsidRPr="00D34C59">
        <w:rPr>
          <w:u w:val="single"/>
        </w:rPr>
        <w:t>moderate attacks</w:t>
      </w:r>
      <w:r w:rsidR="008319F3">
        <w:rPr>
          <w:u w:val="single"/>
        </w:rPr>
        <w:t>:</w:t>
      </w:r>
    </w:p>
    <w:p w14:paraId="5003B419" w14:textId="6D5E5B0F" w:rsidR="00306BFF" w:rsidRDefault="00306BFF" w:rsidP="00306BFF">
      <w:pPr>
        <w:pStyle w:val="BulletMedicine"/>
      </w:pPr>
      <w:r w:rsidRPr="001F4BAA">
        <w:t>Salbutamol</w:t>
      </w:r>
      <w:r>
        <w:t xml:space="preserve"> 100</w:t>
      </w:r>
      <w:r w:rsidR="008319F3">
        <w:t xml:space="preserve"> </w:t>
      </w:r>
      <w:r>
        <w:t xml:space="preserve">mcg </w:t>
      </w:r>
      <w:r>
        <w:fldChar w:fldCharType="begin"/>
      </w:r>
      <w:r>
        <w:instrText xml:space="preserve"> XE "Salbutamol, inhaler" \f "m" </w:instrText>
      </w:r>
      <w:r>
        <w:fldChar w:fldCharType="end"/>
      </w:r>
      <w:r w:rsidRPr="001F4BAA">
        <w:t>metered-dose inhaler (MDI)</w:t>
      </w:r>
      <w:r w:rsidR="007277E7">
        <w:t>.</w:t>
      </w:r>
    </w:p>
    <w:p w14:paraId="3920F1E8" w14:textId="57D830D5" w:rsidR="00306BFF" w:rsidRPr="007C025D" w:rsidRDefault="00F40099" w:rsidP="00306BFF">
      <w:pPr>
        <w:rPr>
          <w:u w:val="single"/>
          <w:lang w:val="en-ZA"/>
        </w:rPr>
      </w:pPr>
      <w:r>
        <w:rPr>
          <w:u w:val="single"/>
          <w:lang w:val="en-ZA"/>
        </w:rPr>
        <w:t>C</w:t>
      </w:r>
      <w:r w:rsidR="00306BFF">
        <w:rPr>
          <w:u w:val="single"/>
          <w:lang w:val="en-ZA"/>
        </w:rPr>
        <w:t xml:space="preserve">hildren </w:t>
      </w:r>
      <w:r w:rsidR="008319F3">
        <w:rPr>
          <w:u w:val="single"/>
          <w:lang w:val="en-ZA"/>
        </w:rPr>
        <w:t>≥</w:t>
      </w:r>
      <w:r w:rsidR="00306BFF">
        <w:rPr>
          <w:u w:val="single"/>
          <w:lang w:val="en-ZA"/>
        </w:rPr>
        <w:t>5</w:t>
      </w:r>
      <w:r w:rsidR="008319F3">
        <w:rPr>
          <w:u w:val="single"/>
          <w:lang w:val="en-ZA"/>
        </w:rPr>
        <w:t xml:space="preserve"> </w:t>
      </w:r>
      <w:r w:rsidR="00306BFF">
        <w:rPr>
          <w:u w:val="single"/>
          <w:lang w:val="en-ZA"/>
        </w:rPr>
        <w:t>years</w:t>
      </w:r>
      <w:r w:rsidR="008319F3">
        <w:rPr>
          <w:u w:val="single"/>
          <w:lang w:val="en-ZA"/>
        </w:rPr>
        <w:t>:</w:t>
      </w:r>
    </w:p>
    <w:p w14:paraId="3FED2E6B" w14:textId="0306BF8E" w:rsidR="00306BFF" w:rsidRPr="007C025D" w:rsidRDefault="00306BFF" w:rsidP="008542CC">
      <w:pPr>
        <w:pStyle w:val="BulletMedicine"/>
        <w:numPr>
          <w:ilvl w:val="0"/>
          <w:numId w:val="45"/>
        </w:numPr>
      </w:pPr>
      <w:r>
        <w:t>Salbutamol inhaler 4</w:t>
      </w:r>
      <w:r w:rsidRPr="001F4BAA">
        <w:t>00</w:t>
      </w:r>
      <w:r w:rsidR="007277E7" w:rsidRPr="007277E7">
        <w:t xml:space="preserve"> </w:t>
      </w:r>
      <w:r w:rsidR="007277E7">
        <w:t xml:space="preserve">to </w:t>
      </w:r>
      <w:r>
        <w:t>10</w:t>
      </w:r>
      <w:r w:rsidRPr="001F4BAA">
        <w:t>00 mcg (</w:t>
      </w:r>
      <w:r>
        <w:t>4</w:t>
      </w:r>
      <w:r w:rsidR="007277E7" w:rsidRPr="007277E7">
        <w:t xml:space="preserve"> </w:t>
      </w:r>
      <w:r w:rsidR="007277E7">
        <w:t xml:space="preserve">to </w:t>
      </w:r>
      <w:r>
        <w:t>10</w:t>
      </w:r>
      <w:r w:rsidRPr="001F4BAA">
        <w:t xml:space="preserve"> puffs)</w:t>
      </w:r>
      <w:r>
        <w:t xml:space="preserve"> </w:t>
      </w:r>
      <w:r w:rsidRPr="001F4BAA">
        <w:t>using a spacer</w:t>
      </w:r>
      <w:r w:rsidR="00D900FC">
        <w:t>.</w:t>
      </w:r>
    </w:p>
    <w:tbl>
      <w:tblPr>
        <w:tblpPr w:leftFromText="180" w:rightFromText="180" w:vertAnchor="text" w:horzAnchor="margin" w:tblpXSpec="right" w:tblpY="10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1F4BAA" w14:paraId="5B1C7E67" w14:textId="77777777" w:rsidTr="00966868">
        <w:tc>
          <w:tcPr>
            <w:tcW w:w="907" w:type="dxa"/>
          </w:tcPr>
          <w:p w14:paraId="091A903F" w14:textId="77777777" w:rsidR="00306BFF" w:rsidRPr="002344FD" w:rsidRDefault="00306BFF" w:rsidP="00966868">
            <w:pPr>
              <w:pStyle w:val="LoEText"/>
              <w:framePr w:hSpace="0" w:wrap="auto" w:vAnchor="margin" w:hAnchor="text" w:xAlign="left" w:yAlign="inline"/>
              <w:suppressOverlap w:val="0"/>
              <w:rPr>
                <w:sz w:val="14"/>
                <w:szCs w:val="14"/>
              </w:rPr>
            </w:pPr>
            <w:r w:rsidRPr="002344FD">
              <w:rPr>
                <w:sz w:val="14"/>
                <w:szCs w:val="14"/>
              </w:rPr>
              <w:t>LoE:IVb</w:t>
            </w:r>
            <w:r w:rsidRPr="002344FD">
              <w:rPr>
                <w:sz w:val="14"/>
                <w:szCs w:val="14"/>
                <w:vertAlign w:val="superscript"/>
              </w:rPr>
              <w:endnoteReference w:id="3"/>
            </w:r>
          </w:p>
        </w:tc>
      </w:tr>
    </w:tbl>
    <w:p w14:paraId="6F2A1420" w14:textId="2A624102" w:rsidR="00306BFF" w:rsidRPr="00FC391D" w:rsidRDefault="00306BFF" w:rsidP="00306BFF">
      <w:pPr>
        <w:pStyle w:val="BulletDirectionsInstructions"/>
      </w:pPr>
      <w:r w:rsidRPr="00FC391D">
        <w:t>Shake the inhaler between each puff</w:t>
      </w:r>
      <w:r w:rsidR="007277E7">
        <w:t>.</w:t>
      </w:r>
    </w:p>
    <w:p w14:paraId="3C53003E" w14:textId="34EF610F" w:rsidR="00306BFF" w:rsidRPr="00936F66" w:rsidRDefault="00306BFF" w:rsidP="00306BFF">
      <w:pPr>
        <w:pStyle w:val="BulletDirectionsInstructions"/>
      </w:pPr>
      <w:r w:rsidRPr="00936F66">
        <w:t>If no relief, repeat every 20</w:t>
      </w:r>
      <w:r w:rsidR="007277E7" w:rsidRPr="007277E7">
        <w:t xml:space="preserve"> </w:t>
      </w:r>
      <w:r w:rsidR="007277E7">
        <w:t xml:space="preserve">to </w:t>
      </w:r>
      <w:r w:rsidRPr="00936F66">
        <w:t>30 minutes in the first hour.</w:t>
      </w:r>
    </w:p>
    <w:p w14:paraId="573D24A9" w14:textId="5E6B5850" w:rsidR="00306BFF" w:rsidRPr="00936F66" w:rsidRDefault="00306BFF" w:rsidP="00306BFF">
      <w:pPr>
        <w:pStyle w:val="BulletDirectionsInstructions"/>
      </w:pPr>
      <w:r w:rsidRPr="00936F66">
        <w:t>Thereafter, repeat every 2</w:t>
      </w:r>
      <w:r w:rsidR="007277E7" w:rsidRPr="007277E7">
        <w:t xml:space="preserve"> </w:t>
      </w:r>
      <w:r w:rsidR="007277E7">
        <w:t xml:space="preserve">to </w:t>
      </w:r>
      <w:r w:rsidRPr="00936F66">
        <w:t>4 hours if needed.</w:t>
      </w:r>
    </w:p>
    <w:p w14:paraId="5FB454F0" w14:textId="5727DA11" w:rsidR="00306BFF" w:rsidRPr="00724936" w:rsidRDefault="00306BFF" w:rsidP="00306BFF">
      <w:pPr>
        <w:rPr>
          <w:u w:val="single"/>
          <w:lang w:val="en-ZA"/>
        </w:rPr>
      </w:pPr>
      <w:r w:rsidRPr="007C025D">
        <w:rPr>
          <w:u w:val="single"/>
          <w:lang w:val="en-ZA"/>
        </w:rPr>
        <w:t xml:space="preserve"> </w:t>
      </w:r>
      <w:r w:rsidRPr="00724936">
        <w:rPr>
          <w:u w:val="single"/>
          <w:lang w:val="en-ZA"/>
        </w:rPr>
        <w:t>Children</w:t>
      </w:r>
      <w:r>
        <w:rPr>
          <w:u w:val="single"/>
          <w:lang w:val="en-ZA"/>
        </w:rPr>
        <w:t xml:space="preserve"> </w:t>
      </w:r>
      <w:r w:rsidR="007277E7">
        <w:rPr>
          <w:u w:val="single"/>
          <w:lang w:val="en-ZA"/>
        </w:rPr>
        <w:t>&lt;</w:t>
      </w:r>
      <w:r>
        <w:rPr>
          <w:u w:val="single"/>
          <w:lang w:val="en-ZA"/>
        </w:rPr>
        <w:t>5 years</w:t>
      </w:r>
      <w:r w:rsidR="008319F3">
        <w:rPr>
          <w:u w:val="single"/>
          <w:lang w:val="en-ZA"/>
        </w:rPr>
        <w:t>:</w:t>
      </w:r>
    </w:p>
    <w:p w14:paraId="242B6A75" w14:textId="77777777" w:rsidR="00306BFF" w:rsidRDefault="00306BFF" w:rsidP="008542CC">
      <w:pPr>
        <w:pStyle w:val="BulletMedicine"/>
        <w:numPr>
          <w:ilvl w:val="0"/>
          <w:numId w:val="45"/>
        </w:numPr>
      </w:pPr>
      <w:r>
        <w:t>Salbutamol inhaler 2</w:t>
      </w:r>
      <w:r w:rsidRPr="001F4BAA">
        <w:t>00–</w:t>
      </w:r>
      <w:r>
        <w:t>6</w:t>
      </w:r>
      <w:r w:rsidRPr="001F4BAA">
        <w:t>00 mcg (</w:t>
      </w:r>
      <w:r>
        <w:t>2-6</w:t>
      </w:r>
      <w:r w:rsidRPr="001F4BAA">
        <w:t xml:space="preserve"> puffs)</w:t>
      </w:r>
      <w:r>
        <w:t xml:space="preserve"> </w:t>
      </w:r>
      <w:r w:rsidRPr="001F4BAA">
        <w:t>using a spacer</w:t>
      </w:r>
      <w:r>
        <w:t>.</w:t>
      </w:r>
    </w:p>
    <w:p w14:paraId="309FDA3B" w14:textId="444B7C76" w:rsidR="00306BFF" w:rsidRDefault="00306BFF" w:rsidP="00306BFF">
      <w:pPr>
        <w:pStyle w:val="BulletDirectionsInstructions"/>
      </w:pPr>
      <w:r w:rsidRPr="001078BA">
        <w:t xml:space="preserve">For children </w:t>
      </w:r>
      <w:r w:rsidR="008319F3" w:rsidRPr="006842EB">
        <w:t>≥</w:t>
      </w:r>
      <w:r w:rsidRPr="001078BA">
        <w:t xml:space="preserve"> 3 years, use a space</w:t>
      </w:r>
      <w:r w:rsidR="007E7542">
        <w:t>r</w:t>
      </w:r>
      <w:r w:rsidRPr="001078BA">
        <w:t xml:space="preserve"> with a mouthpiece</w:t>
      </w:r>
      <w:r>
        <w:t>.</w:t>
      </w:r>
    </w:p>
    <w:p w14:paraId="7F83C719" w14:textId="2EE59252" w:rsidR="00306BFF" w:rsidRDefault="00306BFF" w:rsidP="00306BFF">
      <w:pPr>
        <w:pStyle w:val="BulletDirectionsInstructions"/>
      </w:pPr>
      <w:r w:rsidRPr="001F4BAA">
        <w:t xml:space="preserve">If child </w:t>
      </w:r>
      <w:r w:rsidR="007277E7">
        <w:t>&lt;</w:t>
      </w:r>
      <w:r w:rsidRPr="001F4BAA">
        <w:t>3 years of age, use a mask attached to the spacer. Apply the mask to the face to create a seal so that the child breathes through the spacer</w:t>
      </w:r>
      <w:r>
        <w:t>.</w:t>
      </w:r>
    </w:p>
    <w:tbl>
      <w:tblPr>
        <w:tblpPr w:leftFromText="180" w:rightFromText="180" w:vertAnchor="text" w:horzAnchor="margin" w:tblpXSpec="right" w:tblpY="50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1F4BAA" w14:paraId="4AFB2618" w14:textId="77777777" w:rsidTr="00966868">
        <w:tc>
          <w:tcPr>
            <w:tcW w:w="907" w:type="dxa"/>
          </w:tcPr>
          <w:p w14:paraId="7D79F6BA" w14:textId="77777777" w:rsidR="00306BFF" w:rsidRPr="002344FD" w:rsidRDefault="00306BFF" w:rsidP="00966868">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4"/>
            </w:r>
          </w:p>
        </w:tc>
      </w:tr>
    </w:tbl>
    <w:p w14:paraId="1FF14F8C" w14:textId="14C98788" w:rsidR="00306BFF" w:rsidRPr="001F4BAA" w:rsidRDefault="00306BFF" w:rsidP="00306BFF">
      <w:pPr>
        <w:pStyle w:val="BulletDirectionsInstructions"/>
      </w:pPr>
      <w:r w:rsidRPr="001F4BAA">
        <w:t xml:space="preserve">Inhale one puff at a time. </w:t>
      </w:r>
      <w:r>
        <w:t xml:space="preserve">Use a single breath inhalation technique. If single inhalation technique </w:t>
      </w:r>
      <w:r w:rsidRPr="0075174A">
        <w:t>not</w:t>
      </w:r>
      <w:r>
        <w:t xml:space="preserve"> possible, a</w:t>
      </w:r>
      <w:r w:rsidRPr="001F4BAA">
        <w:t xml:space="preserve">llow for </w:t>
      </w:r>
      <w:r>
        <w:t>6</w:t>
      </w:r>
      <w:r w:rsidRPr="001F4BAA">
        <w:t xml:space="preserve"> breaths through the spacer between puffs.</w:t>
      </w:r>
    </w:p>
    <w:p w14:paraId="078565C2" w14:textId="382B2CF4" w:rsidR="00306BFF" w:rsidRPr="001F4BAA" w:rsidRDefault="00306BFF" w:rsidP="00306BFF">
      <w:pPr>
        <w:pStyle w:val="BulletDirectionsInstructions"/>
      </w:pPr>
      <w:r w:rsidRPr="001F4BAA">
        <w:t>If no relief, repeat every 20</w:t>
      </w:r>
      <w:r w:rsidR="007277E7" w:rsidRPr="007277E7">
        <w:t xml:space="preserve"> </w:t>
      </w:r>
      <w:r w:rsidR="007277E7">
        <w:t xml:space="preserve">to </w:t>
      </w:r>
      <w:r w:rsidRPr="001F4BAA">
        <w:t>30 minutes in the first hour.</w:t>
      </w:r>
    </w:p>
    <w:p w14:paraId="239D8A49" w14:textId="6B686C52" w:rsidR="00306BFF" w:rsidRPr="001F4BAA" w:rsidRDefault="00306BFF" w:rsidP="00306BFF">
      <w:pPr>
        <w:pStyle w:val="BulletDirectionsInstructions"/>
      </w:pPr>
      <w:r w:rsidRPr="001F4BAA">
        <w:t>Thereafter, repeat every 2</w:t>
      </w:r>
      <w:r w:rsidR="007277E7" w:rsidRPr="007277E7">
        <w:t xml:space="preserve"> </w:t>
      </w:r>
      <w:r w:rsidR="007277E7">
        <w:t xml:space="preserve">to </w:t>
      </w:r>
      <w:r w:rsidRPr="001F4BAA">
        <w:t>4 hours if needed.</w:t>
      </w:r>
    </w:p>
    <w:p w14:paraId="6DCEDEF2" w14:textId="77777777" w:rsidR="00306BFF" w:rsidRDefault="00306BFF" w:rsidP="00306BFF">
      <w:pPr>
        <w:pStyle w:val="NoSpacing"/>
      </w:pPr>
      <w:r w:rsidRPr="0054518D">
        <w:rPr>
          <w:rStyle w:val="Strong"/>
        </w:rPr>
        <w:t>Note:</w:t>
      </w:r>
      <w:r w:rsidRPr="001F4BAA">
        <w:t xml:space="preserve"> Administering salbutamol via a spacer is as effective as, and cheaper than, using a nebuliser.</w:t>
      </w:r>
    </w:p>
    <w:p w14:paraId="344BCE3E" w14:textId="77777777" w:rsidR="00306BFF" w:rsidRPr="0054518D" w:rsidRDefault="00306BFF" w:rsidP="00306BFF">
      <w:pPr>
        <w:pStyle w:val="NoSpacing"/>
        <w:rPr>
          <w:rStyle w:val="Strong"/>
        </w:rPr>
      </w:pPr>
      <w:r w:rsidRPr="0054518D">
        <w:rPr>
          <w:rStyle w:val="Strong"/>
        </w:rPr>
        <w:t>OR</w:t>
      </w:r>
    </w:p>
    <w:p w14:paraId="755A84F8" w14:textId="1FBF3410" w:rsidR="00306BFF" w:rsidRDefault="00306BFF" w:rsidP="008542CC">
      <w:pPr>
        <w:pStyle w:val="BulletMedicine"/>
        <w:numPr>
          <w:ilvl w:val="0"/>
          <w:numId w:val="45"/>
        </w:numPr>
      </w:pPr>
      <w:r w:rsidRPr="001F4BAA">
        <w:lastRenderedPageBreak/>
        <w:t>Salbutamol 0.5%</w:t>
      </w:r>
      <w:r>
        <w:t xml:space="preserve"> (5</w:t>
      </w:r>
      <w:r w:rsidR="00144D7E">
        <w:t xml:space="preserve"> </w:t>
      </w:r>
      <w:r>
        <w:t>mg/mL)</w:t>
      </w:r>
      <w:r w:rsidRPr="001F4BAA">
        <w:t>, solution</w:t>
      </w:r>
      <w:r>
        <w:fldChar w:fldCharType="begin"/>
      </w:r>
      <w:r>
        <w:instrText xml:space="preserve"> XE "Salbutamol 0.5%, solution" \f "m" </w:instrText>
      </w:r>
      <w:r>
        <w:fldChar w:fldCharType="end"/>
      </w:r>
      <w:r w:rsidRPr="001F4BAA">
        <w:t xml:space="preserve">, </w:t>
      </w:r>
    </w:p>
    <w:p w14:paraId="7B24017C" w14:textId="20108445" w:rsidR="00306BFF" w:rsidRPr="00724936" w:rsidRDefault="00306BFF" w:rsidP="00306BFF">
      <w:pPr>
        <w:pStyle w:val="BulletDirectionsInstructions"/>
      </w:pPr>
      <w:r w:rsidRPr="00724936">
        <w:t>0.5–1 mL (2.5</w:t>
      </w:r>
      <w:r w:rsidR="007277E7" w:rsidRPr="007277E7">
        <w:t xml:space="preserve"> </w:t>
      </w:r>
      <w:r w:rsidR="007277E7">
        <w:t xml:space="preserve">to </w:t>
      </w:r>
      <w:r w:rsidRPr="00724936">
        <w:t xml:space="preserve">5 mg) salbutamol 0.5% solution, </w:t>
      </w:r>
      <w:r w:rsidR="00FF78BF">
        <w:t>made up to</w:t>
      </w:r>
      <w:r w:rsidRPr="00724936">
        <w:t xml:space="preserve"> 4 mL </w:t>
      </w:r>
      <w:r w:rsidR="00FF78BF">
        <w:t>with</w:t>
      </w:r>
      <w:r w:rsidRPr="00724936">
        <w:t xml:space="preserve"> sodium chloride 0.9%, preferably delivered at a flow rate of 8 L/min with oxygen.</w:t>
      </w:r>
    </w:p>
    <w:p w14:paraId="2F59DF98" w14:textId="34AF15EC" w:rsidR="00306BFF" w:rsidRPr="00724936" w:rsidRDefault="00306BFF" w:rsidP="00306BFF">
      <w:pPr>
        <w:pStyle w:val="BulletDirectionsInstructions"/>
      </w:pPr>
      <w:r w:rsidRPr="00724936">
        <w:t>If no relief, repeat every 20</w:t>
      </w:r>
      <w:r w:rsidR="007277E7" w:rsidRPr="007277E7">
        <w:t xml:space="preserve"> </w:t>
      </w:r>
      <w:r w:rsidR="007277E7">
        <w:t xml:space="preserve">to </w:t>
      </w:r>
      <w:r w:rsidRPr="00724936">
        <w:t>30 minutes in the first hour.</w:t>
      </w:r>
    </w:p>
    <w:tbl>
      <w:tblPr>
        <w:tblpPr w:leftFromText="180" w:rightFromText="180" w:vertAnchor="text" w:horzAnchor="margin" w:tblpXSpec="right" w:tblpY="2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724936" w14:paraId="2695C218" w14:textId="77777777" w:rsidTr="00966868">
        <w:tc>
          <w:tcPr>
            <w:tcW w:w="907" w:type="dxa"/>
          </w:tcPr>
          <w:p w14:paraId="25E39347" w14:textId="77777777" w:rsidR="00306BFF" w:rsidRPr="002344FD" w:rsidRDefault="00306BFF" w:rsidP="00966868">
            <w:pPr>
              <w:pStyle w:val="LoEText"/>
              <w:framePr w:hSpace="0" w:wrap="auto" w:vAnchor="margin" w:hAnchor="text" w:xAlign="left" w:yAlign="inline"/>
              <w:suppressOverlap w:val="0"/>
              <w:rPr>
                <w:sz w:val="14"/>
                <w:szCs w:val="14"/>
              </w:rPr>
            </w:pPr>
            <w:r w:rsidRPr="002344FD">
              <w:rPr>
                <w:sz w:val="14"/>
                <w:szCs w:val="14"/>
              </w:rPr>
              <w:t>LoE:IVb</w:t>
            </w:r>
            <w:r w:rsidRPr="002344FD">
              <w:rPr>
                <w:sz w:val="14"/>
                <w:szCs w:val="14"/>
                <w:vertAlign w:val="superscript"/>
              </w:rPr>
              <w:endnoteReference w:id="5"/>
            </w:r>
          </w:p>
        </w:tc>
      </w:tr>
    </w:tbl>
    <w:p w14:paraId="5A43C824" w14:textId="3BE8C3D2" w:rsidR="00306BFF" w:rsidRPr="00724936" w:rsidRDefault="00306BFF" w:rsidP="00306BFF">
      <w:pPr>
        <w:pStyle w:val="BulletDirectionsInstructions"/>
      </w:pPr>
      <w:r w:rsidRPr="00724936">
        <w:t>Thereafter, repeat every 2</w:t>
      </w:r>
      <w:r w:rsidR="007277E7" w:rsidRPr="007277E7">
        <w:t xml:space="preserve"> </w:t>
      </w:r>
      <w:r w:rsidR="007277E7">
        <w:t xml:space="preserve">to </w:t>
      </w:r>
      <w:r w:rsidRPr="00724936">
        <w:t>4 hours if needed</w:t>
      </w:r>
      <w:r w:rsidR="00CB4B3B">
        <w:t>.</w:t>
      </w:r>
    </w:p>
    <w:p w14:paraId="4AD2D54A" w14:textId="77777777" w:rsidR="00306BFF" w:rsidRPr="007634F5" w:rsidRDefault="00306BFF" w:rsidP="00306BFF">
      <w:pPr>
        <w:pStyle w:val="NoSpacing"/>
        <w:rPr>
          <w:rStyle w:val="Strong"/>
        </w:rPr>
      </w:pPr>
      <w:r>
        <w:rPr>
          <w:rStyle w:val="Strong"/>
        </w:rPr>
        <w:t>PLUS</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1F4BAA" w14:paraId="51FFFAFB" w14:textId="77777777" w:rsidTr="00966868">
        <w:tc>
          <w:tcPr>
            <w:tcW w:w="907" w:type="dxa"/>
          </w:tcPr>
          <w:p w14:paraId="154D4FED" w14:textId="77777777" w:rsidR="00306BFF" w:rsidRPr="002344FD" w:rsidRDefault="00306BFF" w:rsidP="00966868">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6"/>
            </w:r>
          </w:p>
        </w:tc>
      </w:tr>
    </w:tbl>
    <w:p w14:paraId="644C5EC0" w14:textId="77777777" w:rsidR="00306BFF" w:rsidRDefault="00306BFF" w:rsidP="00306BFF">
      <w:pPr>
        <w:pStyle w:val="BulletTherapeuticclass"/>
      </w:pPr>
      <w:r w:rsidRPr="001F4BAA">
        <w:t>Corticosteroids (intermediate-acting)</w:t>
      </w:r>
      <w:r>
        <w:fldChar w:fldCharType="begin"/>
      </w:r>
      <w:r>
        <w:instrText xml:space="preserve"> XE "Corticosteroids (intermediate-acting)" \f "m" </w:instrText>
      </w:r>
      <w:r>
        <w:fldChar w:fldCharType="end"/>
      </w:r>
      <w:r w:rsidRPr="001F4BAA">
        <w:t xml:space="preserve"> e.g.:</w:t>
      </w:r>
    </w:p>
    <w:p w14:paraId="698D822B" w14:textId="6BAD14E5" w:rsidR="00306BFF" w:rsidRPr="00724936" w:rsidRDefault="00306BFF" w:rsidP="008542CC">
      <w:pPr>
        <w:pStyle w:val="BulletMedicine"/>
        <w:numPr>
          <w:ilvl w:val="0"/>
          <w:numId w:val="46"/>
        </w:numPr>
      </w:pPr>
      <w:r w:rsidRPr="00724936">
        <w:t>Prednisone, oral</w:t>
      </w:r>
      <w:r w:rsidRPr="00724936">
        <w:fldChar w:fldCharType="begin"/>
      </w:r>
      <w:r w:rsidRPr="00724936">
        <w:instrText xml:space="preserve"> XE "Prednisone, oral" \f "m"</w:instrText>
      </w:r>
      <w:r w:rsidRPr="00724936">
        <w:fldChar w:fldCharType="end"/>
      </w:r>
      <w:r w:rsidRPr="00724936">
        <w:t>, 1</w:t>
      </w:r>
      <w:r w:rsidR="007277E7" w:rsidRPr="007277E7">
        <w:t xml:space="preserve"> </w:t>
      </w:r>
      <w:r w:rsidR="007277E7">
        <w:t xml:space="preserve">to </w:t>
      </w:r>
      <w:r w:rsidRPr="00724936">
        <w:t>2 mg/kg immediately and follow with same dose for 7 days:</w:t>
      </w:r>
    </w:p>
    <w:tbl>
      <w:tblPr>
        <w:tblW w:w="3908"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1165"/>
        <w:gridCol w:w="1170"/>
        <w:gridCol w:w="1529"/>
      </w:tblGrid>
      <w:tr w:rsidR="00306BFF" w:rsidRPr="00306AC8" w14:paraId="301A824B" w14:textId="77777777" w:rsidTr="00966868">
        <w:tc>
          <w:tcPr>
            <w:tcW w:w="1298" w:type="pct"/>
          </w:tcPr>
          <w:p w14:paraId="74C78A67" w14:textId="77777777" w:rsidR="00306BFF" w:rsidRPr="00306AC8" w:rsidRDefault="00306BFF" w:rsidP="00966868">
            <w:pPr>
              <w:spacing w:after="0"/>
              <w:rPr>
                <w:rFonts w:eastAsia="Calibri" w:cs="Times New Roman"/>
                <w:b/>
                <w:sz w:val="16"/>
                <w:lang w:val="en-ZA"/>
              </w:rPr>
            </w:pPr>
            <w:r w:rsidRPr="00306AC8">
              <w:rPr>
                <w:rFonts w:eastAsia="Calibri" w:cs="Times New Roman"/>
                <w:b/>
                <w:sz w:val="16"/>
                <w:lang w:val="en-ZA"/>
              </w:rPr>
              <w:t>Weight</w:t>
            </w:r>
          </w:p>
          <w:p w14:paraId="26158901" w14:textId="6187DBBD" w:rsidR="00306BFF" w:rsidRPr="00306AC8" w:rsidRDefault="00367BFA" w:rsidP="00966868">
            <w:pPr>
              <w:spacing w:after="0"/>
              <w:rPr>
                <w:rFonts w:eastAsia="Calibri" w:cs="Times New Roman"/>
                <w:bCs/>
                <w:sz w:val="16"/>
                <w:lang w:val="en-ZA"/>
              </w:rPr>
            </w:pPr>
            <w:r>
              <w:rPr>
                <w:rFonts w:eastAsia="Calibri" w:cs="Times New Roman"/>
                <w:bCs/>
                <w:sz w:val="16"/>
                <w:lang w:val="en-ZA"/>
              </w:rPr>
              <w:t>(</w:t>
            </w:r>
            <w:r w:rsidR="00306BFF" w:rsidRPr="00306AC8">
              <w:rPr>
                <w:rFonts w:eastAsia="Calibri" w:cs="Times New Roman"/>
                <w:bCs/>
                <w:sz w:val="16"/>
                <w:lang w:val="en-ZA"/>
              </w:rPr>
              <w:t>kg</w:t>
            </w:r>
            <w:r>
              <w:rPr>
                <w:rFonts w:eastAsia="Calibri" w:cs="Times New Roman"/>
                <w:bCs/>
                <w:sz w:val="16"/>
                <w:lang w:val="en-ZA"/>
              </w:rPr>
              <w:t>)</w:t>
            </w:r>
          </w:p>
        </w:tc>
        <w:tc>
          <w:tcPr>
            <w:tcW w:w="1116" w:type="pct"/>
          </w:tcPr>
          <w:p w14:paraId="2335C14F" w14:textId="77777777" w:rsidR="00306BFF" w:rsidRPr="00306AC8" w:rsidRDefault="00306BFF" w:rsidP="00966868">
            <w:pPr>
              <w:spacing w:after="0"/>
              <w:rPr>
                <w:rFonts w:eastAsia="Calibri" w:cs="Times New Roman"/>
                <w:b/>
                <w:sz w:val="16"/>
                <w:lang w:val="en-ZA"/>
              </w:rPr>
            </w:pPr>
            <w:r w:rsidRPr="00306AC8">
              <w:rPr>
                <w:rFonts w:eastAsia="Calibri" w:cs="Times New Roman"/>
                <w:b/>
                <w:sz w:val="16"/>
                <w:lang w:val="en-ZA"/>
              </w:rPr>
              <w:t>Dose</w:t>
            </w:r>
          </w:p>
          <w:p w14:paraId="6045B449" w14:textId="053B5EF5" w:rsidR="00306BFF" w:rsidRPr="00306AC8" w:rsidRDefault="00367BFA" w:rsidP="00966868">
            <w:pPr>
              <w:spacing w:after="0"/>
              <w:rPr>
                <w:rFonts w:eastAsia="Calibri" w:cs="Times New Roman"/>
                <w:bCs/>
                <w:sz w:val="16"/>
                <w:lang w:val="en-ZA"/>
              </w:rPr>
            </w:pPr>
            <w:r>
              <w:rPr>
                <w:rFonts w:eastAsia="Calibri" w:cs="Times New Roman"/>
                <w:bCs/>
                <w:sz w:val="16"/>
                <w:lang w:val="en-ZA"/>
              </w:rPr>
              <w:t>(</w:t>
            </w:r>
            <w:r w:rsidR="00306BFF" w:rsidRPr="00306AC8">
              <w:rPr>
                <w:rFonts w:eastAsia="Calibri" w:cs="Times New Roman"/>
                <w:bCs/>
                <w:sz w:val="16"/>
                <w:lang w:val="en-ZA"/>
              </w:rPr>
              <w:t>mg</w:t>
            </w:r>
            <w:r>
              <w:rPr>
                <w:rFonts w:eastAsia="Calibri" w:cs="Times New Roman"/>
                <w:bCs/>
                <w:sz w:val="16"/>
                <w:lang w:val="en-ZA"/>
              </w:rPr>
              <w:t>)</w:t>
            </w:r>
          </w:p>
        </w:tc>
        <w:tc>
          <w:tcPr>
            <w:tcW w:w="1121" w:type="pct"/>
          </w:tcPr>
          <w:p w14:paraId="6D224463" w14:textId="77777777" w:rsidR="00306BFF" w:rsidRPr="00306AC8" w:rsidRDefault="00306BFF" w:rsidP="00966868">
            <w:pPr>
              <w:spacing w:after="0"/>
              <w:rPr>
                <w:rFonts w:eastAsia="Calibri" w:cs="Times New Roman"/>
                <w:b/>
                <w:sz w:val="16"/>
                <w:lang w:val="en-ZA"/>
              </w:rPr>
            </w:pPr>
            <w:r w:rsidRPr="00306AC8">
              <w:rPr>
                <w:rFonts w:eastAsia="Calibri" w:cs="Times New Roman"/>
                <w:b/>
                <w:sz w:val="16"/>
                <w:lang w:val="en-ZA"/>
              </w:rPr>
              <w:t>Tablet</w:t>
            </w:r>
          </w:p>
          <w:p w14:paraId="56A66B12" w14:textId="742944F9" w:rsidR="00306BFF" w:rsidRPr="00306AC8" w:rsidRDefault="00367BFA" w:rsidP="00966868">
            <w:pPr>
              <w:spacing w:after="0"/>
              <w:rPr>
                <w:rFonts w:eastAsia="Calibri" w:cs="Times New Roman"/>
                <w:bCs/>
                <w:sz w:val="16"/>
                <w:lang w:val="en-ZA"/>
              </w:rPr>
            </w:pPr>
            <w:r>
              <w:rPr>
                <w:rFonts w:eastAsia="Calibri" w:cs="Times New Roman"/>
                <w:bCs/>
                <w:sz w:val="16"/>
                <w:lang w:val="en-ZA"/>
              </w:rPr>
              <w:t>(</w:t>
            </w:r>
            <w:r w:rsidR="00306BFF" w:rsidRPr="00306AC8">
              <w:rPr>
                <w:rFonts w:eastAsia="Calibri" w:cs="Times New Roman"/>
                <w:bCs/>
                <w:sz w:val="16"/>
                <w:lang w:val="en-ZA"/>
              </w:rPr>
              <w:t>5 mg</w:t>
            </w:r>
            <w:r>
              <w:rPr>
                <w:rFonts w:eastAsia="Calibri" w:cs="Times New Roman"/>
                <w:bCs/>
                <w:sz w:val="16"/>
                <w:lang w:val="en-ZA"/>
              </w:rPr>
              <w:t>)</w:t>
            </w:r>
          </w:p>
        </w:tc>
        <w:tc>
          <w:tcPr>
            <w:tcW w:w="1466" w:type="pct"/>
          </w:tcPr>
          <w:p w14:paraId="49667AF7" w14:textId="77777777" w:rsidR="00306BFF" w:rsidRPr="00306AC8" w:rsidRDefault="00306BFF" w:rsidP="00966868">
            <w:pPr>
              <w:spacing w:after="0"/>
              <w:rPr>
                <w:rFonts w:eastAsia="Calibri" w:cs="Times New Roman"/>
                <w:b/>
                <w:sz w:val="16"/>
                <w:lang w:val="en-ZA"/>
              </w:rPr>
            </w:pPr>
            <w:r w:rsidRPr="00306AC8">
              <w:rPr>
                <w:rFonts w:eastAsia="Calibri" w:cs="Times New Roman"/>
                <w:b/>
                <w:sz w:val="16"/>
                <w:lang w:val="en-ZA"/>
              </w:rPr>
              <w:t>Age</w:t>
            </w:r>
          </w:p>
          <w:p w14:paraId="7B881F02" w14:textId="1EF29E99" w:rsidR="00306BFF" w:rsidRPr="00306AC8" w:rsidRDefault="00367BFA" w:rsidP="00966868">
            <w:pPr>
              <w:spacing w:after="0"/>
              <w:rPr>
                <w:rFonts w:eastAsia="Calibri" w:cs="Times New Roman"/>
                <w:bCs/>
                <w:sz w:val="16"/>
                <w:lang w:val="en-ZA"/>
              </w:rPr>
            </w:pPr>
            <w:r>
              <w:rPr>
                <w:rFonts w:eastAsia="Calibri" w:cs="Times New Roman"/>
                <w:bCs/>
                <w:sz w:val="16"/>
                <w:lang w:val="en-ZA"/>
              </w:rPr>
              <w:t>(</w:t>
            </w:r>
            <w:r w:rsidR="00306BFF" w:rsidRPr="00306AC8">
              <w:rPr>
                <w:rFonts w:eastAsia="Calibri" w:cs="Times New Roman"/>
                <w:bCs/>
                <w:sz w:val="16"/>
                <w:lang w:val="en-ZA"/>
              </w:rPr>
              <w:t>years</w:t>
            </w:r>
            <w:r>
              <w:rPr>
                <w:rFonts w:eastAsia="Calibri" w:cs="Times New Roman"/>
                <w:bCs/>
                <w:sz w:val="16"/>
                <w:lang w:val="en-ZA"/>
              </w:rPr>
              <w:t>)</w:t>
            </w:r>
          </w:p>
        </w:tc>
      </w:tr>
      <w:tr w:rsidR="00306BFF" w:rsidRPr="00306AC8" w14:paraId="375742BD" w14:textId="77777777" w:rsidTr="00966868">
        <w:tc>
          <w:tcPr>
            <w:tcW w:w="1298" w:type="pct"/>
          </w:tcPr>
          <w:p w14:paraId="040546C0"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&gt;11–14 kg</w:t>
            </w:r>
          </w:p>
        </w:tc>
        <w:tc>
          <w:tcPr>
            <w:tcW w:w="1116" w:type="pct"/>
          </w:tcPr>
          <w:p w14:paraId="5977DC83"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20 mg</w:t>
            </w:r>
          </w:p>
        </w:tc>
        <w:tc>
          <w:tcPr>
            <w:tcW w:w="1121" w:type="pct"/>
          </w:tcPr>
          <w:p w14:paraId="6653603C"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4 tablets</w:t>
            </w:r>
          </w:p>
        </w:tc>
        <w:tc>
          <w:tcPr>
            <w:tcW w:w="1466" w:type="pct"/>
          </w:tcPr>
          <w:p w14:paraId="279FC50D"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&gt;2–3 years</w:t>
            </w:r>
          </w:p>
        </w:tc>
      </w:tr>
      <w:tr w:rsidR="00306BFF" w:rsidRPr="00306AC8" w14:paraId="2AD1C2E3" w14:textId="77777777" w:rsidTr="00966868">
        <w:tc>
          <w:tcPr>
            <w:tcW w:w="1298" w:type="pct"/>
          </w:tcPr>
          <w:p w14:paraId="29A81D49"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&gt;14–17.5 kg</w:t>
            </w:r>
          </w:p>
        </w:tc>
        <w:tc>
          <w:tcPr>
            <w:tcW w:w="1116" w:type="pct"/>
          </w:tcPr>
          <w:p w14:paraId="31783E15"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30 mg</w:t>
            </w:r>
          </w:p>
        </w:tc>
        <w:tc>
          <w:tcPr>
            <w:tcW w:w="1121" w:type="pct"/>
          </w:tcPr>
          <w:p w14:paraId="6CF266D2"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6 tablets</w:t>
            </w:r>
          </w:p>
        </w:tc>
        <w:tc>
          <w:tcPr>
            <w:tcW w:w="1466" w:type="pct"/>
          </w:tcPr>
          <w:p w14:paraId="2A5F7329"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&gt;3–5 years</w:t>
            </w:r>
          </w:p>
        </w:tc>
      </w:tr>
      <w:tr w:rsidR="00306BFF" w:rsidRPr="00306AC8" w14:paraId="7160259B" w14:textId="77777777" w:rsidTr="00966868">
        <w:tc>
          <w:tcPr>
            <w:tcW w:w="1298" w:type="pct"/>
          </w:tcPr>
          <w:p w14:paraId="4C2E53E2"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 xml:space="preserve">&gt;17.5 kg </w:t>
            </w:r>
          </w:p>
        </w:tc>
        <w:tc>
          <w:tcPr>
            <w:tcW w:w="1116" w:type="pct"/>
          </w:tcPr>
          <w:p w14:paraId="2854E1A4"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40 mg</w:t>
            </w:r>
          </w:p>
        </w:tc>
        <w:tc>
          <w:tcPr>
            <w:tcW w:w="1121" w:type="pct"/>
          </w:tcPr>
          <w:p w14:paraId="5B611091" w14:textId="77777777" w:rsidR="00306BFF" w:rsidRPr="00306AC8" w:rsidRDefault="00306BFF" w:rsidP="00966868">
            <w:pPr>
              <w:spacing w:after="0"/>
              <w:rPr>
                <w:rFonts w:eastAsia="Calibri" w:cs="Times New Roman"/>
                <w:sz w:val="16"/>
                <w:lang w:val="en-ZA"/>
              </w:rPr>
            </w:pPr>
            <w:r w:rsidRPr="00306AC8">
              <w:rPr>
                <w:rFonts w:eastAsia="Calibri" w:cs="Times New Roman"/>
                <w:sz w:val="16"/>
                <w:lang w:val="en-ZA"/>
              </w:rPr>
              <w:t>8 tablets</w:t>
            </w:r>
          </w:p>
        </w:tc>
        <w:tc>
          <w:tcPr>
            <w:tcW w:w="1466" w:type="pct"/>
          </w:tcPr>
          <w:p w14:paraId="35C56929" w14:textId="2E7303FF" w:rsidR="00306BFF" w:rsidRPr="00306AC8" w:rsidRDefault="00306BFF" w:rsidP="00966868">
            <w:pPr>
              <w:spacing w:after="0"/>
              <w:rPr>
                <w:rFonts w:eastAsia="Calibri" w:cs="Times New Roman"/>
                <w:sz w:val="16"/>
                <w:lang w:val="en-ZA"/>
              </w:rPr>
            </w:pPr>
            <w:r w:rsidRPr="00306AC8">
              <w:rPr>
                <w:rFonts w:eastAsia="Calibri" w:cs="Times New Roman"/>
                <w:sz w:val="16"/>
                <w:lang w:val="en-ZA"/>
              </w:rPr>
              <w:t>&gt;5 years</w:t>
            </w:r>
          </w:p>
        </w:tc>
      </w:tr>
    </w:tbl>
    <w:p w14:paraId="6ED6BED2" w14:textId="77777777" w:rsidR="00306BFF" w:rsidRPr="00D34C59" w:rsidRDefault="00306BFF" w:rsidP="00306BFF">
      <w:pPr>
        <w:pStyle w:val="Heading6"/>
        <w:rPr>
          <w:u w:val="single"/>
        </w:rPr>
      </w:pPr>
      <w:r w:rsidRPr="00D34C59">
        <w:rPr>
          <w:u w:val="single"/>
        </w:rPr>
        <w:t>Severe attacks (while awaiting referral)</w:t>
      </w:r>
    </w:p>
    <w:p w14:paraId="3F638336" w14:textId="30673A80" w:rsidR="00306BFF" w:rsidRPr="00FA2DDA" w:rsidRDefault="00306BFF" w:rsidP="008542CC">
      <w:pPr>
        <w:pStyle w:val="BulletTherapeuticclass"/>
        <w:numPr>
          <w:ilvl w:val="0"/>
          <w:numId w:val="47"/>
        </w:numPr>
      </w:pPr>
      <w:r w:rsidRPr="00FA2DDA">
        <w:t>Oxygen</w:t>
      </w:r>
      <w:r w:rsidR="00B610B4">
        <w:t xml:space="preserve"> to</w:t>
      </w:r>
      <w:r w:rsidR="00B610B4" w:rsidRPr="00EF151A">
        <w:t xml:space="preserve"> keep</w:t>
      </w:r>
      <w:r w:rsidR="00B610B4">
        <w:t xml:space="preserve"> </w:t>
      </w:r>
      <w:r w:rsidR="00B610B4" w:rsidRPr="00EF151A">
        <w:t>oxygen saturation 93</w:t>
      </w:r>
      <w:r w:rsidR="007277E7" w:rsidRPr="007277E7">
        <w:t xml:space="preserve"> </w:t>
      </w:r>
      <w:r w:rsidR="007277E7">
        <w:t xml:space="preserve">to </w:t>
      </w:r>
      <w:r w:rsidR="00B610B4" w:rsidRPr="00EF151A">
        <w:t>95%</w:t>
      </w:r>
      <w:r>
        <w:fldChar w:fldCharType="begin"/>
      </w:r>
      <w:r w:rsidRPr="00FA2DDA">
        <w:instrText xml:space="preserve"> XE "Oxygen" \f "m" </w:instrText>
      </w:r>
      <w:r>
        <w:fldChar w:fldCharType="end"/>
      </w:r>
      <w:r w:rsidR="00BB57CF">
        <w:t>.</w:t>
      </w:r>
    </w:p>
    <w:p w14:paraId="1D2A5E27" w14:textId="6FF24038" w:rsidR="00306BFF" w:rsidRPr="009E7BB6" w:rsidRDefault="00306BFF" w:rsidP="00306BFF">
      <w:pPr>
        <w:pStyle w:val="NoSpacing"/>
        <w:rPr>
          <w:rStyle w:val="Strong"/>
        </w:rPr>
      </w:pPr>
      <w:r w:rsidRPr="009E7BB6">
        <w:rPr>
          <w:rStyle w:val="Strong"/>
        </w:rPr>
        <w:t>AND</w:t>
      </w:r>
    </w:p>
    <w:p w14:paraId="7D6AD289" w14:textId="5CBB245A" w:rsidR="00306BFF" w:rsidRDefault="00306BFF" w:rsidP="008542CC">
      <w:pPr>
        <w:pStyle w:val="BulletMedicine"/>
        <w:numPr>
          <w:ilvl w:val="0"/>
          <w:numId w:val="48"/>
        </w:numPr>
      </w:pPr>
      <w:r w:rsidRPr="001F4BAA">
        <w:t>Salbutamol 0.5%</w:t>
      </w:r>
      <w:r>
        <w:t xml:space="preserve"> (5mg/mL) nebuliser</w:t>
      </w:r>
      <w:r w:rsidRPr="001F4BAA">
        <w:t xml:space="preserve"> solution</w:t>
      </w:r>
      <w:r>
        <w:fldChar w:fldCharType="begin"/>
      </w:r>
      <w:r>
        <w:instrText xml:space="preserve"> XE "Salbutamol 0.5%, solution" \f "m" </w:instrText>
      </w:r>
      <w:r>
        <w:fldChar w:fldCharType="end"/>
      </w:r>
      <w:r w:rsidRPr="001F4BAA">
        <w:t>,</w:t>
      </w:r>
    </w:p>
    <w:p w14:paraId="5713D6DF" w14:textId="033C0404" w:rsidR="00306BFF" w:rsidRPr="003E05EB" w:rsidRDefault="00306BFF" w:rsidP="00306BFF">
      <w:pPr>
        <w:pStyle w:val="BulletDirectionsInstructions"/>
      </w:pPr>
      <w:r w:rsidRPr="003E05EB">
        <w:t>0.5–1 mL (2.5</w:t>
      </w:r>
      <w:r w:rsidR="007277E7" w:rsidRPr="007277E7">
        <w:t xml:space="preserve"> </w:t>
      </w:r>
      <w:r w:rsidR="007277E7">
        <w:t xml:space="preserve">to </w:t>
      </w:r>
      <w:r w:rsidRPr="003E05EB">
        <w:t xml:space="preserve">5 mg) salbutamol 0.5% solution, </w:t>
      </w:r>
      <w:r w:rsidR="00FF78BF">
        <w:t>made up to</w:t>
      </w:r>
      <w:r w:rsidRPr="003E05EB">
        <w:t xml:space="preserve"> 4 mL </w:t>
      </w:r>
      <w:r w:rsidR="00FF78BF">
        <w:t>with sodium chloride 0.9%</w:t>
      </w:r>
      <w:r w:rsidRPr="003E05EB">
        <w:t>, preferably delivered at a flow rate of 8 L/min with oxygen.</w:t>
      </w:r>
    </w:p>
    <w:p w14:paraId="2F27131D" w14:textId="3072B3D1" w:rsidR="00306BFF" w:rsidRPr="003E05EB" w:rsidRDefault="00306BFF" w:rsidP="00306BFF">
      <w:pPr>
        <w:pStyle w:val="BulletDirectionsInstructions"/>
      </w:pPr>
      <w:r w:rsidRPr="003E05EB">
        <w:t>If no relief, repeat every 20</w:t>
      </w:r>
      <w:r w:rsidR="007277E7" w:rsidRPr="007277E7">
        <w:t xml:space="preserve"> </w:t>
      </w:r>
      <w:r w:rsidR="007277E7">
        <w:t xml:space="preserve">to </w:t>
      </w:r>
      <w:r w:rsidRPr="003E05EB">
        <w:t>30 minutes depending on clinical response</w:t>
      </w:r>
      <w:r w:rsidR="000F03F8">
        <w:t>.</w:t>
      </w:r>
    </w:p>
    <w:p w14:paraId="04E67E51" w14:textId="77777777" w:rsidR="00306BFF" w:rsidRPr="009E7BB6" w:rsidRDefault="00306BFF" w:rsidP="00306BFF">
      <w:pPr>
        <w:pStyle w:val="NoSpacing"/>
        <w:rPr>
          <w:rStyle w:val="Strong"/>
        </w:rPr>
      </w:pPr>
      <w:r w:rsidRPr="009E7BB6">
        <w:rPr>
          <w:rStyle w:val="Strong"/>
        </w:rPr>
        <w:t>OR</w:t>
      </w:r>
    </w:p>
    <w:p w14:paraId="198895DC" w14:textId="316236C5" w:rsidR="00306BFF" w:rsidRDefault="00306BFF" w:rsidP="008542CC">
      <w:pPr>
        <w:pStyle w:val="BulletMedicine"/>
        <w:numPr>
          <w:ilvl w:val="0"/>
          <w:numId w:val="49"/>
        </w:numPr>
      </w:pPr>
      <w:r w:rsidRPr="001F4BAA">
        <w:t>Salbutamol, inhalation</w:t>
      </w:r>
      <w:r>
        <w:fldChar w:fldCharType="begin"/>
      </w:r>
      <w:r>
        <w:instrText xml:space="preserve"> XE "Salbutamol, inhaler" \f "m" </w:instrText>
      </w:r>
      <w:r>
        <w:fldChar w:fldCharType="end"/>
      </w:r>
      <w:r w:rsidRPr="001F4BAA">
        <w:t xml:space="preserve"> using a</w:t>
      </w:r>
      <w:r w:rsidR="00806EF6">
        <w:t>n</w:t>
      </w:r>
      <w:r w:rsidRPr="001F4BAA">
        <w:t xml:space="preserve"> MDI, </w:t>
      </w:r>
    </w:p>
    <w:p w14:paraId="6B0FF3F3" w14:textId="4DCD71E1" w:rsidR="00306BFF" w:rsidRPr="003E05EB" w:rsidRDefault="00306BFF" w:rsidP="00306BFF">
      <w:pPr>
        <w:pStyle w:val="BulletDirectionsInstructions"/>
      </w:pPr>
      <w:r w:rsidRPr="003E05EB">
        <w:t>Salbutamol, 400</w:t>
      </w:r>
      <w:r w:rsidR="007277E7" w:rsidRPr="007277E7">
        <w:t xml:space="preserve"> </w:t>
      </w:r>
      <w:r w:rsidR="007277E7">
        <w:t xml:space="preserve">to </w:t>
      </w:r>
      <w:r w:rsidRPr="003E05EB">
        <w:t>1000 mcg (4</w:t>
      </w:r>
      <w:r w:rsidR="007277E7" w:rsidRPr="007277E7">
        <w:t xml:space="preserve"> </w:t>
      </w:r>
      <w:r w:rsidR="007277E7">
        <w:t xml:space="preserve">to </w:t>
      </w:r>
      <w:r w:rsidRPr="003E05EB">
        <w:t>10 puffs), using a spacer.</w:t>
      </w:r>
    </w:p>
    <w:p w14:paraId="5E0EB334" w14:textId="5D96950F" w:rsidR="00306BFF" w:rsidRPr="003E05EB" w:rsidRDefault="00306BFF" w:rsidP="00306BFF">
      <w:pPr>
        <w:pStyle w:val="BulletDirectionsInstructions"/>
      </w:pPr>
      <w:r w:rsidRPr="003E05EB">
        <w:t xml:space="preserve">For children </w:t>
      </w:r>
      <w:r w:rsidR="000F03F8" w:rsidRPr="00DD25B2">
        <w:t>≥</w:t>
      </w:r>
      <w:r w:rsidRPr="003E05EB">
        <w:t>3 years, use a space</w:t>
      </w:r>
      <w:r w:rsidR="007E7542">
        <w:t>r</w:t>
      </w:r>
      <w:r w:rsidRPr="003E05EB">
        <w:t xml:space="preserve"> with a mouthpiece.</w:t>
      </w:r>
    </w:p>
    <w:p w14:paraId="74FDAA87" w14:textId="03A7CAF7" w:rsidR="00306BFF" w:rsidRPr="003E05EB" w:rsidRDefault="00306BFF" w:rsidP="00306BFF">
      <w:pPr>
        <w:pStyle w:val="BulletDirectionsInstructions"/>
      </w:pPr>
      <w:r w:rsidRPr="003E05EB">
        <w:t xml:space="preserve">If child </w:t>
      </w:r>
      <w:r w:rsidR="007277E7">
        <w:t>&lt;</w:t>
      </w:r>
      <w:r w:rsidRPr="003E05EB">
        <w:t>3 years of age, use a mask attached to the spacer. Apply the mask to the face to create a seal so that the child breathes through the spacer.</w:t>
      </w:r>
    </w:p>
    <w:p w14:paraId="4283F8AD" w14:textId="3E2E6445" w:rsidR="00306BFF" w:rsidRPr="003E05EB" w:rsidRDefault="00306BFF" w:rsidP="00306BFF">
      <w:pPr>
        <w:pStyle w:val="BulletDirectionsInstructions"/>
      </w:pPr>
      <w:r w:rsidRPr="003E05EB">
        <w:t>Inhale one puff at a time. Use a single breath inhalation technique.</w:t>
      </w:r>
      <w:r w:rsidR="007E7542">
        <w:t xml:space="preserve"> </w:t>
      </w:r>
      <w:r w:rsidRPr="003E05EB">
        <w:t>If single inhalation technique not possible, allow for 6 breaths through the spacer between puffs.</w:t>
      </w:r>
    </w:p>
    <w:p w14:paraId="5BE7D399" w14:textId="57222AE3" w:rsidR="00306BFF" w:rsidRPr="003E05EB" w:rsidRDefault="00306BFF" w:rsidP="00306BFF">
      <w:pPr>
        <w:pStyle w:val="BulletDirectionsInstructions"/>
      </w:pPr>
      <w:r w:rsidRPr="003E05EB">
        <w:t>If no relief, repeat every 20</w:t>
      </w:r>
      <w:r w:rsidR="007277E7" w:rsidRPr="007277E7">
        <w:t xml:space="preserve"> </w:t>
      </w:r>
      <w:r w:rsidR="007277E7">
        <w:t xml:space="preserve">to </w:t>
      </w:r>
      <w:r w:rsidRPr="003E05EB">
        <w:t>30 minutes depending on clinical response.</w:t>
      </w:r>
    </w:p>
    <w:p w14:paraId="2A9FB708" w14:textId="77777777" w:rsidR="00306BFF" w:rsidRPr="00B82DDD" w:rsidRDefault="00306BFF" w:rsidP="00306BFF">
      <w:pPr>
        <w:spacing w:after="160" w:line="259" w:lineRule="auto"/>
        <w:rPr>
          <w:rFonts w:eastAsia="Calibri" w:cs="Times New Roman"/>
          <w:lang w:val="en-ZA"/>
        </w:rPr>
      </w:pPr>
      <w:r w:rsidRPr="00B82DDD">
        <w:rPr>
          <w:rFonts w:eastAsia="Calibri" w:cs="Times New Roman"/>
          <w:b/>
          <w:bCs/>
          <w:lang w:val="en-ZA"/>
        </w:rPr>
        <w:t>Note:</w:t>
      </w:r>
      <w:r w:rsidRPr="00B82DDD">
        <w:rPr>
          <w:rFonts w:eastAsia="Calibri" w:cs="Times New Roman"/>
          <w:lang w:val="en-ZA"/>
        </w:rPr>
        <w:t xml:space="preserve"> Administering salbutamol via a spacer is as effective as, and cheaper than, using a nebuliser.</w:t>
      </w:r>
    </w:p>
    <w:p w14:paraId="4C3D69C7" w14:textId="77777777" w:rsidR="00306BFF" w:rsidRPr="00784EC8" w:rsidRDefault="00306BFF" w:rsidP="00306BFF">
      <w:pPr>
        <w:spacing w:before="0" w:after="0"/>
        <w:rPr>
          <w:rFonts w:eastAsia="Calibri" w:cs="Times New Roman"/>
          <w:b/>
          <w:bCs/>
          <w:u w:val="single"/>
          <w:lang w:val="en-ZA"/>
        </w:rPr>
      </w:pPr>
      <w:r w:rsidRPr="00784EC8">
        <w:rPr>
          <w:rFonts w:eastAsia="Calibri" w:cs="Times New Roman"/>
          <w:u w:val="single"/>
          <w:lang w:val="en-ZA"/>
        </w:rPr>
        <w:t>If poor response after first salbutamol nebulisation/inhalation:</w:t>
      </w:r>
    </w:p>
    <w:tbl>
      <w:tblPr>
        <w:tblpPr w:leftFromText="180" w:rightFromText="180" w:vertAnchor="text" w:horzAnchor="margin" w:tblpXSpec="right" w:tblpY="70"/>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5636C1" w:rsidRPr="00152C68" w14:paraId="1D4E3318" w14:textId="77777777" w:rsidTr="005636C1">
        <w:tc>
          <w:tcPr>
            <w:tcW w:w="907" w:type="dxa"/>
          </w:tcPr>
          <w:p w14:paraId="5CF77B9E" w14:textId="77777777" w:rsidR="005636C1" w:rsidRPr="002344FD" w:rsidRDefault="005636C1" w:rsidP="005636C1">
            <w:pPr>
              <w:spacing w:before="0" w:after="0"/>
              <w:jc w:val="right"/>
              <w:rPr>
                <w:rFonts w:eastAsia="Calibri" w:cs="Times New Roman"/>
                <w:i/>
                <w:sz w:val="14"/>
                <w:szCs w:val="14"/>
                <w:lang w:val="en-ZA"/>
              </w:rPr>
            </w:pPr>
            <w:r w:rsidRPr="002344FD">
              <w:rPr>
                <w:rFonts w:eastAsia="Calibri" w:cs="Times New Roman"/>
                <w:i/>
                <w:sz w:val="14"/>
                <w:szCs w:val="14"/>
                <w:lang w:val="en-ZA"/>
              </w:rPr>
              <w:t>LoE:IIb</w:t>
            </w:r>
            <w:r w:rsidRPr="002344FD">
              <w:rPr>
                <w:rFonts w:eastAsia="Calibri" w:cs="Times New Roman"/>
                <w:i/>
                <w:sz w:val="14"/>
                <w:szCs w:val="14"/>
                <w:vertAlign w:val="superscript"/>
                <w:lang w:val="en-ZA"/>
              </w:rPr>
              <w:endnoteReference w:id="7"/>
            </w:r>
          </w:p>
        </w:tc>
      </w:tr>
    </w:tbl>
    <w:p w14:paraId="6B0FC6CA" w14:textId="77777777" w:rsidR="00306BFF" w:rsidRPr="00152C68" w:rsidRDefault="00306BFF" w:rsidP="00306BFF">
      <w:pPr>
        <w:spacing w:before="0" w:after="0"/>
        <w:rPr>
          <w:rFonts w:eastAsia="Calibri" w:cs="Times New Roman"/>
          <w:lang w:val="en-ZA"/>
        </w:rPr>
      </w:pPr>
      <w:r w:rsidRPr="00152C68">
        <w:rPr>
          <w:rFonts w:eastAsia="Calibri" w:cs="Times New Roman"/>
          <w:b/>
          <w:bCs/>
          <w:lang w:val="en-ZA"/>
        </w:rPr>
        <w:t>ADD</w:t>
      </w:r>
    </w:p>
    <w:p w14:paraId="4F7C6AE9" w14:textId="2C091406" w:rsidR="00306BFF" w:rsidRPr="00152C68" w:rsidRDefault="00306BFF" w:rsidP="008542CC">
      <w:pPr>
        <w:pStyle w:val="BulletMedicine"/>
        <w:numPr>
          <w:ilvl w:val="0"/>
          <w:numId w:val="50"/>
        </w:numPr>
      </w:pPr>
      <w:r w:rsidRPr="00152C68">
        <w:t xml:space="preserve">Ipratropium bromide </w:t>
      </w:r>
      <w:r>
        <w:t>0.25</w:t>
      </w:r>
      <w:r w:rsidR="00AC741B">
        <w:t xml:space="preserve"> </w:t>
      </w:r>
      <w:r>
        <w:t>m</w:t>
      </w:r>
      <w:r w:rsidRPr="00152C68">
        <w:t xml:space="preserve">g/2ml; nebuliser </w:t>
      </w:r>
      <w:r w:rsidRPr="00152C68">
        <w:fldChar w:fldCharType="begin"/>
      </w:r>
      <w:r w:rsidRPr="00152C68">
        <w:instrText xml:space="preserve"> XE "Ipratropium bromide, inhalant solution" \f "m" </w:instrText>
      </w:r>
      <w:r w:rsidRPr="00152C68">
        <w:fldChar w:fldCharType="end"/>
      </w:r>
      <w:r w:rsidRPr="00152C68">
        <w:t>solution</w:t>
      </w:r>
      <w:r w:rsidR="000E376E">
        <w:t>.</w:t>
      </w:r>
    </w:p>
    <w:p w14:paraId="04D040A7" w14:textId="672BB53B" w:rsidR="00FF78BF" w:rsidRDefault="00306BFF" w:rsidP="00306BFF">
      <w:pPr>
        <w:pStyle w:val="BulletDirectionsInstructions"/>
      </w:pPr>
      <w:r w:rsidRPr="003E05EB">
        <w:t>Ipratropium bromide, 2</w:t>
      </w:r>
      <w:r w:rsidR="004F0012">
        <w:t xml:space="preserve"> </w:t>
      </w:r>
      <w:r w:rsidRPr="003E05EB">
        <w:t>mL (0.25 mg) solution</w:t>
      </w:r>
      <w:r w:rsidRPr="003E05EB">
        <w:fldChar w:fldCharType="begin"/>
      </w:r>
      <w:r w:rsidRPr="003E05EB">
        <w:instrText xml:space="preserve"> XE "Ipratropium bromide, inhalant solution" \f "m"</w:instrText>
      </w:r>
      <w:r w:rsidRPr="003E05EB">
        <w:fldChar w:fldCharType="end"/>
      </w:r>
      <w:r w:rsidRPr="003E05EB">
        <w:t xml:space="preserve">, nebulised with salbutamol </w:t>
      </w:r>
      <w:r>
        <w:t>0.5 mL (2.5</w:t>
      </w:r>
      <w:r w:rsidR="00B768A2">
        <w:t xml:space="preserve"> </w:t>
      </w:r>
      <w:r>
        <w:t xml:space="preserve">mg) </w:t>
      </w:r>
      <w:r w:rsidR="00FF78BF">
        <w:t>and made up to 4</w:t>
      </w:r>
      <w:r w:rsidR="00B768A2">
        <w:t xml:space="preserve"> </w:t>
      </w:r>
      <w:r w:rsidR="00FF78BF">
        <w:t>mL with</w:t>
      </w:r>
      <w:r>
        <w:t xml:space="preserve"> sodium chloride</w:t>
      </w:r>
      <w:r w:rsidR="007E7542">
        <w:t xml:space="preserve"> 0.9%</w:t>
      </w:r>
      <w:r w:rsidR="00FF78BF">
        <w:t>.</w:t>
      </w:r>
    </w:p>
    <w:p w14:paraId="731E4030" w14:textId="54D43967" w:rsidR="00306BFF" w:rsidRPr="007B56F3" w:rsidRDefault="00FF78BF" w:rsidP="00306BFF">
      <w:pPr>
        <w:pStyle w:val="BulletDirectionsInstructions"/>
      </w:pPr>
      <w:r>
        <w:t>Administer</w:t>
      </w:r>
      <w:r w:rsidR="00306BFF">
        <w:t xml:space="preserve"> </w:t>
      </w:r>
      <w:r w:rsidR="00306BFF" w:rsidRPr="007B56F3">
        <w:t>every 20</w:t>
      </w:r>
      <w:r w:rsidR="007277E7" w:rsidRPr="007277E7">
        <w:t xml:space="preserve"> </w:t>
      </w:r>
      <w:r w:rsidR="007277E7">
        <w:t xml:space="preserve">to </w:t>
      </w:r>
      <w:r w:rsidR="00306BFF" w:rsidRPr="007B56F3">
        <w:t>30 minutes depending on clinical response for 4 doses over 2 hours.</w:t>
      </w:r>
    </w:p>
    <w:p w14:paraId="27ADE6B8" w14:textId="77777777" w:rsidR="00306BFF" w:rsidRPr="00152C68" w:rsidRDefault="00306BFF" w:rsidP="00306BFF">
      <w:pPr>
        <w:spacing w:before="0" w:after="0"/>
        <w:rPr>
          <w:rFonts w:eastAsia="Calibri" w:cs="Times New Roman"/>
          <w:b/>
          <w:bCs/>
          <w:lang w:val="en-ZA"/>
        </w:rPr>
      </w:pPr>
      <w:r w:rsidRPr="00152C68">
        <w:rPr>
          <w:rFonts w:eastAsia="Calibri" w:cs="Times New Roman"/>
          <w:b/>
          <w:bCs/>
          <w:lang w:val="en-ZA"/>
        </w:rPr>
        <w:t>OR</w:t>
      </w:r>
    </w:p>
    <w:p w14:paraId="3014A123" w14:textId="7A92117C" w:rsidR="00306BFF" w:rsidRPr="0010624F" w:rsidRDefault="00306BFF" w:rsidP="008542CC">
      <w:pPr>
        <w:pStyle w:val="BulletMedicine"/>
        <w:numPr>
          <w:ilvl w:val="0"/>
          <w:numId w:val="50"/>
        </w:numPr>
        <w:rPr>
          <w:b/>
          <w:bCs/>
        </w:rPr>
      </w:pPr>
      <w:r w:rsidRPr="0010624F">
        <w:t>Ipratroprium bromide,</w:t>
      </w:r>
      <w:r w:rsidRPr="0010624F">
        <w:fldChar w:fldCharType="begin"/>
      </w:r>
      <w:r w:rsidRPr="0010624F">
        <w:instrText xml:space="preserve"> XE "Ipratropium bromide, inhaler" \f "m" </w:instrText>
      </w:r>
      <w:r w:rsidRPr="0010624F">
        <w:fldChar w:fldCharType="end"/>
      </w:r>
      <w:r w:rsidR="005636C1">
        <w:t xml:space="preserve"> MDI, 80</w:t>
      </w:r>
      <w:r w:rsidR="007277E7" w:rsidRPr="007277E7">
        <w:t xml:space="preserve"> </w:t>
      </w:r>
      <w:r w:rsidR="007277E7">
        <w:t xml:space="preserve">to </w:t>
      </w:r>
      <w:r w:rsidR="005636C1">
        <w:t>160 mcg (2</w:t>
      </w:r>
      <w:r w:rsidR="007277E7" w:rsidRPr="007277E7">
        <w:t xml:space="preserve"> </w:t>
      </w:r>
      <w:r w:rsidR="007277E7">
        <w:t xml:space="preserve">to </w:t>
      </w:r>
      <w:r w:rsidR="005636C1">
        <w:t xml:space="preserve">4 </w:t>
      </w:r>
      <w:r w:rsidRPr="0010624F">
        <w:t>puffs), using a spacer every 20–30 minutes as needed for up to 3 hours</w:t>
      </w:r>
      <w:r w:rsidR="00B768A2">
        <w:t>.</w:t>
      </w:r>
    </w:p>
    <w:p w14:paraId="36EA6193" w14:textId="77777777" w:rsidR="00306BFF" w:rsidRPr="009E7BB6" w:rsidRDefault="00306BFF" w:rsidP="00306BFF">
      <w:pPr>
        <w:pStyle w:val="NoSpacing"/>
        <w:rPr>
          <w:rStyle w:val="Strong"/>
        </w:rPr>
      </w:pPr>
      <w:r w:rsidRPr="009E7BB6">
        <w:rPr>
          <w:rStyle w:val="Strong"/>
        </w:rPr>
        <w:t>AND</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1F4BAA" w14:paraId="28BFD9BC" w14:textId="77777777" w:rsidTr="00966868">
        <w:tc>
          <w:tcPr>
            <w:tcW w:w="907" w:type="dxa"/>
          </w:tcPr>
          <w:p w14:paraId="58AE109A" w14:textId="77777777" w:rsidR="00306BFF" w:rsidRPr="002344FD" w:rsidRDefault="00306BFF" w:rsidP="00966868">
            <w:pPr>
              <w:pStyle w:val="LoEText"/>
              <w:framePr w:hSpace="0" w:wrap="auto" w:vAnchor="margin" w:hAnchor="text" w:xAlign="left" w:yAlign="inline"/>
              <w:suppressOverlap w:val="0"/>
              <w:rPr>
                <w:sz w:val="14"/>
                <w:szCs w:val="14"/>
              </w:rPr>
            </w:pPr>
            <w:r w:rsidRPr="002344FD">
              <w:rPr>
                <w:sz w:val="14"/>
                <w:szCs w:val="14"/>
              </w:rPr>
              <w:lastRenderedPageBreak/>
              <w:t>LoE:IVb</w:t>
            </w:r>
            <w:r w:rsidRPr="002344FD">
              <w:rPr>
                <w:rStyle w:val="EndnoteReference8"/>
                <w:sz w:val="14"/>
                <w:szCs w:val="14"/>
              </w:rPr>
              <w:endnoteReference w:id="8"/>
            </w:r>
          </w:p>
        </w:tc>
      </w:tr>
    </w:tbl>
    <w:p w14:paraId="6310C973" w14:textId="3737A432" w:rsidR="00306BFF" w:rsidRDefault="00306BFF" w:rsidP="00306BFF">
      <w:pPr>
        <w:pStyle w:val="BulletTherapeuticclass"/>
      </w:pPr>
      <w:r w:rsidRPr="001F4BAA">
        <w:lastRenderedPageBreak/>
        <w:t>Corticosteroids (intermediate-acting)</w:t>
      </w:r>
      <w:r>
        <w:fldChar w:fldCharType="begin"/>
      </w:r>
      <w:r>
        <w:instrText xml:space="preserve"> XE "Corticosteroids (intermediate-acting)" \f "m" </w:instrText>
      </w:r>
      <w:r>
        <w:fldChar w:fldCharType="end"/>
      </w:r>
      <w:r w:rsidR="00B768A2">
        <w:t>,</w:t>
      </w:r>
      <w:r w:rsidRPr="001F4BAA">
        <w:t xml:space="preserve"> e.g.:</w:t>
      </w:r>
    </w:p>
    <w:p w14:paraId="0B68DA7E" w14:textId="50B5C10D" w:rsidR="00306BFF" w:rsidRPr="00152C68" w:rsidRDefault="00306BFF" w:rsidP="00176697">
      <w:pPr>
        <w:pStyle w:val="BulletMedicine"/>
        <w:numPr>
          <w:ilvl w:val="0"/>
          <w:numId w:val="56"/>
        </w:numPr>
        <w:spacing w:after="120"/>
      </w:pPr>
      <w:r w:rsidRPr="00152C68">
        <w:t>Prednisone, oral</w:t>
      </w:r>
      <w:r w:rsidRPr="00152C68">
        <w:fldChar w:fldCharType="begin"/>
      </w:r>
      <w:r w:rsidRPr="00152C68">
        <w:instrText xml:space="preserve"> XE "Prednisone, oral" \f "m"</w:instrText>
      </w:r>
      <w:r w:rsidRPr="00152C68">
        <w:fldChar w:fldCharType="end"/>
      </w:r>
      <w:r w:rsidRPr="00152C68">
        <w:t>, 1</w:t>
      </w:r>
      <w:r w:rsidR="007277E7" w:rsidRPr="007277E7">
        <w:t xml:space="preserve"> </w:t>
      </w:r>
      <w:r w:rsidR="007277E7">
        <w:t xml:space="preserve">to </w:t>
      </w:r>
      <w:r w:rsidRPr="00152C68">
        <w:t>2 mg/kg immediately and follow with same dose for 7 days:</w:t>
      </w:r>
    </w:p>
    <w:tbl>
      <w:tblPr>
        <w:tblW w:w="3773" w:type="pct"/>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
        <w:gridCol w:w="1166"/>
        <w:gridCol w:w="1080"/>
        <w:gridCol w:w="1710"/>
      </w:tblGrid>
      <w:tr w:rsidR="00306BFF" w:rsidRPr="00152C68" w14:paraId="194DAE73" w14:textId="77777777" w:rsidTr="006842EB">
        <w:tc>
          <w:tcPr>
            <w:tcW w:w="1075" w:type="pct"/>
            <w:shd w:val="clear" w:color="auto" w:fill="BFBFBF" w:themeFill="background1" w:themeFillShade="BF"/>
          </w:tcPr>
          <w:p w14:paraId="5092BA5C" w14:textId="77777777" w:rsidR="00306BFF" w:rsidRPr="00152C68" w:rsidRDefault="00306BFF" w:rsidP="006842EB">
            <w:pPr>
              <w:spacing w:after="0"/>
              <w:jc w:val="center"/>
              <w:rPr>
                <w:rFonts w:eastAsia="Calibri" w:cs="Times New Roman"/>
                <w:b/>
                <w:sz w:val="16"/>
                <w:lang w:val="en-ZA"/>
              </w:rPr>
            </w:pPr>
            <w:r w:rsidRPr="00152C68">
              <w:rPr>
                <w:rFonts w:eastAsia="Calibri" w:cs="Times New Roman"/>
                <w:b/>
                <w:sz w:val="16"/>
                <w:lang w:val="en-ZA"/>
              </w:rPr>
              <w:t>Weight</w:t>
            </w:r>
          </w:p>
          <w:p w14:paraId="28044A2B" w14:textId="3FE67F92" w:rsidR="00306BFF" w:rsidRPr="00152C68" w:rsidRDefault="00B768A2" w:rsidP="006842EB">
            <w:pPr>
              <w:spacing w:after="0"/>
              <w:jc w:val="center"/>
              <w:rPr>
                <w:rFonts w:eastAsia="Calibri" w:cs="Times New Roman"/>
                <w:bCs/>
                <w:sz w:val="16"/>
                <w:lang w:val="en-ZA"/>
              </w:rPr>
            </w:pPr>
            <w:r>
              <w:rPr>
                <w:rFonts w:eastAsia="Calibri" w:cs="Times New Roman"/>
                <w:bCs/>
                <w:sz w:val="16"/>
                <w:lang w:val="en-ZA"/>
              </w:rPr>
              <w:t>(k</w:t>
            </w:r>
            <w:r w:rsidR="00306BFF" w:rsidRPr="00152C68">
              <w:rPr>
                <w:rFonts w:eastAsia="Calibri" w:cs="Times New Roman"/>
                <w:bCs/>
                <w:sz w:val="16"/>
                <w:lang w:val="en-ZA"/>
              </w:rPr>
              <w:t>g</w:t>
            </w:r>
            <w:r>
              <w:rPr>
                <w:rFonts w:eastAsia="Calibri" w:cs="Times New Roman"/>
                <w:bCs/>
                <w:sz w:val="16"/>
                <w:lang w:val="en-ZA"/>
              </w:rPr>
              <w:t>)</w:t>
            </w:r>
          </w:p>
        </w:tc>
        <w:tc>
          <w:tcPr>
            <w:tcW w:w="1157" w:type="pct"/>
            <w:shd w:val="clear" w:color="auto" w:fill="BFBFBF" w:themeFill="background1" w:themeFillShade="BF"/>
          </w:tcPr>
          <w:p w14:paraId="479E18EE" w14:textId="77777777" w:rsidR="00306BFF" w:rsidRPr="00152C68" w:rsidRDefault="00306BFF" w:rsidP="006842EB">
            <w:pPr>
              <w:spacing w:after="0"/>
              <w:jc w:val="center"/>
              <w:rPr>
                <w:rFonts w:eastAsia="Calibri" w:cs="Times New Roman"/>
                <w:b/>
                <w:sz w:val="16"/>
                <w:lang w:val="en-ZA"/>
              </w:rPr>
            </w:pPr>
            <w:r w:rsidRPr="00152C68">
              <w:rPr>
                <w:rFonts w:eastAsia="Calibri" w:cs="Times New Roman"/>
                <w:b/>
                <w:sz w:val="16"/>
                <w:lang w:val="en-ZA"/>
              </w:rPr>
              <w:t>Dose</w:t>
            </w:r>
          </w:p>
          <w:p w14:paraId="172F3CFA" w14:textId="2B523E5C" w:rsidR="00306BFF" w:rsidRPr="00152C68" w:rsidRDefault="00B768A2" w:rsidP="006842EB">
            <w:pPr>
              <w:spacing w:after="0"/>
              <w:jc w:val="center"/>
              <w:rPr>
                <w:rFonts w:eastAsia="Calibri" w:cs="Times New Roman"/>
                <w:bCs/>
                <w:sz w:val="16"/>
                <w:lang w:val="en-ZA"/>
              </w:rPr>
            </w:pPr>
            <w:r>
              <w:rPr>
                <w:rFonts w:eastAsia="Calibri" w:cs="Times New Roman"/>
                <w:bCs/>
                <w:sz w:val="16"/>
                <w:lang w:val="en-ZA"/>
              </w:rPr>
              <w:t>(</w:t>
            </w:r>
            <w:r w:rsidR="00306BFF" w:rsidRPr="00152C68">
              <w:rPr>
                <w:rFonts w:eastAsia="Calibri" w:cs="Times New Roman"/>
                <w:bCs/>
                <w:sz w:val="16"/>
                <w:lang w:val="en-ZA"/>
              </w:rPr>
              <w:t>mg</w:t>
            </w:r>
            <w:r>
              <w:rPr>
                <w:rFonts w:eastAsia="Calibri" w:cs="Times New Roman"/>
                <w:bCs/>
                <w:sz w:val="16"/>
                <w:lang w:val="en-ZA"/>
              </w:rPr>
              <w:t>)</w:t>
            </w:r>
          </w:p>
        </w:tc>
        <w:tc>
          <w:tcPr>
            <w:tcW w:w="1071" w:type="pct"/>
            <w:shd w:val="clear" w:color="auto" w:fill="BFBFBF" w:themeFill="background1" w:themeFillShade="BF"/>
          </w:tcPr>
          <w:p w14:paraId="0A43067C" w14:textId="77777777" w:rsidR="00306BFF" w:rsidRPr="00152C68" w:rsidRDefault="00306BFF" w:rsidP="006842EB">
            <w:pPr>
              <w:spacing w:after="0"/>
              <w:jc w:val="center"/>
              <w:rPr>
                <w:rFonts w:eastAsia="Calibri" w:cs="Times New Roman"/>
                <w:b/>
                <w:sz w:val="16"/>
                <w:lang w:val="en-ZA"/>
              </w:rPr>
            </w:pPr>
            <w:r w:rsidRPr="00152C68">
              <w:rPr>
                <w:rFonts w:eastAsia="Calibri" w:cs="Times New Roman"/>
                <w:b/>
                <w:sz w:val="16"/>
                <w:lang w:val="en-ZA"/>
              </w:rPr>
              <w:t>Tablet</w:t>
            </w:r>
          </w:p>
          <w:p w14:paraId="485C7759" w14:textId="3EFF640A" w:rsidR="00306BFF" w:rsidRPr="00152C68" w:rsidRDefault="00B768A2" w:rsidP="006842EB">
            <w:pPr>
              <w:spacing w:after="0"/>
              <w:jc w:val="center"/>
              <w:rPr>
                <w:rFonts w:eastAsia="Calibri" w:cs="Times New Roman"/>
                <w:bCs/>
                <w:sz w:val="16"/>
                <w:lang w:val="en-ZA"/>
              </w:rPr>
            </w:pPr>
            <w:r>
              <w:rPr>
                <w:rFonts w:eastAsia="Calibri" w:cs="Times New Roman"/>
                <w:bCs/>
                <w:sz w:val="16"/>
                <w:lang w:val="en-ZA"/>
              </w:rPr>
              <w:t>(</w:t>
            </w:r>
            <w:r w:rsidR="00306BFF" w:rsidRPr="00152C68">
              <w:rPr>
                <w:rFonts w:eastAsia="Calibri" w:cs="Times New Roman"/>
                <w:bCs/>
                <w:sz w:val="16"/>
                <w:lang w:val="en-ZA"/>
              </w:rPr>
              <w:t>5 mg</w:t>
            </w:r>
            <w:r>
              <w:rPr>
                <w:rFonts w:eastAsia="Calibri" w:cs="Times New Roman"/>
                <w:bCs/>
                <w:sz w:val="16"/>
                <w:lang w:val="en-ZA"/>
              </w:rPr>
              <w:t>)</w:t>
            </w:r>
          </w:p>
        </w:tc>
        <w:tc>
          <w:tcPr>
            <w:tcW w:w="1696" w:type="pct"/>
            <w:shd w:val="clear" w:color="auto" w:fill="BFBFBF" w:themeFill="background1" w:themeFillShade="BF"/>
          </w:tcPr>
          <w:p w14:paraId="1E5B62EE" w14:textId="77777777" w:rsidR="00306BFF" w:rsidRPr="00152C68" w:rsidRDefault="00306BFF" w:rsidP="006842EB">
            <w:pPr>
              <w:spacing w:after="0"/>
              <w:jc w:val="center"/>
              <w:rPr>
                <w:rFonts w:eastAsia="Calibri" w:cs="Times New Roman"/>
                <w:b/>
                <w:sz w:val="16"/>
                <w:lang w:val="en-ZA"/>
              </w:rPr>
            </w:pPr>
            <w:r w:rsidRPr="00152C68">
              <w:rPr>
                <w:rFonts w:eastAsia="Calibri" w:cs="Times New Roman"/>
                <w:b/>
                <w:sz w:val="16"/>
                <w:lang w:val="en-ZA"/>
              </w:rPr>
              <w:t>Age</w:t>
            </w:r>
          </w:p>
          <w:p w14:paraId="32EF16E2" w14:textId="08B8D7D0" w:rsidR="00306BFF" w:rsidRPr="00152C68" w:rsidRDefault="00B768A2" w:rsidP="006842EB">
            <w:pPr>
              <w:spacing w:after="0"/>
              <w:jc w:val="center"/>
              <w:rPr>
                <w:rFonts w:eastAsia="Calibri" w:cs="Times New Roman"/>
                <w:bCs/>
                <w:sz w:val="16"/>
                <w:lang w:val="en-ZA"/>
              </w:rPr>
            </w:pPr>
            <w:r>
              <w:rPr>
                <w:rFonts w:eastAsia="Calibri" w:cs="Times New Roman"/>
                <w:bCs/>
                <w:sz w:val="16"/>
                <w:lang w:val="en-ZA"/>
              </w:rPr>
              <w:t>(</w:t>
            </w:r>
            <w:r w:rsidR="00306BFF" w:rsidRPr="00152C68">
              <w:rPr>
                <w:rFonts w:eastAsia="Calibri" w:cs="Times New Roman"/>
                <w:bCs/>
                <w:sz w:val="16"/>
                <w:lang w:val="en-ZA"/>
              </w:rPr>
              <w:t>years</w:t>
            </w:r>
            <w:r>
              <w:rPr>
                <w:rFonts w:eastAsia="Calibri" w:cs="Times New Roman"/>
                <w:bCs/>
                <w:sz w:val="16"/>
                <w:lang w:val="en-ZA"/>
              </w:rPr>
              <w:t>)</w:t>
            </w:r>
          </w:p>
        </w:tc>
      </w:tr>
      <w:tr w:rsidR="00306BFF" w:rsidRPr="00152C68" w14:paraId="6EC63E79" w14:textId="77777777" w:rsidTr="00966868">
        <w:tc>
          <w:tcPr>
            <w:tcW w:w="1075" w:type="pct"/>
          </w:tcPr>
          <w:p w14:paraId="542A3D28" w14:textId="77777777" w:rsidR="00306BFF" w:rsidRPr="00152C68" w:rsidRDefault="00306BFF" w:rsidP="00966868">
            <w:pPr>
              <w:spacing w:after="0"/>
              <w:rPr>
                <w:rFonts w:eastAsia="Calibri" w:cs="Times New Roman"/>
                <w:sz w:val="16"/>
                <w:lang w:val="en-ZA"/>
              </w:rPr>
            </w:pPr>
            <w:r w:rsidRPr="00152C68">
              <w:rPr>
                <w:rFonts w:eastAsia="Calibri" w:cs="Times New Roman"/>
                <w:sz w:val="16"/>
                <w:lang w:val="en-ZA"/>
              </w:rPr>
              <w:t>&gt;11–14 kg</w:t>
            </w:r>
          </w:p>
        </w:tc>
        <w:tc>
          <w:tcPr>
            <w:tcW w:w="1157" w:type="pct"/>
          </w:tcPr>
          <w:p w14:paraId="7378F707"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20 mg</w:t>
            </w:r>
          </w:p>
        </w:tc>
        <w:tc>
          <w:tcPr>
            <w:tcW w:w="1071" w:type="pct"/>
          </w:tcPr>
          <w:p w14:paraId="02A9BD09"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4 tablets</w:t>
            </w:r>
          </w:p>
        </w:tc>
        <w:tc>
          <w:tcPr>
            <w:tcW w:w="1696" w:type="pct"/>
          </w:tcPr>
          <w:p w14:paraId="44C5AE8D"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&gt;2–3 years</w:t>
            </w:r>
          </w:p>
        </w:tc>
      </w:tr>
      <w:tr w:rsidR="00306BFF" w:rsidRPr="00152C68" w14:paraId="72222F59" w14:textId="77777777" w:rsidTr="00966868">
        <w:tc>
          <w:tcPr>
            <w:tcW w:w="1075" w:type="pct"/>
          </w:tcPr>
          <w:p w14:paraId="4657A457" w14:textId="77777777" w:rsidR="00306BFF" w:rsidRPr="00152C68" w:rsidRDefault="00306BFF" w:rsidP="00966868">
            <w:pPr>
              <w:spacing w:after="0"/>
              <w:rPr>
                <w:rFonts w:eastAsia="Calibri" w:cs="Times New Roman"/>
                <w:sz w:val="16"/>
                <w:lang w:val="en-ZA"/>
              </w:rPr>
            </w:pPr>
            <w:r w:rsidRPr="00152C68">
              <w:rPr>
                <w:rFonts w:eastAsia="Calibri" w:cs="Times New Roman"/>
                <w:sz w:val="16"/>
                <w:lang w:val="en-ZA"/>
              </w:rPr>
              <w:t>&gt;14–17.5 kg</w:t>
            </w:r>
          </w:p>
        </w:tc>
        <w:tc>
          <w:tcPr>
            <w:tcW w:w="1157" w:type="pct"/>
          </w:tcPr>
          <w:p w14:paraId="2B48652A"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30 mg</w:t>
            </w:r>
          </w:p>
        </w:tc>
        <w:tc>
          <w:tcPr>
            <w:tcW w:w="1071" w:type="pct"/>
          </w:tcPr>
          <w:p w14:paraId="135DC1A5" w14:textId="35CAEAAA"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6 tablets</w:t>
            </w:r>
          </w:p>
        </w:tc>
        <w:tc>
          <w:tcPr>
            <w:tcW w:w="1696" w:type="pct"/>
          </w:tcPr>
          <w:p w14:paraId="0EDA9210"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&gt;3–5 years</w:t>
            </w:r>
          </w:p>
        </w:tc>
      </w:tr>
      <w:tr w:rsidR="00306BFF" w:rsidRPr="00152C68" w14:paraId="6AC95CA6" w14:textId="77777777" w:rsidTr="00966868">
        <w:tc>
          <w:tcPr>
            <w:tcW w:w="1075" w:type="pct"/>
          </w:tcPr>
          <w:p w14:paraId="247F6ABC" w14:textId="77777777" w:rsidR="00306BFF" w:rsidRPr="00152C68" w:rsidRDefault="00306BFF" w:rsidP="00966868">
            <w:pPr>
              <w:spacing w:after="0"/>
              <w:rPr>
                <w:rFonts w:eastAsia="Calibri" w:cs="Times New Roman"/>
                <w:sz w:val="16"/>
                <w:lang w:val="en-ZA"/>
              </w:rPr>
            </w:pPr>
            <w:r w:rsidRPr="00152C68">
              <w:rPr>
                <w:rFonts w:eastAsia="Calibri" w:cs="Times New Roman"/>
                <w:sz w:val="16"/>
                <w:lang w:val="en-ZA"/>
              </w:rPr>
              <w:t xml:space="preserve">&gt;17.5 kg </w:t>
            </w:r>
          </w:p>
        </w:tc>
        <w:tc>
          <w:tcPr>
            <w:tcW w:w="1157" w:type="pct"/>
          </w:tcPr>
          <w:p w14:paraId="472E7C72"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40 mg</w:t>
            </w:r>
          </w:p>
        </w:tc>
        <w:tc>
          <w:tcPr>
            <w:tcW w:w="1071" w:type="pct"/>
          </w:tcPr>
          <w:p w14:paraId="5D690C8F"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8 tablets</w:t>
            </w:r>
          </w:p>
        </w:tc>
        <w:tc>
          <w:tcPr>
            <w:tcW w:w="1696" w:type="pct"/>
          </w:tcPr>
          <w:p w14:paraId="2213C06A" w14:textId="77777777" w:rsidR="00306BFF" w:rsidRPr="00152C68" w:rsidRDefault="00306BFF" w:rsidP="006842EB">
            <w:pPr>
              <w:spacing w:after="0"/>
              <w:jc w:val="center"/>
              <w:rPr>
                <w:rFonts w:eastAsia="Calibri" w:cs="Times New Roman"/>
                <w:sz w:val="16"/>
                <w:lang w:val="en-ZA"/>
              </w:rPr>
            </w:pPr>
            <w:r w:rsidRPr="00152C68">
              <w:rPr>
                <w:rFonts w:eastAsia="Calibri" w:cs="Times New Roman"/>
                <w:sz w:val="16"/>
                <w:lang w:val="en-ZA"/>
              </w:rPr>
              <w:t>&gt;5 years and adult</w:t>
            </w:r>
          </w:p>
        </w:tc>
      </w:tr>
    </w:tbl>
    <w:p w14:paraId="3BE2EC14" w14:textId="77777777" w:rsidR="00306BFF" w:rsidRPr="009E7BB6" w:rsidRDefault="00306BFF" w:rsidP="00306BFF">
      <w:pPr>
        <w:pStyle w:val="NoSpacing"/>
        <w:rPr>
          <w:rStyle w:val="Strong"/>
        </w:rPr>
      </w:pPr>
      <w:r w:rsidRPr="009E7BB6">
        <w:rPr>
          <w:rStyle w:val="Strong"/>
        </w:rPr>
        <w:t xml:space="preserve">OR </w:t>
      </w:r>
    </w:p>
    <w:p w14:paraId="0B878B71" w14:textId="77777777" w:rsidR="00306BFF" w:rsidRPr="001F4BAA" w:rsidRDefault="00306BFF" w:rsidP="00306BFF">
      <w:pPr>
        <w:pStyle w:val="NoSpacing"/>
      </w:pPr>
      <w:r w:rsidRPr="001F4BAA">
        <w:t>If oral prednisone cannot be taken:</w:t>
      </w:r>
    </w:p>
    <w:p w14:paraId="7C1CD2F8" w14:textId="1C9AAB76" w:rsidR="00306BFF" w:rsidRPr="00152C68" w:rsidRDefault="00306BFF" w:rsidP="008542CC">
      <w:pPr>
        <w:pStyle w:val="BulletMedicine"/>
        <w:numPr>
          <w:ilvl w:val="0"/>
          <w:numId w:val="55"/>
        </w:numPr>
      </w:pPr>
      <w:r w:rsidRPr="001F4BAA">
        <w:t>Hydrocortisone</w:t>
      </w:r>
      <w:r>
        <w:fldChar w:fldCharType="begin"/>
      </w:r>
      <w:r>
        <w:instrText xml:space="preserve"> XE "Hydrocortisone" \f "m" </w:instrText>
      </w:r>
      <w:r>
        <w:fldChar w:fldCharType="end"/>
      </w:r>
      <w:r w:rsidRPr="001F4BAA">
        <w:t xml:space="preserve"> IM/slow IV, 4 mg/kg </w:t>
      </w:r>
      <w:r w:rsidR="00D87CE9">
        <w:t xml:space="preserve">(maximum 100 mg) </w:t>
      </w:r>
      <w:r w:rsidRPr="001F4BAA">
        <w:t>immediately. See dosing table</w:t>
      </w:r>
      <w:r w:rsidR="005260B3">
        <w:t xml:space="preserve">: </w:t>
      </w:r>
      <w:r w:rsidR="004A56FB">
        <w:t>Chapter 23</w:t>
      </w:r>
      <w:r w:rsidRPr="001F4BAA">
        <w:t>.</w:t>
      </w:r>
    </w:p>
    <w:p w14:paraId="53331C38" w14:textId="12C94525" w:rsidR="00306BFF" w:rsidRPr="00B555B1" w:rsidRDefault="00306BFF" w:rsidP="00306BFF">
      <w:pPr>
        <w:pStyle w:val="NoSpacing"/>
        <w:rPr>
          <w:u w:val="single"/>
        </w:rPr>
      </w:pPr>
      <w:r w:rsidRPr="00B555B1">
        <w:rPr>
          <w:u w:val="single"/>
        </w:rPr>
        <w:t>Follow</w:t>
      </w:r>
      <w:r w:rsidR="005636C1">
        <w:rPr>
          <w:u w:val="single"/>
        </w:rPr>
        <w:t>ed</w:t>
      </w:r>
      <w:r w:rsidRPr="00B555B1">
        <w:rPr>
          <w:u w:val="single"/>
        </w:rPr>
        <w:t xml:space="preserve"> with:</w:t>
      </w:r>
    </w:p>
    <w:p w14:paraId="51EA6B15" w14:textId="67BBE510" w:rsidR="00306BFF" w:rsidRPr="00AB3764" w:rsidRDefault="00306BFF" w:rsidP="008542CC">
      <w:pPr>
        <w:pStyle w:val="BulletMedicine"/>
        <w:numPr>
          <w:ilvl w:val="0"/>
          <w:numId w:val="54"/>
        </w:numPr>
      </w:pPr>
      <w:r w:rsidRPr="00934B7F">
        <w:t xml:space="preserve">Prednisone </w:t>
      </w:r>
      <w:r w:rsidRPr="00306AC8">
        <w:t>1</w:t>
      </w:r>
      <w:r w:rsidR="007277E7" w:rsidRPr="007277E7">
        <w:t xml:space="preserve"> </w:t>
      </w:r>
      <w:r w:rsidR="007277E7">
        <w:t xml:space="preserve">to </w:t>
      </w:r>
      <w:r w:rsidRPr="00306AC8">
        <w:t>2 mg/kg</w:t>
      </w:r>
      <w:r>
        <w:t xml:space="preserve"> daily for 7 days</w:t>
      </w:r>
      <w:r w:rsidR="0010624F">
        <w:t xml:space="preserve"> as per dosing table above.</w:t>
      </w:r>
    </w:p>
    <w:p w14:paraId="291ADAF3" w14:textId="77777777" w:rsidR="00306BFF" w:rsidRDefault="00306BFF" w:rsidP="00306BFF">
      <w:pPr>
        <w:pStyle w:val="Centeredbox"/>
      </w:pPr>
      <w:r w:rsidRPr="00A01ACA">
        <w:rPr>
          <w:rStyle w:val="Strong"/>
        </w:rPr>
        <w:t>CAUTION</w:t>
      </w:r>
      <w:r>
        <w:br/>
        <w:t>Avoid sedation of any kind.</w:t>
      </w:r>
    </w:p>
    <w:p w14:paraId="064E5959" w14:textId="77777777" w:rsidR="00306BFF" w:rsidRDefault="00306BFF" w:rsidP="00306BFF">
      <w:pPr>
        <w:spacing w:before="0" w:after="0"/>
      </w:pPr>
      <w:r w:rsidRPr="00A01ACA">
        <w:rPr>
          <w:rStyle w:val="Strong"/>
        </w:rPr>
        <w:t>Note:</w:t>
      </w:r>
      <w:r w:rsidRPr="001F4BAA">
        <w:t xml:space="preserve"> If poor response to treatment, consider alternate diagnosis and refer urgently.</w:t>
      </w:r>
    </w:p>
    <w:p w14:paraId="06C6603C" w14:textId="77777777" w:rsidR="00306BFF" w:rsidRDefault="00306BFF" w:rsidP="00306BFF">
      <w:pPr>
        <w:spacing w:before="0" w:after="0"/>
      </w:pPr>
    </w:p>
    <w:p w14:paraId="03669A6B" w14:textId="77777777" w:rsidR="00306BFF" w:rsidRPr="00D34C59" w:rsidRDefault="00306BFF" w:rsidP="00306BFF">
      <w:pPr>
        <w:pStyle w:val="Heading6"/>
        <w:rPr>
          <w:u w:val="single"/>
        </w:rPr>
      </w:pPr>
      <w:r w:rsidRPr="00D34C59">
        <w:rPr>
          <w:u w:val="single"/>
        </w:rPr>
        <w:t xml:space="preserve">Life- threatening attacks </w:t>
      </w:r>
    </w:p>
    <w:p w14:paraId="1FBCFAB5" w14:textId="2E4F92BF" w:rsidR="00306BFF" w:rsidRPr="00D34C59" w:rsidRDefault="00306BFF" w:rsidP="008542CC">
      <w:pPr>
        <w:pStyle w:val="BulletMedicine"/>
        <w:numPr>
          <w:ilvl w:val="0"/>
          <w:numId w:val="51"/>
        </w:numPr>
      </w:pPr>
      <w:r w:rsidRPr="00D34C59">
        <w:t>Oxygen</w:t>
      </w:r>
      <w:r w:rsidRPr="00D34C59">
        <w:fldChar w:fldCharType="begin"/>
      </w:r>
      <w:r w:rsidRPr="00D34C59">
        <w:instrText xml:space="preserve"> XE "Oxygen" \f "m" </w:instrText>
      </w:r>
      <w:r w:rsidRPr="00D34C59">
        <w:fldChar w:fldCharType="end"/>
      </w:r>
      <w:r w:rsidRPr="00D34C59">
        <w:t>,</w:t>
      </w:r>
      <w:r w:rsidR="005636C1">
        <w:t xml:space="preserve"> </w:t>
      </w:r>
      <w:r w:rsidRPr="00EF151A">
        <w:t>to keep oxygen saturation 93</w:t>
      </w:r>
      <w:r w:rsidR="007277E7" w:rsidRPr="007277E7">
        <w:t xml:space="preserve"> </w:t>
      </w:r>
      <w:r w:rsidR="007277E7">
        <w:t xml:space="preserve">to </w:t>
      </w:r>
      <w:r w:rsidRPr="00EF151A">
        <w:t>95%</w:t>
      </w:r>
      <w:r w:rsidR="00BB57CF">
        <w:t>.</w:t>
      </w:r>
    </w:p>
    <w:p w14:paraId="1CB645DC" w14:textId="77777777" w:rsidR="00306BFF" w:rsidRPr="00D34C59" w:rsidRDefault="00306BFF" w:rsidP="00306BFF">
      <w:pPr>
        <w:spacing w:before="0" w:after="0"/>
        <w:rPr>
          <w:rFonts w:eastAsia="Calibri" w:cs="Times New Roman"/>
          <w:b/>
          <w:bCs/>
          <w:lang w:val="en-ZA"/>
        </w:rPr>
      </w:pPr>
      <w:r w:rsidRPr="00D34C59">
        <w:rPr>
          <w:rFonts w:eastAsia="Calibri" w:cs="Times New Roman"/>
          <w:b/>
          <w:bCs/>
          <w:lang w:val="en-ZA"/>
        </w:rPr>
        <w:t>AND</w:t>
      </w:r>
    </w:p>
    <w:p w14:paraId="17A2BD4D" w14:textId="62D3B772" w:rsidR="00306BFF" w:rsidRPr="00D34C59" w:rsidRDefault="00306BFF" w:rsidP="008542CC">
      <w:pPr>
        <w:pStyle w:val="BulletMedicine"/>
        <w:numPr>
          <w:ilvl w:val="0"/>
          <w:numId w:val="52"/>
        </w:numPr>
      </w:pPr>
      <w:r w:rsidRPr="00D34C59">
        <w:t>Salbutamol 0.5% (5</w:t>
      </w:r>
      <w:r w:rsidR="003E2C10">
        <w:t xml:space="preserve"> </w:t>
      </w:r>
      <w:r w:rsidRPr="00D34C59">
        <w:t>mg/mL) with ipratropium bromide 0.5</w:t>
      </w:r>
      <w:r w:rsidR="003E2C10">
        <w:t xml:space="preserve"> </w:t>
      </w:r>
      <w:r w:rsidRPr="00D34C59">
        <w:t>mg/2mL nebuliser solution</w:t>
      </w:r>
      <w:r w:rsidR="003E2C10">
        <w:t>:</w:t>
      </w:r>
      <w:r w:rsidRPr="00D34C59">
        <w:t xml:space="preserve"> </w:t>
      </w:r>
    </w:p>
    <w:p w14:paraId="4318BDA6" w14:textId="363BFCE3" w:rsidR="00306BFF" w:rsidRPr="00D34C59" w:rsidRDefault="00306BFF" w:rsidP="00306BFF">
      <w:pPr>
        <w:pStyle w:val="BulletDirectionsInstructions"/>
      </w:pPr>
      <w:r w:rsidRPr="00D34C59">
        <w:t xml:space="preserve">Salbutamol 0.5%, 2 mL (10 mg) plus </w:t>
      </w:r>
      <w:r w:rsidR="007408B9">
        <w:t>i</w:t>
      </w:r>
      <w:r w:rsidRPr="00D34C59">
        <w:t>pratroprium bromide, 2 mL (0.5</w:t>
      </w:r>
      <w:r w:rsidR="007408B9">
        <w:t xml:space="preserve"> </w:t>
      </w:r>
      <w:r w:rsidRPr="00D34C59">
        <w:t>mg) every 20–30 minutes depending on clinical response for 4 doses over 2 hours.</w:t>
      </w:r>
    </w:p>
    <w:p w14:paraId="27305C07" w14:textId="77777777" w:rsidR="00306BFF" w:rsidRPr="00D34C59" w:rsidRDefault="00306BFF" w:rsidP="00306BFF">
      <w:pPr>
        <w:pStyle w:val="BulletDirectionsInstructions"/>
      </w:pPr>
      <w:r w:rsidRPr="00D34C59">
        <w:t>Delivered at a flow rate of 8 L/min with oxygen.</w:t>
      </w:r>
    </w:p>
    <w:p w14:paraId="05474067" w14:textId="3DBD6D7F" w:rsidR="00306BFF" w:rsidRPr="00D34C59" w:rsidRDefault="00306BFF" w:rsidP="00306BFF">
      <w:pPr>
        <w:pStyle w:val="BulletDirectionsInstructions"/>
      </w:pPr>
      <w:r w:rsidRPr="00D34C59">
        <w:t>If no relief, repeat every 20</w:t>
      </w:r>
      <w:r w:rsidR="007277E7" w:rsidRPr="007277E7">
        <w:t xml:space="preserve"> </w:t>
      </w:r>
      <w:r w:rsidR="007277E7">
        <w:t xml:space="preserve">to </w:t>
      </w:r>
      <w:r w:rsidRPr="00D34C59">
        <w:t>30 minutes until asthma severity category moves from life-threatening to severe.</w:t>
      </w:r>
    </w:p>
    <w:p w14:paraId="197E6A50" w14:textId="77777777" w:rsidR="00306BFF" w:rsidRPr="00D34C59" w:rsidRDefault="00306BFF" w:rsidP="00306BFF">
      <w:pPr>
        <w:rPr>
          <w:rFonts w:eastAsia="Calibri" w:cs="Times New Roman"/>
          <w:b/>
          <w:bCs/>
        </w:rPr>
      </w:pPr>
      <w:r w:rsidRPr="00D34C59">
        <w:rPr>
          <w:rFonts w:eastAsia="Calibri" w:cs="Times New Roman"/>
          <w:b/>
          <w:bCs/>
        </w:rPr>
        <w:t>AND</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306BFF" w:rsidRPr="00D34C59" w14:paraId="102936DA" w14:textId="77777777" w:rsidTr="00966868">
        <w:tc>
          <w:tcPr>
            <w:tcW w:w="907" w:type="dxa"/>
          </w:tcPr>
          <w:p w14:paraId="21C15010" w14:textId="77777777" w:rsidR="00306BFF" w:rsidRPr="002344FD" w:rsidRDefault="00306BFF" w:rsidP="00966868">
            <w:pPr>
              <w:spacing w:before="0" w:after="0"/>
              <w:jc w:val="right"/>
              <w:rPr>
                <w:rFonts w:eastAsia="Calibri" w:cs="Arial"/>
                <w:i/>
                <w:sz w:val="14"/>
                <w:szCs w:val="14"/>
                <w:lang w:val="en-ZA"/>
              </w:rPr>
            </w:pPr>
            <w:r w:rsidRPr="002344FD">
              <w:rPr>
                <w:rFonts w:eastAsia="Calibri" w:cs="Arial"/>
                <w:i/>
                <w:sz w:val="14"/>
                <w:szCs w:val="14"/>
                <w:lang w:val="en-ZA"/>
              </w:rPr>
              <w:t>LoE:IVb</w:t>
            </w:r>
            <w:r w:rsidRPr="002344FD">
              <w:rPr>
                <w:rFonts w:eastAsia="Calibri" w:cs="Arial"/>
                <w:i/>
                <w:sz w:val="14"/>
                <w:szCs w:val="14"/>
                <w:vertAlign w:val="superscript"/>
                <w:lang w:val="en-ZA"/>
              </w:rPr>
              <w:endnoteReference w:id="9"/>
            </w:r>
          </w:p>
        </w:tc>
      </w:tr>
    </w:tbl>
    <w:p w14:paraId="182A1626" w14:textId="77777777" w:rsidR="00306BFF" w:rsidRPr="00D34C59" w:rsidRDefault="00306BFF" w:rsidP="00306BFF">
      <w:pPr>
        <w:pStyle w:val="BulletMedicine"/>
      </w:pPr>
      <w:r w:rsidRPr="00D34C59">
        <w:t>Parenteral corticosteroids (intermediate-acting)</w:t>
      </w:r>
      <w:r w:rsidRPr="00D34C59">
        <w:fldChar w:fldCharType="begin"/>
      </w:r>
      <w:r w:rsidRPr="00D34C59">
        <w:instrText xml:space="preserve"> XE "Corticosteroids (intermediate-acting)" \f "m" </w:instrText>
      </w:r>
      <w:r w:rsidRPr="00D34C59">
        <w:fldChar w:fldCharType="end"/>
      </w:r>
      <w:r w:rsidRPr="00D34C59">
        <w:t xml:space="preserve"> e.g.:</w:t>
      </w:r>
    </w:p>
    <w:p w14:paraId="4F840FE6" w14:textId="504A7E78" w:rsidR="00306BFF" w:rsidRPr="00D34C59" w:rsidRDefault="00306BFF" w:rsidP="008542CC">
      <w:pPr>
        <w:pStyle w:val="BulletMedicine"/>
        <w:numPr>
          <w:ilvl w:val="0"/>
          <w:numId w:val="53"/>
        </w:numPr>
      </w:pPr>
      <w:r w:rsidRPr="00D34C59">
        <w:t>Hydrocortisone</w:t>
      </w:r>
      <w:r w:rsidRPr="00D34C59">
        <w:fldChar w:fldCharType="begin"/>
      </w:r>
      <w:r w:rsidRPr="00D34C59">
        <w:instrText xml:space="preserve"> XE "Hydrocortisone" \f "m" </w:instrText>
      </w:r>
      <w:r w:rsidRPr="00D34C59">
        <w:fldChar w:fldCharType="end"/>
      </w:r>
      <w:r w:rsidRPr="00D34C59">
        <w:t xml:space="preserve"> IM/slow IV, 4 mg/kg </w:t>
      </w:r>
      <w:r w:rsidR="00D87CE9">
        <w:t xml:space="preserve">(maximum 100 mg) </w:t>
      </w:r>
      <w:r w:rsidRPr="00D34C59">
        <w:t>immediately. See dosing table</w:t>
      </w:r>
      <w:r w:rsidR="000A35DB" w:rsidRPr="00027E12">
        <w:rPr>
          <w:rFonts w:cs="Arial"/>
        </w:rPr>
        <w:t xml:space="preserve">: </w:t>
      </w:r>
      <w:r w:rsidR="004A56FB">
        <w:rPr>
          <w:rFonts w:cs="Arial"/>
        </w:rPr>
        <w:t>Chapter 23</w:t>
      </w:r>
      <w:r w:rsidR="000A35DB">
        <w:rPr>
          <w:rFonts w:cs="Arial"/>
        </w:rPr>
        <w:t>.</w:t>
      </w:r>
    </w:p>
    <w:p w14:paraId="1862D495" w14:textId="293D6572" w:rsidR="00306BFF" w:rsidRPr="00D34C59" w:rsidRDefault="00306BFF" w:rsidP="00306BFF">
      <w:pPr>
        <w:rPr>
          <w:rFonts w:eastAsia="Calibri" w:cs="Arial"/>
          <w:u w:val="single"/>
        </w:rPr>
      </w:pPr>
      <w:r w:rsidRPr="00D34C59">
        <w:rPr>
          <w:rFonts w:eastAsia="Calibri" w:cs="Arial"/>
          <w:u w:val="single"/>
        </w:rPr>
        <w:t>Follow</w:t>
      </w:r>
      <w:r w:rsidR="007E7542">
        <w:rPr>
          <w:rFonts w:eastAsia="Calibri" w:cs="Arial"/>
          <w:u w:val="single"/>
        </w:rPr>
        <w:t>ed</w:t>
      </w:r>
      <w:r w:rsidRPr="00D34C59">
        <w:rPr>
          <w:rFonts w:eastAsia="Calibri" w:cs="Arial"/>
          <w:u w:val="single"/>
        </w:rPr>
        <w:t xml:space="preserve"> with:</w:t>
      </w:r>
    </w:p>
    <w:p w14:paraId="22820C6E" w14:textId="77777777" w:rsidR="00306BFF" w:rsidRPr="00D34C59" w:rsidRDefault="00306BFF" w:rsidP="00306BFF">
      <w:pPr>
        <w:pStyle w:val="BulletMedicine"/>
        <w:rPr>
          <w:rFonts w:eastAsia="Calibri" w:cs="Arial"/>
          <w:b/>
          <w:u w:val="single"/>
        </w:rPr>
      </w:pPr>
      <w:r w:rsidRPr="00D34C59">
        <w:t>Oral corticosteroids (intermediate-acting)</w:t>
      </w:r>
      <w:r w:rsidRPr="00D34C59">
        <w:fldChar w:fldCharType="begin"/>
      </w:r>
      <w:r w:rsidRPr="00D34C59">
        <w:instrText xml:space="preserve"> XE "Corticosteroids (intermediate-acting)" \f "m" </w:instrText>
      </w:r>
      <w:r w:rsidRPr="00D34C59">
        <w:fldChar w:fldCharType="end"/>
      </w:r>
      <w:r w:rsidRPr="00D34C59">
        <w:t xml:space="preserve"> e.g.:</w:t>
      </w:r>
    </w:p>
    <w:p w14:paraId="30F4664D" w14:textId="271E7F40" w:rsidR="00306BFF" w:rsidRPr="00D34C59" w:rsidRDefault="00306BFF" w:rsidP="008542CC">
      <w:pPr>
        <w:pStyle w:val="BulletMedicine"/>
        <w:numPr>
          <w:ilvl w:val="0"/>
          <w:numId w:val="53"/>
        </w:numPr>
      </w:pPr>
      <w:r w:rsidRPr="00D34C59">
        <w:t>Prednisone 1</w:t>
      </w:r>
      <w:r w:rsidR="007277E7" w:rsidRPr="007277E7">
        <w:t xml:space="preserve"> </w:t>
      </w:r>
      <w:r w:rsidR="007277E7">
        <w:t xml:space="preserve">to </w:t>
      </w:r>
      <w:r w:rsidRPr="00D34C59">
        <w:t>2 mg/kg daily for 7 days.</w:t>
      </w:r>
    </w:p>
    <w:p w14:paraId="2B056779" w14:textId="77777777" w:rsidR="00306BFF" w:rsidRPr="00D34C59" w:rsidRDefault="00306BFF" w:rsidP="00306BFF">
      <w:pPr>
        <w:pStyle w:val="ListParagraph"/>
        <w:numPr>
          <w:ilvl w:val="0"/>
          <w:numId w:val="0"/>
        </w:numPr>
        <w:ind w:left="1004"/>
        <w:rPr>
          <w:rFonts w:eastAsia="Calibri" w:cs="Times New Roman"/>
          <w:u w:val="single"/>
        </w:rPr>
      </w:pPr>
    </w:p>
    <w:p w14:paraId="095F5C16" w14:textId="77777777" w:rsidR="00306BFF" w:rsidRPr="00D34C59" w:rsidRDefault="00306BFF" w:rsidP="00176697">
      <w:pPr>
        <w:pStyle w:val="ListParagraph"/>
        <w:numPr>
          <w:ilvl w:val="0"/>
          <w:numId w:val="0"/>
        </w:numPr>
        <w:pBdr>
          <w:top w:val="double" w:sz="4" w:space="1" w:color="auto"/>
          <w:left w:val="double" w:sz="4" w:space="31" w:color="auto"/>
          <w:bottom w:val="double" w:sz="4" w:space="1" w:color="auto"/>
          <w:right w:val="double" w:sz="4" w:space="4" w:color="auto"/>
        </w:pBdr>
        <w:spacing w:before="120" w:after="120"/>
        <w:ind w:left="709" w:right="113"/>
        <w:jc w:val="center"/>
        <w:rPr>
          <w:rFonts w:eastAsia="Calibri" w:cs="Times New Roman"/>
        </w:rPr>
      </w:pPr>
      <w:r w:rsidRPr="00D34C59">
        <w:rPr>
          <w:rFonts w:eastAsia="Calibri" w:cs="Times New Roman"/>
          <w:b/>
          <w:bCs/>
        </w:rPr>
        <w:t>CAUTION</w:t>
      </w:r>
      <w:r w:rsidRPr="00D34C59">
        <w:rPr>
          <w:rFonts w:eastAsia="Calibri" w:cs="Times New Roman"/>
        </w:rPr>
        <w:br/>
        <w:t>Avoid sedation of any kind.</w:t>
      </w:r>
    </w:p>
    <w:p w14:paraId="2A5C6447" w14:textId="74DC6A08" w:rsidR="00306BFF" w:rsidRPr="00D34C59" w:rsidRDefault="00306BFF" w:rsidP="00306BFF">
      <w:pPr>
        <w:ind w:left="284" w:hanging="284"/>
        <w:rPr>
          <w:rFonts w:eastAsia="Calibri" w:cs="Times New Roman"/>
        </w:rPr>
      </w:pPr>
      <w:r w:rsidRPr="00D34C59">
        <w:rPr>
          <w:rFonts w:eastAsia="Calibri" w:cs="Times New Roman"/>
          <w:b/>
          <w:bCs/>
        </w:rPr>
        <w:t>Note:</w:t>
      </w:r>
      <w:r w:rsidRPr="00D34C59">
        <w:rPr>
          <w:rFonts w:eastAsia="Calibri" w:cs="Times New Roman"/>
        </w:rPr>
        <w:t xml:space="preserve"> If response to treatment </w:t>
      </w:r>
      <w:r w:rsidR="004C71D2">
        <w:rPr>
          <w:rFonts w:eastAsia="Calibri" w:cs="Times New Roman"/>
        </w:rPr>
        <w:t xml:space="preserve">is </w:t>
      </w:r>
      <w:r w:rsidRPr="00D34C59">
        <w:rPr>
          <w:rFonts w:eastAsia="Calibri" w:cs="Times New Roman"/>
        </w:rPr>
        <w:t xml:space="preserve">adequate and severity improves to become severe but not life threatening, treat as per severe asthma exacerbation above.  </w:t>
      </w:r>
    </w:p>
    <w:p w14:paraId="7FDCD096" w14:textId="77777777" w:rsidR="00306BFF" w:rsidRPr="001F4BAA" w:rsidRDefault="00306BFF" w:rsidP="00306BFF">
      <w:pPr>
        <w:pStyle w:val="Heading6"/>
      </w:pPr>
      <w:r w:rsidRPr="001F4BAA">
        <w:lastRenderedPageBreak/>
        <w:t xml:space="preserve">Assessment of response in </w:t>
      </w:r>
      <w:r w:rsidRPr="006C5447">
        <w:t>children</w:t>
      </w:r>
    </w:p>
    <w:tbl>
      <w:tblPr>
        <w:tblStyle w:val="SamplePHCTable"/>
        <w:tblW w:w="5000" w:type="pct"/>
        <w:tblLook w:val="0020" w:firstRow="1" w:lastRow="0" w:firstColumn="0" w:lastColumn="0" w:noHBand="0" w:noVBand="0"/>
      </w:tblPr>
      <w:tblGrid>
        <w:gridCol w:w="2546"/>
        <w:gridCol w:w="1984"/>
        <w:gridCol w:w="2149"/>
      </w:tblGrid>
      <w:tr w:rsidR="00306BFF" w:rsidRPr="001F4BAA" w14:paraId="33BAF823" w14:textId="77777777" w:rsidTr="00966868">
        <w:trPr>
          <w:cnfStyle w:val="100000000000" w:firstRow="1" w:lastRow="0" w:firstColumn="0" w:lastColumn="0" w:oddVBand="0" w:evenVBand="0" w:oddHBand="0" w:evenHBand="0" w:firstRowFirstColumn="0" w:firstRowLastColumn="0" w:lastRowFirstColumn="0" w:lastRowLastColumn="0"/>
          <w:trHeight w:val="221"/>
        </w:trPr>
        <w:tc>
          <w:tcPr>
            <w:tcW w:w="1906" w:type="pct"/>
          </w:tcPr>
          <w:p w14:paraId="553B017A" w14:textId="77777777" w:rsidR="00306BFF" w:rsidRPr="001F4BAA" w:rsidRDefault="00306BFF" w:rsidP="00966868">
            <w:pPr>
              <w:pStyle w:val="NoSpacing"/>
            </w:pPr>
          </w:p>
        </w:tc>
        <w:tc>
          <w:tcPr>
            <w:tcW w:w="1485" w:type="pct"/>
          </w:tcPr>
          <w:p w14:paraId="53B4903E" w14:textId="77777777" w:rsidR="00306BFF" w:rsidRPr="001F4BAA" w:rsidRDefault="00306BFF" w:rsidP="00966868">
            <w:pPr>
              <w:pStyle w:val="NoSpacing"/>
            </w:pPr>
            <w:r w:rsidRPr="001F4BAA">
              <w:t>Response</w:t>
            </w:r>
          </w:p>
        </w:tc>
        <w:tc>
          <w:tcPr>
            <w:tcW w:w="1609" w:type="pct"/>
          </w:tcPr>
          <w:p w14:paraId="510E7C14" w14:textId="77777777" w:rsidR="00306BFF" w:rsidRPr="001F4BAA" w:rsidRDefault="00306BFF" w:rsidP="00966868">
            <w:pPr>
              <w:pStyle w:val="NoSpacing"/>
            </w:pPr>
            <w:r w:rsidRPr="001F4BAA">
              <w:t>No response</w:t>
            </w:r>
          </w:p>
        </w:tc>
      </w:tr>
      <w:tr w:rsidR="00306BFF" w:rsidRPr="001F4BAA" w14:paraId="5A8CE677" w14:textId="77777777" w:rsidTr="00966868">
        <w:trPr>
          <w:trHeight w:val="153"/>
        </w:trPr>
        <w:tc>
          <w:tcPr>
            <w:tcW w:w="1906" w:type="pct"/>
          </w:tcPr>
          <w:p w14:paraId="26CE2DA2" w14:textId="77777777" w:rsidR="00306BFF" w:rsidRPr="006842EB" w:rsidRDefault="00306BFF" w:rsidP="00966868">
            <w:pPr>
              <w:pStyle w:val="NoSpacing"/>
              <w:rPr>
                <w:b/>
                <w:bCs/>
              </w:rPr>
            </w:pPr>
            <w:r w:rsidRPr="006842EB">
              <w:rPr>
                <w:b/>
                <w:bCs/>
              </w:rPr>
              <w:t>PEFR (if possible)</w:t>
            </w:r>
          </w:p>
        </w:tc>
        <w:tc>
          <w:tcPr>
            <w:tcW w:w="1485" w:type="pct"/>
          </w:tcPr>
          <w:p w14:paraId="4EB96E4D" w14:textId="77777777" w:rsidR="00306BFF" w:rsidRPr="001F4BAA" w:rsidRDefault="00306BFF" w:rsidP="00966868">
            <w:pPr>
              <w:pStyle w:val="NoSpacing"/>
            </w:pPr>
            <w:r w:rsidRPr="001F4BAA">
              <w:t>improvement by &gt;20%</w:t>
            </w:r>
          </w:p>
        </w:tc>
        <w:tc>
          <w:tcPr>
            <w:tcW w:w="1609" w:type="pct"/>
          </w:tcPr>
          <w:p w14:paraId="3AC960A1" w14:textId="77777777" w:rsidR="00306BFF" w:rsidRPr="001F4BAA" w:rsidRDefault="00306BFF" w:rsidP="00966868">
            <w:pPr>
              <w:pStyle w:val="NoSpacing"/>
            </w:pPr>
            <w:r w:rsidRPr="001F4BAA">
              <w:t>improvement by &lt;20%</w:t>
            </w:r>
          </w:p>
        </w:tc>
      </w:tr>
      <w:tr w:rsidR="00306BFF" w:rsidRPr="001F4BAA" w14:paraId="3F72A30E" w14:textId="77777777" w:rsidTr="00966868">
        <w:trPr>
          <w:trHeight w:val="187"/>
        </w:trPr>
        <w:tc>
          <w:tcPr>
            <w:tcW w:w="1906" w:type="pct"/>
          </w:tcPr>
          <w:p w14:paraId="6A72453C" w14:textId="77777777" w:rsidR="00306BFF" w:rsidRPr="006842EB" w:rsidRDefault="00306BFF" w:rsidP="00966868">
            <w:pPr>
              <w:pStyle w:val="NoSpacing"/>
              <w:rPr>
                <w:b/>
                <w:bCs/>
              </w:rPr>
            </w:pPr>
            <w:r w:rsidRPr="006842EB">
              <w:rPr>
                <w:b/>
                <w:bCs/>
              </w:rPr>
              <w:t>Respiratory rate</w:t>
            </w:r>
          </w:p>
        </w:tc>
        <w:tc>
          <w:tcPr>
            <w:tcW w:w="1485" w:type="pct"/>
          </w:tcPr>
          <w:p w14:paraId="3CD6FF1D" w14:textId="36615E64" w:rsidR="00306BFF" w:rsidRPr="001F4BAA" w:rsidRDefault="00306BFF" w:rsidP="00966868">
            <w:pPr>
              <w:pStyle w:val="NoSpacing"/>
            </w:pPr>
            <w:r w:rsidRPr="001F4BAA">
              <w:t>&lt;40 breaths/minute</w:t>
            </w:r>
          </w:p>
        </w:tc>
        <w:tc>
          <w:tcPr>
            <w:tcW w:w="1609" w:type="pct"/>
          </w:tcPr>
          <w:p w14:paraId="1F05E017" w14:textId="506EF892" w:rsidR="00306BFF" w:rsidRPr="001F4BAA" w:rsidRDefault="00306BFF" w:rsidP="00966868">
            <w:pPr>
              <w:pStyle w:val="NoSpacing"/>
            </w:pPr>
            <w:r w:rsidRPr="001F4BAA">
              <w:t>&gt;40 breaths/minute</w:t>
            </w:r>
          </w:p>
        </w:tc>
      </w:tr>
      <w:tr w:rsidR="00306BFF" w:rsidRPr="001F4BAA" w14:paraId="36D45E80" w14:textId="77777777" w:rsidTr="00966868">
        <w:trPr>
          <w:trHeight w:val="159"/>
        </w:trPr>
        <w:tc>
          <w:tcPr>
            <w:tcW w:w="1906" w:type="pct"/>
          </w:tcPr>
          <w:p w14:paraId="2BE61B9D" w14:textId="77777777" w:rsidR="00306BFF" w:rsidRPr="006842EB" w:rsidRDefault="00306BFF" w:rsidP="00966868">
            <w:pPr>
              <w:pStyle w:val="NoSpacing"/>
              <w:rPr>
                <w:b/>
                <w:bCs/>
              </w:rPr>
            </w:pPr>
            <w:r w:rsidRPr="006842EB">
              <w:rPr>
                <w:b/>
                <w:bCs/>
              </w:rPr>
              <w:t>Chest indrawing or recession</w:t>
            </w:r>
          </w:p>
        </w:tc>
        <w:tc>
          <w:tcPr>
            <w:tcW w:w="1485" w:type="pct"/>
          </w:tcPr>
          <w:p w14:paraId="35BE3379" w14:textId="77777777" w:rsidR="00306BFF" w:rsidRPr="001F4BAA" w:rsidRDefault="00306BFF" w:rsidP="00966868">
            <w:pPr>
              <w:pStyle w:val="NoSpacing"/>
            </w:pPr>
            <w:r w:rsidRPr="001F4BAA">
              <w:t>absent</w:t>
            </w:r>
          </w:p>
        </w:tc>
        <w:tc>
          <w:tcPr>
            <w:tcW w:w="1609" w:type="pct"/>
          </w:tcPr>
          <w:p w14:paraId="5CC96FD6" w14:textId="77777777" w:rsidR="00306BFF" w:rsidRPr="001F4BAA" w:rsidRDefault="00306BFF" w:rsidP="00966868">
            <w:pPr>
              <w:pStyle w:val="NoSpacing"/>
            </w:pPr>
            <w:r w:rsidRPr="001F4BAA">
              <w:t>present</w:t>
            </w:r>
          </w:p>
        </w:tc>
      </w:tr>
      <w:tr w:rsidR="00306BFF" w:rsidRPr="001F4BAA" w14:paraId="658FBC88" w14:textId="77777777" w:rsidTr="00966868">
        <w:trPr>
          <w:trHeight w:val="77"/>
        </w:trPr>
        <w:tc>
          <w:tcPr>
            <w:tcW w:w="1906" w:type="pct"/>
          </w:tcPr>
          <w:p w14:paraId="0C3A34B6" w14:textId="77777777" w:rsidR="00306BFF" w:rsidRPr="006842EB" w:rsidRDefault="00306BFF" w:rsidP="00966868">
            <w:pPr>
              <w:pStyle w:val="NoSpacing"/>
              <w:rPr>
                <w:b/>
                <w:bCs/>
              </w:rPr>
            </w:pPr>
            <w:r w:rsidRPr="006842EB">
              <w:rPr>
                <w:b/>
                <w:bCs/>
              </w:rPr>
              <w:t>Speech</w:t>
            </w:r>
          </w:p>
        </w:tc>
        <w:tc>
          <w:tcPr>
            <w:tcW w:w="1485" w:type="pct"/>
          </w:tcPr>
          <w:p w14:paraId="3004E649" w14:textId="77777777" w:rsidR="00306BFF" w:rsidRPr="001F4BAA" w:rsidRDefault="00306BFF" w:rsidP="00966868">
            <w:pPr>
              <w:pStyle w:val="NoSpacing"/>
            </w:pPr>
            <w:r w:rsidRPr="001F4BAA">
              <w:t>normal</w:t>
            </w:r>
          </w:p>
        </w:tc>
        <w:tc>
          <w:tcPr>
            <w:tcW w:w="1609" w:type="pct"/>
          </w:tcPr>
          <w:p w14:paraId="470352E4" w14:textId="77777777" w:rsidR="00306BFF" w:rsidRPr="001F4BAA" w:rsidRDefault="00306BFF" w:rsidP="00966868">
            <w:pPr>
              <w:pStyle w:val="NoSpacing"/>
            </w:pPr>
            <w:r w:rsidRPr="001F4BAA">
              <w:t>impaired</w:t>
            </w:r>
          </w:p>
        </w:tc>
      </w:tr>
      <w:tr w:rsidR="00306BFF" w:rsidRPr="001F4BAA" w14:paraId="55B73E01" w14:textId="77777777" w:rsidTr="00966868">
        <w:trPr>
          <w:trHeight w:val="137"/>
        </w:trPr>
        <w:tc>
          <w:tcPr>
            <w:tcW w:w="1906" w:type="pct"/>
          </w:tcPr>
          <w:p w14:paraId="5640A717" w14:textId="77777777" w:rsidR="00306BFF" w:rsidRPr="006842EB" w:rsidRDefault="00306BFF" w:rsidP="00966868">
            <w:pPr>
              <w:pStyle w:val="NoSpacing"/>
              <w:rPr>
                <w:b/>
                <w:bCs/>
              </w:rPr>
            </w:pPr>
            <w:r w:rsidRPr="006842EB">
              <w:rPr>
                <w:b/>
                <w:bCs/>
              </w:rPr>
              <w:t>Feeding</w:t>
            </w:r>
          </w:p>
        </w:tc>
        <w:tc>
          <w:tcPr>
            <w:tcW w:w="1485" w:type="pct"/>
          </w:tcPr>
          <w:p w14:paraId="0956F699" w14:textId="77777777" w:rsidR="00306BFF" w:rsidRPr="001F4BAA" w:rsidRDefault="00306BFF" w:rsidP="00966868">
            <w:pPr>
              <w:pStyle w:val="NoSpacing"/>
            </w:pPr>
            <w:r w:rsidRPr="001F4BAA">
              <w:t>normal</w:t>
            </w:r>
          </w:p>
        </w:tc>
        <w:tc>
          <w:tcPr>
            <w:tcW w:w="1609" w:type="pct"/>
          </w:tcPr>
          <w:p w14:paraId="683F0BDE" w14:textId="77777777" w:rsidR="00306BFF" w:rsidRPr="001F4BAA" w:rsidRDefault="00306BFF" w:rsidP="00966868">
            <w:pPr>
              <w:pStyle w:val="NoSpacing"/>
            </w:pPr>
            <w:r w:rsidRPr="001F4BAA">
              <w:t>impaired</w:t>
            </w:r>
          </w:p>
        </w:tc>
      </w:tr>
    </w:tbl>
    <w:p w14:paraId="7115344F" w14:textId="77777777" w:rsidR="00306BFF" w:rsidRPr="001F4BAA" w:rsidRDefault="00306BFF" w:rsidP="00306BFF">
      <w:pPr>
        <w:pStyle w:val="Heading6"/>
      </w:pPr>
      <w:r w:rsidRPr="001F4BAA">
        <w:t>Patients responding to treatment:</w:t>
      </w:r>
    </w:p>
    <w:p w14:paraId="5584AE8A" w14:textId="77777777" w:rsidR="00306BFF" w:rsidRPr="001F4BAA" w:rsidRDefault="00306BFF" w:rsidP="00306BFF">
      <w:pPr>
        <w:pStyle w:val="ListParagraph"/>
      </w:pPr>
      <w:r w:rsidRPr="001F4BAA">
        <w:t>Routine prescription of antibiotics is not indicated for acute asthma.</w:t>
      </w:r>
    </w:p>
    <w:p w14:paraId="5E28B714" w14:textId="77777777" w:rsidR="00306BFF" w:rsidRPr="001F4BAA" w:rsidRDefault="00306BFF" w:rsidP="00306BFF">
      <w:pPr>
        <w:pStyle w:val="ListParagraph"/>
      </w:pPr>
      <w:r w:rsidRPr="001F4BAA">
        <w:t>Review current treatment and possible factors causing acute attack including poor adherence and poor inhaler technique.</w:t>
      </w:r>
    </w:p>
    <w:p w14:paraId="5B045707" w14:textId="77777777" w:rsidR="00306BFF" w:rsidRPr="001F4BAA" w:rsidRDefault="00306BFF" w:rsidP="00306BFF">
      <w:pPr>
        <w:pStyle w:val="ListParagraph"/>
      </w:pPr>
      <w:r w:rsidRPr="001F4BAA">
        <w:t>Advise patient/caregiver on further care at home, danger signs and that follow up is required.</w:t>
      </w:r>
    </w:p>
    <w:p w14:paraId="508B7C70" w14:textId="5E318917" w:rsidR="00306BFF" w:rsidRPr="001F4BAA" w:rsidRDefault="00306BFF" w:rsidP="00306BFF">
      <w:pPr>
        <w:pStyle w:val="ListParagraph"/>
      </w:pPr>
      <w:r w:rsidRPr="001F4BAA">
        <w:t>Caution patient</w:t>
      </w:r>
      <w:r w:rsidR="006C5447">
        <w:t>/carer</w:t>
      </w:r>
      <w:r w:rsidRPr="001F4BAA">
        <w:t xml:space="preserve"> on the high chance of further wheezing in the week following an acute attack.</w:t>
      </w:r>
    </w:p>
    <w:p w14:paraId="1231A6D0" w14:textId="77777777" w:rsidR="00306BFF" w:rsidRPr="001F4BAA" w:rsidRDefault="00306BFF" w:rsidP="00306BFF">
      <w:pPr>
        <w:pStyle w:val="ListParagraph"/>
      </w:pPr>
      <w:r w:rsidRPr="001F4BAA">
        <w:t>Patients with a first attack should be fully assessed for maintenance treatment.</w:t>
      </w:r>
    </w:p>
    <w:p w14:paraId="4814A522" w14:textId="5804731F" w:rsidR="00306BFF" w:rsidRPr="001F4BAA" w:rsidRDefault="00306BFF" w:rsidP="00306BFF">
      <w:pPr>
        <w:pStyle w:val="NoSpacing"/>
      </w:pPr>
      <w:r w:rsidRPr="00AD7AF5">
        <w:rPr>
          <w:rStyle w:val="Strong"/>
        </w:rPr>
        <w:t>Note:</w:t>
      </w:r>
      <w:r w:rsidRPr="001F4BAA">
        <w:t xml:space="preserve"> Patients needing repeated courses of oral corticosteroids (more than twice over 6 months) should be assessed by a doctor for maintenance therapy. (See Section 17.1.</w:t>
      </w:r>
      <w:r w:rsidR="00494FF7">
        <w:t>3</w:t>
      </w:r>
      <w:r w:rsidRPr="001F4BAA">
        <w:t>: Chronic asthma</w:t>
      </w:r>
      <w:r w:rsidR="007277E7">
        <w:t>.</w:t>
      </w:r>
      <w:r w:rsidRPr="001F4BAA">
        <w:t>)</w:t>
      </w:r>
    </w:p>
    <w:p w14:paraId="5B0FD75A" w14:textId="77777777" w:rsidR="00306BFF" w:rsidRPr="001F4BAA" w:rsidRDefault="00306BFF" w:rsidP="00306BFF">
      <w:pPr>
        <w:pStyle w:val="Heading5"/>
      </w:pPr>
      <w:r w:rsidRPr="001F4BAA">
        <w:t>REFERRAL</w:t>
      </w:r>
    </w:p>
    <w:p w14:paraId="09C574E9" w14:textId="77777777" w:rsidR="00306BFF" w:rsidRPr="00AD7AF5" w:rsidRDefault="00306BFF" w:rsidP="00306BFF">
      <w:pPr>
        <w:pStyle w:val="NoSpacing"/>
        <w:rPr>
          <w:rStyle w:val="Strong"/>
        </w:rPr>
      </w:pPr>
      <w:r w:rsidRPr="00AD7AF5">
        <w:rPr>
          <w:rStyle w:val="Strong"/>
        </w:rPr>
        <w:t xml:space="preserve">Urgent (after commencing treatment): </w:t>
      </w:r>
    </w:p>
    <w:p w14:paraId="7722C09E" w14:textId="77777777" w:rsidR="00306BFF" w:rsidRPr="001F4BAA" w:rsidRDefault="00306BFF" w:rsidP="00306BFF">
      <w:pPr>
        <w:pStyle w:val="ListParagraph"/>
      </w:pPr>
      <w:r w:rsidRPr="001F4BAA">
        <w:t>All patients with severe attack.</w:t>
      </w:r>
    </w:p>
    <w:p w14:paraId="0B447386" w14:textId="77777777" w:rsidR="00306BFF" w:rsidRPr="001F4BAA" w:rsidRDefault="00306BFF" w:rsidP="00306BFF">
      <w:pPr>
        <w:pStyle w:val="ListParagraph"/>
      </w:pPr>
      <w:r w:rsidRPr="001F4BAA">
        <w:t>Poor response to initial treatment.</w:t>
      </w:r>
    </w:p>
    <w:p w14:paraId="5C10948D" w14:textId="19C13ED6" w:rsidR="00306BFF" w:rsidRPr="001F4BAA" w:rsidRDefault="00306BFF" w:rsidP="00306BFF">
      <w:pPr>
        <w:pStyle w:val="ListParagraph"/>
      </w:pPr>
      <w:r w:rsidRPr="001F4BAA">
        <w:t xml:space="preserve">PEFR </w:t>
      </w:r>
      <w:r w:rsidR="007277E7">
        <w:t>&lt;</w:t>
      </w:r>
      <w:r w:rsidRPr="001F4BAA">
        <w:t>75% of the predicted normal or of personal best value 15</w:t>
      </w:r>
      <w:r w:rsidR="007277E7" w:rsidRPr="007277E7">
        <w:t xml:space="preserve"> </w:t>
      </w:r>
      <w:r w:rsidR="007277E7">
        <w:t xml:space="preserve">to </w:t>
      </w:r>
      <w:r w:rsidRPr="001F4BAA">
        <w:t>30 minutes after nebulisation.</w:t>
      </w:r>
    </w:p>
    <w:p w14:paraId="031FB9E5" w14:textId="77777777" w:rsidR="00306BFF" w:rsidRPr="001F4BAA" w:rsidRDefault="00306BFF" w:rsidP="00306BFF">
      <w:pPr>
        <w:pStyle w:val="ListParagraph"/>
      </w:pPr>
      <w:r w:rsidRPr="001F4BAA">
        <w:t>A lower threshold to admission is appropriate in patients when:</w:t>
      </w:r>
    </w:p>
    <w:p w14:paraId="732B4368" w14:textId="0EEF1B53" w:rsidR="00306BFF" w:rsidRPr="001F4BAA" w:rsidRDefault="00306BFF" w:rsidP="00306BFF">
      <w:pPr>
        <w:pStyle w:val="ListParagraph"/>
        <w:numPr>
          <w:ilvl w:val="1"/>
          <w:numId w:val="4"/>
        </w:numPr>
      </w:pPr>
      <w:r w:rsidRPr="001F4BAA">
        <w:t>seen in the afternoon or evening, rather than earlier in the day</w:t>
      </w:r>
      <w:r w:rsidR="00494FF7">
        <w:t>.</w:t>
      </w:r>
    </w:p>
    <w:p w14:paraId="5DC5D5FB" w14:textId="48AA8BB9" w:rsidR="00306BFF" w:rsidRPr="001F4BAA" w:rsidRDefault="00306BFF" w:rsidP="00306BFF">
      <w:pPr>
        <w:pStyle w:val="ListParagraph"/>
        <w:numPr>
          <w:ilvl w:val="1"/>
          <w:numId w:val="4"/>
        </w:numPr>
      </w:pPr>
      <w:r w:rsidRPr="001F4BAA">
        <w:t>recent onset of nocturnal symptoms or aggravation of symptoms</w:t>
      </w:r>
      <w:r w:rsidR="00494FF7">
        <w:t>.</w:t>
      </w:r>
    </w:p>
    <w:p w14:paraId="09AEF001" w14:textId="2682ECA0" w:rsidR="00306BFF" w:rsidRPr="001F4BAA" w:rsidRDefault="00306BFF" w:rsidP="00306BFF">
      <w:pPr>
        <w:pStyle w:val="ListParagraph"/>
        <w:numPr>
          <w:ilvl w:val="1"/>
          <w:numId w:val="4"/>
        </w:numPr>
      </w:pPr>
      <w:r w:rsidRPr="001F4BAA">
        <w:t>previous severe attacks, especially if the onset was rapid</w:t>
      </w:r>
      <w:r w:rsidR="00494FF7">
        <w:t>.</w:t>
      </w:r>
    </w:p>
    <w:p w14:paraId="06BEF837" w14:textId="77777777" w:rsidR="00164AFD" w:rsidRDefault="00164AFD" w:rsidP="00306BFF">
      <w:pPr>
        <w:pStyle w:val="NoSpacing"/>
      </w:pPr>
    </w:p>
    <w:p w14:paraId="7B9847BD" w14:textId="2C493518" w:rsidR="00FF01A9" w:rsidRPr="0028477E" w:rsidRDefault="00DF1DED" w:rsidP="006C5447">
      <w:pPr>
        <w:pStyle w:val="Heading3"/>
        <w:numPr>
          <w:ilvl w:val="0"/>
          <w:numId w:val="0"/>
        </w:numPr>
      </w:pPr>
      <w:bookmarkStart w:id="14" w:name="_Toc57838375"/>
      <w:bookmarkStart w:id="15" w:name="_Toc57838471"/>
      <w:bookmarkStart w:id="16" w:name="_Toc57839888"/>
      <w:bookmarkStart w:id="17" w:name="_Toc57840025"/>
      <w:bookmarkStart w:id="18" w:name="_Toc177054023"/>
      <w:r>
        <w:t xml:space="preserve">17.1.3 </w:t>
      </w:r>
      <w:r w:rsidR="0028477E" w:rsidRPr="0028477E">
        <w:t>Chronic asthma</w:t>
      </w:r>
      <w:bookmarkEnd w:id="14"/>
      <w:bookmarkEnd w:id="15"/>
      <w:bookmarkEnd w:id="16"/>
      <w:bookmarkEnd w:id="17"/>
      <w:bookmarkEnd w:id="18"/>
      <w:r w:rsidR="00A9520D">
        <w:t xml:space="preserve"> </w:t>
      </w:r>
      <w:r w:rsidR="001132AD">
        <w:fldChar w:fldCharType="begin"/>
      </w:r>
      <w:r w:rsidR="001132AD">
        <w:instrText xml:space="preserve"> XE "</w:instrText>
      </w:r>
      <w:r w:rsidR="001132AD" w:rsidRPr="004A0AEB">
        <w:instrText>Chronic asthma</w:instrText>
      </w:r>
      <w:r w:rsidR="001132AD">
        <w:instrText xml:space="preserve">" </w:instrText>
      </w:r>
      <w:r w:rsidR="001132AD" w:rsidRPr="001132AD">
        <w:instrText xml:space="preserve">\f “c” </w:instrText>
      </w:r>
      <w:r w:rsidR="001132AD">
        <w:fldChar w:fldCharType="end"/>
      </w:r>
    </w:p>
    <w:p w14:paraId="1C051EFD" w14:textId="77777777" w:rsidR="00FF01A9" w:rsidRPr="00575D86" w:rsidRDefault="00FF01A9" w:rsidP="002344FD">
      <w:pPr>
        <w:pStyle w:val="ICD10"/>
        <w:shd w:val="clear" w:color="auto" w:fill="F2F2F2" w:themeFill="background1" w:themeFillShade="F2"/>
        <w:tabs>
          <w:tab w:val="left" w:pos="2753"/>
        </w:tabs>
      </w:pPr>
      <w:r w:rsidRPr="00575D86">
        <w:t>J45.0-1/J45.8-9</w:t>
      </w:r>
    </w:p>
    <w:p w14:paraId="5F4813B7" w14:textId="77777777" w:rsidR="00C6733F" w:rsidRDefault="00C6733F" w:rsidP="00C6733F">
      <w:pPr>
        <w:pStyle w:val="Heading5"/>
        <w:spacing w:before="0"/>
      </w:pPr>
    </w:p>
    <w:p w14:paraId="2BEE1C7F" w14:textId="77777777" w:rsidR="00FF01A9" w:rsidRDefault="00FF01A9" w:rsidP="00C6733F">
      <w:pPr>
        <w:pStyle w:val="Heading5"/>
        <w:spacing w:before="0"/>
      </w:pPr>
      <w:r w:rsidRPr="00575D86">
        <w:t xml:space="preserve">DESCRIPTION </w:t>
      </w:r>
    </w:p>
    <w:p w14:paraId="78FAC290" w14:textId="77777777" w:rsidR="00C6733F" w:rsidRPr="00546172" w:rsidRDefault="00C6733F" w:rsidP="00C6733F">
      <w:pPr>
        <w:spacing w:before="0" w:after="0"/>
        <w:rPr>
          <w:rFonts w:cs="Arial"/>
        </w:rPr>
      </w:pPr>
      <w:r w:rsidRPr="00546172">
        <w:rPr>
          <w:rFonts w:cs="Arial"/>
        </w:rPr>
        <w:t>Asthma is a reversible disorder with reversible airway obstruction. It cannot be cured, but it can be controlled with regular treatment.</w:t>
      </w:r>
    </w:p>
    <w:p w14:paraId="03DE0F39" w14:textId="12F2226B" w:rsidR="00C6733F" w:rsidRPr="00176697" w:rsidRDefault="00C6733F" w:rsidP="00176697">
      <w:pPr>
        <w:spacing w:before="0"/>
        <w:rPr>
          <w:rFonts w:cs="Arial"/>
        </w:rPr>
      </w:pPr>
      <w:r w:rsidRPr="00546172">
        <w:rPr>
          <w:rFonts w:cs="Arial"/>
        </w:rPr>
        <w:t xml:space="preserve">Asthma must be distinguished </w:t>
      </w:r>
      <w:r w:rsidRPr="00803D33">
        <w:rPr>
          <w:rFonts w:cs="Arial"/>
        </w:rPr>
        <w:t>from chronic obstructive pulmonary disease (COPD) to aid in selection of appropriate treatment (See Section 17.1.5: Chronic obstructive pulmonary disease (COPD)).</w:t>
      </w:r>
      <w:r w:rsidRPr="00546172">
        <w:rPr>
          <w:rFonts w:cs="Arial"/>
        </w:rPr>
        <w:t xml:space="preserve"> A summary table of the differences between asthma and COPD is included in the treatment algorithm below. If symptoms suggest TB (e.g. weight loss, night sweats, etc.), investigate and manage accordingly.</w:t>
      </w:r>
    </w:p>
    <w:p w14:paraId="68C7FFBD" w14:textId="5A5B37EC" w:rsidR="00FF01A9" w:rsidRPr="00575D86" w:rsidRDefault="00FF01A9" w:rsidP="00FF01A9">
      <w:pPr>
        <w:pStyle w:val="NoSpacing"/>
      </w:pPr>
      <w:r w:rsidRPr="00575D86">
        <w:t xml:space="preserve">In susceptible patients, exposure to various environmental triggers, allergens or viral infections results in inflammatory changes, bronchospasm, increased bronchial secretions, mucus plug formation and, if not controlled, eventual bronchial muscle </w:t>
      </w:r>
      <w:r w:rsidRPr="00575D86">
        <w:lastRenderedPageBreak/>
        <w:t xml:space="preserve">hypertrophy of the </w:t>
      </w:r>
      <w:r w:rsidR="00CB4B3B" w:rsidRPr="00575D86">
        <w:t xml:space="preserve">smooth muscle </w:t>
      </w:r>
      <w:r w:rsidR="00CB4B3B">
        <w:t xml:space="preserve">in the </w:t>
      </w:r>
      <w:r w:rsidRPr="00575D86">
        <w:t>airways. All these factors contribute to airway obstruction.</w:t>
      </w:r>
    </w:p>
    <w:p w14:paraId="3369874E" w14:textId="77777777" w:rsidR="007E7542" w:rsidRDefault="007E7542" w:rsidP="00FF01A9">
      <w:pPr>
        <w:pStyle w:val="NoSpacing"/>
      </w:pPr>
    </w:p>
    <w:p w14:paraId="7306F445" w14:textId="579A3CBE" w:rsidR="00C6733F" w:rsidRDefault="00C6733F" w:rsidP="00C6733F">
      <w:pPr>
        <w:pStyle w:val="Heading5"/>
        <w:spacing w:before="0"/>
      </w:pPr>
      <w:r w:rsidRPr="00575D86">
        <w:t>GENERAL MEASURES</w:t>
      </w:r>
    </w:p>
    <w:p w14:paraId="0C330001" w14:textId="77777777" w:rsidR="00C6733F" w:rsidRPr="00C6733F" w:rsidRDefault="00C6733F" w:rsidP="00C6733F">
      <w:pPr>
        <w:spacing w:before="0" w:after="0"/>
        <w:rPr>
          <w:rFonts w:cs="Arial"/>
          <w:b/>
          <w:bCs/>
          <w:u w:val="single"/>
        </w:rPr>
      </w:pPr>
      <w:r w:rsidRPr="00C6733F">
        <w:rPr>
          <w:rFonts w:cs="Arial"/>
          <w:b/>
          <w:bCs/>
          <w:u w:val="single"/>
        </w:rPr>
        <w:t>Before starting treatment</w:t>
      </w:r>
    </w:p>
    <w:p w14:paraId="1B93EC6C" w14:textId="77777777" w:rsidR="00C6733F" w:rsidRPr="001E4E4A" w:rsidRDefault="00C6733F" w:rsidP="008542CC">
      <w:pPr>
        <w:pStyle w:val="ListParagraph"/>
        <w:numPr>
          <w:ilvl w:val="0"/>
          <w:numId w:val="63"/>
        </w:numPr>
        <w:rPr>
          <w:rFonts w:cs="Arial"/>
          <w:b/>
          <w:bCs/>
          <w:lang w:val="en-GB"/>
        </w:rPr>
      </w:pPr>
      <w:r w:rsidRPr="001E4E4A">
        <w:rPr>
          <w:rFonts w:cs="Arial"/>
          <w:b/>
          <w:bCs/>
          <w:lang w:val="en-GB"/>
        </w:rPr>
        <w:t>Confirm asthma diagnosis</w:t>
      </w:r>
    </w:p>
    <w:p w14:paraId="14E1BEB5" w14:textId="77777777" w:rsidR="00C6733F" w:rsidRPr="00C6733F" w:rsidRDefault="00C6733F" w:rsidP="001E4E4A">
      <w:pPr>
        <w:spacing w:before="0" w:after="0"/>
        <w:ind w:left="76" w:firstLine="284"/>
        <w:rPr>
          <w:rFonts w:cs="Arial"/>
        </w:rPr>
      </w:pPr>
      <w:r w:rsidRPr="00C6733F">
        <w:rPr>
          <w:rFonts w:cs="Arial"/>
        </w:rPr>
        <w:t>Suggestive features:</w:t>
      </w:r>
    </w:p>
    <w:p w14:paraId="335DE691" w14:textId="77777777" w:rsidR="00C6733F" w:rsidRPr="001E4E4A" w:rsidRDefault="00C6733F" w:rsidP="001E4E4A">
      <w:pPr>
        <w:pStyle w:val="ListParagraph"/>
        <w:numPr>
          <w:ilvl w:val="1"/>
          <w:numId w:val="4"/>
        </w:numPr>
      </w:pPr>
      <w:r w:rsidRPr="001E4E4A">
        <w:rPr>
          <w:u w:val="single"/>
        </w:rPr>
        <w:t>Respiratory symptoms :</w:t>
      </w:r>
      <w:r w:rsidRPr="001E4E4A">
        <w:t xml:space="preserve"> wheeze, cough, tight chest, shortness of breath</w:t>
      </w:r>
    </w:p>
    <w:p w14:paraId="34632716" w14:textId="77777777" w:rsidR="00C6733F" w:rsidRPr="001E4E4A" w:rsidRDefault="00C6733F" w:rsidP="001E4E4A">
      <w:pPr>
        <w:pStyle w:val="ListParagraph"/>
        <w:numPr>
          <w:ilvl w:val="1"/>
          <w:numId w:val="4"/>
        </w:numPr>
      </w:pPr>
      <w:r w:rsidRPr="001E4E4A">
        <w:rPr>
          <w:u w:val="single"/>
        </w:rPr>
        <w:t>History and examination:</w:t>
      </w:r>
      <w:r w:rsidRPr="001E4E4A">
        <w:t xml:space="preserve"> intermittent symptoms, night-time symptoms, identified triggers, atopy (e.g. eczema, allergic rhinitis), family history</w:t>
      </w:r>
    </w:p>
    <w:p w14:paraId="5ADF4BBC" w14:textId="77777777" w:rsidR="00C6733F" w:rsidRPr="001E4E4A" w:rsidRDefault="00C6733F" w:rsidP="001E4E4A">
      <w:pPr>
        <w:pStyle w:val="ListParagraph"/>
        <w:numPr>
          <w:ilvl w:val="1"/>
          <w:numId w:val="4"/>
        </w:numPr>
      </w:pPr>
      <w:r w:rsidRPr="001E4E4A">
        <w:rPr>
          <w:u w:val="single"/>
        </w:rPr>
        <w:t>Reversibility test:</w:t>
      </w:r>
      <w:r w:rsidRPr="001E4E4A">
        <w:t xml:space="preserve"> &gt;20% increase in peak expiratory flow rate (PEFR) 10 mins after administering short-acting β2 agonist (SABA)</w:t>
      </w:r>
    </w:p>
    <w:p w14:paraId="436955D8" w14:textId="1D9845AA" w:rsidR="00C6733F" w:rsidRPr="001E4E4A" w:rsidRDefault="00C6733F" w:rsidP="008542CC">
      <w:pPr>
        <w:pStyle w:val="ListParagraph"/>
        <w:numPr>
          <w:ilvl w:val="0"/>
          <w:numId w:val="63"/>
        </w:numPr>
        <w:rPr>
          <w:rFonts w:cs="Arial"/>
          <w:b/>
          <w:bCs/>
          <w:lang w:val="en-GB"/>
        </w:rPr>
      </w:pPr>
      <w:r w:rsidRPr="001E4E4A">
        <w:rPr>
          <w:rFonts w:cs="Arial"/>
          <w:b/>
          <w:bCs/>
          <w:lang w:val="en-GB"/>
        </w:rPr>
        <w:t>Identify triggers and address modifiable risk factors</w:t>
      </w:r>
      <w:r w:rsidR="001E4E4A" w:rsidRPr="001E4E4A">
        <w:rPr>
          <w:rFonts w:cs="Arial"/>
          <w:b/>
          <w:bCs/>
          <w:lang w:val="en-GB"/>
        </w:rPr>
        <w:t>.</w:t>
      </w:r>
    </w:p>
    <w:tbl>
      <w:tblPr>
        <w:tblStyle w:val="TableGrid3"/>
        <w:tblW w:w="6807" w:type="dxa"/>
        <w:tblInd w:w="10" w:type="dxa"/>
        <w:tblLook w:val="04A0" w:firstRow="1" w:lastRow="0" w:firstColumn="1" w:lastColumn="0" w:noHBand="0" w:noVBand="1"/>
      </w:tblPr>
      <w:tblGrid>
        <w:gridCol w:w="1749"/>
        <w:gridCol w:w="2410"/>
        <w:gridCol w:w="2648"/>
      </w:tblGrid>
      <w:tr w:rsidR="001E4E4A" w:rsidRPr="001E4E4A" w14:paraId="24343C21" w14:textId="77777777" w:rsidTr="001E4E4A">
        <w:tc>
          <w:tcPr>
            <w:tcW w:w="6807" w:type="dxa"/>
            <w:gridSpan w:val="3"/>
            <w:tcBorders>
              <w:top w:val="nil"/>
              <w:left w:val="nil"/>
              <w:bottom w:val="single" w:sz="4" w:space="0" w:color="auto"/>
              <w:right w:val="nil"/>
            </w:tcBorders>
          </w:tcPr>
          <w:p w14:paraId="7B165E80" w14:textId="77777777" w:rsidR="001E4E4A" w:rsidRPr="001E4E4A" w:rsidRDefault="001E4E4A" w:rsidP="001E4E4A">
            <w:pPr>
              <w:spacing w:before="0" w:after="0"/>
              <w:jc w:val="left"/>
              <w:rPr>
                <w:rFonts w:eastAsia="Calibri" w:cs="Arial"/>
                <w:bCs/>
                <w:i/>
                <w:iCs/>
                <w:spacing w:val="0"/>
                <w:sz w:val="18"/>
                <w:szCs w:val="18"/>
                <w:lang w:val="en-US"/>
              </w:rPr>
            </w:pPr>
            <w:r w:rsidRPr="001E4E4A">
              <w:rPr>
                <w:rFonts w:eastAsia="Calibri" w:cs="Arial"/>
                <w:bCs/>
                <w:i/>
                <w:iCs/>
                <w:spacing w:val="0"/>
                <w:sz w:val="18"/>
                <w:szCs w:val="18"/>
                <w:lang w:val="en-US"/>
              </w:rPr>
              <w:t>Assessment of risk factors</w:t>
            </w:r>
          </w:p>
        </w:tc>
      </w:tr>
      <w:tr w:rsidR="001E4E4A" w:rsidRPr="001E4E4A" w14:paraId="518B25EF" w14:textId="77777777" w:rsidTr="001E4E4A">
        <w:tc>
          <w:tcPr>
            <w:tcW w:w="6807" w:type="dxa"/>
            <w:gridSpan w:val="3"/>
            <w:tcBorders>
              <w:top w:val="single" w:sz="4" w:space="0" w:color="auto"/>
            </w:tcBorders>
            <w:shd w:val="clear" w:color="auto" w:fill="E7E6E6"/>
          </w:tcPr>
          <w:p w14:paraId="02F3798F" w14:textId="77777777" w:rsidR="001E4E4A" w:rsidRPr="001E4E4A" w:rsidRDefault="001E4E4A" w:rsidP="001E4E4A">
            <w:pPr>
              <w:spacing w:before="0" w:after="0"/>
              <w:jc w:val="left"/>
              <w:rPr>
                <w:rFonts w:eastAsia="Calibri" w:cs="Arial"/>
                <w:b/>
                <w:spacing w:val="0"/>
                <w:sz w:val="18"/>
                <w:szCs w:val="18"/>
                <w:lang w:val="en-US"/>
              </w:rPr>
            </w:pPr>
            <w:r w:rsidRPr="001E4E4A">
              <w:rPr>
                <w:rFonts w:eastAsia="Calibri" w:cs="Arial"/>
                <w:b/>
                <w:spacing w:val="0"/>
                <w:sz w:val="18"/>
                <w:szCs w:val="18"/>
                <w:lang w:val="en-US"/>
              </w:rPr>
              <w:t>Risk factors for exacerbations</w:t>
            </w:r>
          </w:p>
        </w:tc>
      </w:tr>
      <w:tr w:rsidR="001E4E4A" w:rsidRPr="001E4E4A" w14:paraId="5D6825FF" w14:textId="77777777" w:rsidTr="001E4E4A">
        <w:tc>
          <w:tcPr>
            <w:tcW w:w="1749" w:type="dxa"/>
            <w:vAlign w:val="center"/>
          </w:tcPr>
          <w:p w14:paraId="623B2A80"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Poor control</w:t>
            </w:r>
          </w:p>
        </w:tc>
        <w:tc>
          <w:tcPr>
            <w:tcW w:w="5058" w:type="dxa"/>
            <w:gridSpan w:val="2"/>
            <w:vAlign w:val="center"/>
          </w:tcPr>
          <w:p w14:paraId="12DA57D4"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 xml:space="preserve">Presence of any of the following over the past 4 weeks: Daytime asthma symptoms more than twice per week; any night waking due to asthma; use of SABA-only reliever more than twice weekly; any activity limitation due to asthma. </w:t>
            </w:r>
          </w:p>
        </w:tc>
      </w:tr>
      <w:tr w:rsidR="001E4E4A" w:rsidRPr="001E4E4A" w14:paraId="2613B6B5" w14:textId="77777777" w:rsidTr="001E4E4A">
        <w:tc>
          <w:tcPr>
            <w:tcW w:w="1749" w:type="dxa"/>
            <w:vAlign w:val="center"/>
          </w:tcPr>
          <w:p w14:paraId="7F869A80"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Inappropriate medication use</w:t>
            </w:r>
          </w:p>
        </w:tc>
        <w:tc>
          <w:tcPr>
            <w:tcW w:w="5058" w:type="dxa"/>
            <w:gridSpan w:val="2"/>
            <w:tcBorders>
              <w:bottom w:val="single" w:sz="4" w:space="0" w:color="auto"/>
            </w:tcBorders>
          </w:tcPr>
          <w:p w14:paraId="69E20BCC"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High SABA use (more than 3 x 200-dose inhalers per year)</w:t>
            </w:r>
          </w:p>
          <w:p w14:paraId="1FEB6F26"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Inadequate ICS use (not prescribed, poor adherence, poor inhaler technique)</w:t>
            </w:r>
          </w:p>
        </w:tc>
      </w:tr>
      <w:tr w:rsidR="001E4E4A" w:rsidRPr="001E4E4A" w14:paraId="6FB027B5" w14:textId="77777777" w:rsidTr="001E4E4A">
        <w:tc>
          <w:tcPr>
            <w:tcW w:w="1749" w:type="dxa"/>
            <w:tcBorders>
              <w:right w:val="single" w:sz="4" w:space="0" w:color="auto"/>
            </w:tcBorders>
            <w:vAlign w:val="center"/>
          </w:tcPr>
          <w:p w14:paraId="5D55168B"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Co-morbidities</w:t>
            </w:r>
          </w:p>
        </w:tc>
        <w:tc>
          <w:tcPr>
            <w:tcW w:w="2410" w:type="dxa"/>
            <w:tcBorders>
              <w:top w:val="single" w:sz="4" w:space="0" w:color="auto"/>
              <w:left w:val="single" w:sz="4" w:space="0" w:color="auto"/>
              <w:bottom w:val="single" w:sz="4" w:space="0" w:color="auto"/>
              <w:right w:val="nil"/>
            </w:tcBorders>
          </w:tcPr>
          <w:p w14:paraId="244EB5B4"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Obesity</w:t>
            </w:r>
          </w:p>
          <w:p w14:paraId="7A9D80BF"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Chronic rhinosinusitis</w:t>
            </w:r>
          </w:p>
          <w:p w14:paraId="07610EBC"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Confirmed food allergy</w:t>
            </w:r>
          </w:p>
        </w:tc>
        <w:tc>
          <w:tcPr>
            <w:tcW w:w="2648" w:type="dxa"/>
            <w:tcBorders>
              <w:top w:val="single" w:sz="4" w:space="0" w:color="auto"/>
              <w:left w:val="nil"/>
              <w:bottom w:val="single" w:sz="4" w:space="0" w:color="auto"/>
              <w:right w:val="single" w:sz="4" w:space="0" w:color="auto"/>
            </w:tcBorders>
          </w:tcPr>
          <w:p w14:paraId="317EF2C7"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GORD</w:t>
            </w:r>
          </w:p>
          <w:p w14:paraId="6E3483C6"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pregnancy</w:t>
            </w:r>
          </w:p>
        </w:tc>
      </w:tr>
      <w:tr w:rsidR="001E4E4A" w:rsidRPr="001E4E4A" w14:paraId="1A9B9850" w14:textId="77777777" w:rsidTr="001E4E4A">
        <w:tc>
          <w:tcPr>
            <w:tcW w:w="1749" w:type="dxa"/>
            <w:vAlign w:val="center"/>
          </w:tcPr>
          <w:p w14:paraId="53F0306E"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Exposures</w:t>
            </w:r>
          </w:p>
        </w:tc>
        <w:tc>
          <w:tcPr>
            <w:tcW w:w="2410" w:type="dxa"/>
            <w:tcBorders>
              <w:top w:val="single" w:sz="4" w:space="0" w:color="auto"/>
            </w:tcBorders>
          </w:tcPr>
          <w:p w14:paraId="407ED888"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Smoking (including e-cigarettes)</w:t>
            </w:r>
          </w:p>
          <w:p w14:paraId="5D45BAD0"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air pollution</w:t>
            </w:r>
          </w:p>
        </w:tc>
        <w:tc>
          <w:tcPr>
            <w:tcW w:w="2648" w:type="dxa"/>
            <w:tcBorders>
              <w:top w:val="single" w:sz="4" w:space="0" w:color="auto"/>
            </w:tcBorders>
          </w:tcPr>
          <w:p w14:paraId="571C9C7F"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Known allergen exposure</w:t>
            </w:r>
          </w:p>
          <w:p w14:paraId="7FAC934B" w14:textId="77777777" w:rsidR="001E4E4A" w:rsidRPr="001E4E4A" w:rsidRDefault="001E4E4A" w:rsidP="008542CC">
            <w:pPr>
              <w:numPr>
                <w:ilvl w:val="0"/>
                <w:numId w:val="64"/>
              </w:numPr>
              <w:spacing w:before="0" w:after="0"/>
              <w:jc w:val="left"/>
              <w:rPr>
                <w:rFonts w:eastAsia="Calibri" w:cs="Arial"/>
                <w:bCs/>
                <w:sz w:val="16"/>
                <w:szCs w:val="16"/>
                <w:lang w:val="en-US"/>
              </w:rPr>
            </w:pPr>
            <w:r w:rsidRPr="001E4E4A">
              <w:rPr>
                <w:rFonts w:eastAsia="Calibri" w:cs="Arial"/>
                <w:sz w:val="16"/>
                <w:szCs w:val="16"/>
                <w:lang w:val="en-ZA"/>
              </w:rPr>
              <w:t>Indoor smoke exposure</w:t>
            </w:r>
          </w:p>
        </w:tc>
      </w:tr>
      <w:tr w:rsidR="001E4E4A" w:rsidRPr="001E4E4A" w14:paraId="3A75F2E4" w14:textId="77777777" w:rsidTr="001E4E4A">
        <w:tc>
          <w:tcPr>
            <w:tcW w:w="1749" w:type="dxa"/>
            <w:vAlign w:val="center"/>
          </w:tcPr>
          <w:p w14:paraId="5E2EF679"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Social factors</w:t>
            </w:r>
          </w:p>
        </w:tc>
        <w:tc>
          <w:tcPr>
            <w:tcW w:w="5058" w:type="dxa"/>
            <w:gridSpan w:val="2"/>
            <w:vAlign w:val="center"/>
          </w:tcPr>
          <w:p w14:paraId="4AB26FC0"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Major psychosocial and socioeconomic issues e.g. poverty, overcrowding, access to healthcare, substance abuse etc.</w:t>
            </w:r>
          </w:p>
        </w:tc>
      </w:tr>
      <w:tr w:rsidR="001E4E4A" w:rsidRPr="001E4E4A" w14:paraId="301D7A74" w14:textId="77777777" w:rsidTr="001E4E4A">
        <w:tc>
          <w:tcPr>
            <w:tcW w:w="1749" w:type="dxa"/>
            <w:vAlign w:val="center"/>
          </w:tcPr>
          <w:p w14:paraId="59F3DC02"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Poor lung function</w:t>
            </w:r>
          </w:p>
        </w:tc>
        <w:tc>
          <w:tcPr>
            <w:tcW w:w="5058" w:type="dxa"/>
            <w:gridSpan w:val="2"/>
          </w:tcPr>
          <w:p w14:paraId="7B4C27FE"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FEV1 &lt;60% predicted (measured with spirometry)</w:t>
            </w:r>
          </w:p>
          <w:p w14:paraId="33A7315D"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High bronchodilator responsiveness</w:t>
            </w:r>
          </w:p>
        </w:tc>
      </w:tr>
      <w:tr w:rsidR="001E4E4A" w:rsidRPr="001E4E4A" w14:paraId="37DD3487" w14:textId="77777777" w:rsidTr="001E4E4A">
        <w:tc>
          <w:tcPr>
            <w:tcW w:w="1749" w:type="dxa"/>
            <w:vAlign w:val="center"/>
          </w:tcPr>
          <w:p w14:paraId="75EF7A6C"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Inflammatory markers</w:t>
            </w:r>
          </w:p>
        </w:tc>
        <w:tc>
          <w:tcPr>
            <w:tcW w:w="5058" w:type="dxa"/>
            <w:gridSpan w:val="2"/>
            <w:vAlign w:val="center"/>
          </w:tcPr>
          <w:p w14:paraId="7F38699B"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Eosinophilia (blood)</w:t>
            </w:r>
          </w:p>
          <w:p w14:paraId="32386090" w14:textId="13DF3A30" w:rsidR="001E4E4A" w:rsidRPr="001E4E4A" w:rsidRDefault="001E4E4A" w:rsidP="001577E5">
            <w:pPr>
              <w:spacing w:before="0" w:after="0"/>
              <w:ind w:left="360"/>
              <w:jc w:val="left"/>
              <w:rPr>
                <w:rFonts w:eastAsia="Calibri" w:cs="Arial"/>
                <w:sz w:val="16"/>
                <w:szCs w:val="16"/>
                <w:lang w:val="en-ZA"/>
              </w:rPr>
            </w:pPr>
          </w:p>
        </w:tc>
      </w:tr>
      <w:tr w:rsidR="001E4E4A" w:rsidRPr="001E4E4A" w14:paraId="6BF31557" w14:textId="77777777" w:rsidTr="001E4E4A">
        <w:tc>
          <w:tcPr>
            <w:tcW w:w="1749" w:type="dxa"/>
            <w:vAlign w:val="center"/>
          </w:tcPr>
          <w:p w14:paraId="3C34EC12"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Exacerbations</w:t>
            </w:r>
          </w:p>
        </w:tc>
        <w:tc>
          <w:tcPr>
            <w:tcW w:w="5058" w:type="dxa"/>
            <w:gridSpan w:val="2"/>
          </w:tcPr>
          <w:p w14:paraId="55513DE3"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Any prior intubation or ICU admission for asthma</w:t>
            </w:r>
          </w:p>
          <w:p w14:paraId="28C01504"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Severe exacerbation in the past year</w:t>
            </w:r>
          </w:p>
        </w:tc>
      </w:tr>
      <w:tr w:rsidR="001E4E4A" w:rsidRPr="001E4E4A" w14:paraId="3079A53B" w14:textId="77777777" w:rsidTr="001E4E4A">
        <w:tc>
          <w:tcPr>
            <w:tcW w:w="6807" w:type="dxa"/>
            <w:gridSpan w:val="3"/>
            <w:shd w:val="clear" w:color="auto" w:fill="E7E6E6"/>
          </w:tcPr>
          <w:p w14:paraId="6786911B" w14:textId="77777777" w:rsidR="001E4E4A" w:rsidRPr="001E4E4A" w:rsidRDefault="001E4E4A" w:rsidP="001E4E4A">
            <w:pPr>
              <w:spacing w:before="0" w:after="0"/>
              <w:jc w:val="left"/>
              <w:rPr>
                <w:rFonts w:eastAsia="Calibri" w:cs="Arial"/>
                <w:b/>
                <w:spacing w:val="0"/>
                <w:sz w:val="18"/>
                <w:szCs w:val="18"/>
                <w:lang w:val="en-US"/>
              </w:rPr>
            </w:pPr>
            <w:r w:rsidRPr="001E4E4A">
              <w:rPr>
                <w:rFonts w:eastAsia="Calibri" w:cs="Arial"/>
                <w:b/>
                <w:spacing w:val="0"/>
                <w:sz w:val="18"/>
                <w:szCs w:val="18"/>
                <w:lang w:val="en-US"/>
              </w:rPr>
              <w:t>Risk factors for developing persistent airflow limitation</w:t>
            </w:r>
          </w:p>
        </w:tc>
      </w:tr>
      <w:tr w:rsidR="001E4E4A" w:rsidRPr="001E4E4A" w14:paraId="412675BC" w14:textId="77777777" w:rsidTr="001E4E4A">
        <w:tc>
          <w:tcPr>
            <w:tcW w:w="1749" w:type="dxa"/>
            <w:vAlign w:val="center"/>
          </w:tcPr>
          <w:p w14:paraId="45C49BE7"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History</w:t>
            </w:r>
          </w:p>
        </w:tc>
        <w:tc>
          <w:tcPr>
            <w:tcW w:w="5058" w:type="dxa"/>
            <w:gridSpan w:val="2"/>
          </w:tcPr>
          <w:p w14:paraId="229DD419"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Preterm birth, low birth weight and greater infant weight gain</w:t>
            </w:r>
          </w:p>
          <w:p w14:paraId="1BDE7B22"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Chronic mucus hypersecretion</w:t>
            </w:r>
          </w:p>
        </w:tc>
      </w:tr>
      <w:tr w:rsidR="001E4E4A" w:rsidRPr="001E4E4A" w14:paraId="7859F406" w14:textId="77777777" w:rsidTr="001E4E4A">
        <w:tc>
          <w:tcPr>
            <w:tcW w:w="1749" w:type="dxa"/>
            <w:vAlign w:val="center"/>
          </w:tcPr>
          <w:p w14:paraId="7B7F717A"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Medications</w:t>
            </w:r>
          </w:p>
        </w:tc>
        <w:tc>
          <w:tcPr>
            <w:tcW w:w="5058" w:type="dxa"/>
            <w:gridSpan w:val="2"/>
            <w:vAlign w:val="center"/>
          </w:tcPr>
          <w:p w14:paraId="633160C3"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History of severe exacerbation (see above for definitions) without ICS treatment thereafter</w:t>
            </w:r>
          </w:p>
        </w:tc>
      </w:tr>
      <w:tr w:rsidR="001E4E4A" w:rsidRPr="001E4E4A" w14:paraId="0E53DC27" w14:textId="77777777" w:rsidTr="001E4E4A">
        <w:tc>
          <w:tcPr>
            <w:tcW w:w="1749" w:type="dxa"/>
            <w:vAlign w:val="center"/>
          </w:tcPr>
          <w:p w14:paraId="2DF38C8E"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Exposures</w:t>
            </w:r>
          </w:p>
        </w:tc>
        <w:tc>
          <w:tcPr>
            <w:tcW w:w="2410" w:type="dxa"/>
          </w:tcPr>
          <w:p w14:paraId="7363FF85"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Tobacco smoke</w:t>
            </w:r>
          </w:p>
          <w:p w14:paraId="5E4E8CA6"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Noxious chemicals</w:t>
            </w:r>
          </w:p>
        </w:tc>
        <w:tc>
          <w:tcPr>
            <w:tcW w:w="2648" w:type="dxa"/>
          </w:tcPr>
          <w:p w14:paraId="0676958C"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Occupational or domestic exposures</w:t>
            </w:r>
          </w:p>
        </w:tc>
      </w:tr>
      <w:tr w:rsidR="001E4E4A" w:rsidRPr="001E4E4A" w14:paraId="1E5C0A16" w14:textId="77777777" w:rsidTr="001E4E4A">
        <w:tc>
          <w:tcPr>
            <w:tcW w:w="1749" w:type="dxa"/>
            <w:vAlign w:val="center"/>
          </w:tcPr>
          <w:p w14:paraId="423171CD" w14:textId="77777777" w:rsidR="001E4E4A" w:rsidRPr="001E4E4A" w:rsidRDefault="001E4E4A" w:rsidP="001E4E4A">
            <w:pPr>
              <w:spacing w:before="0" w:after="0"/>
              <w:jc w:val="center"/>
              <w:rPr>
                <w:rFonts w:eastAsia="Calibri" w:cs="Arial"/>
                <w:bCs/>
                <w:spacing w:val="0"/>
                <w:sz w:val="16"/>
                <w:szCs w:val="16"/>
                <w:lang w:val="en-US"/>
              </w:rPr>
            </w:pPr>
            <w:r w:rsidRPr="001E4E4A">
              <w:rPr>
                <w:rFonts w:eastAsia="Calibri" w:cs="Arial"/>
                <w:bCs/>
                <w:spacing w:val="0"/>
                <w:sz w:val="16"/>
                <w:szCs w:val="16"/>
                <w:lang w:val="en-US"/>
              </w:rPr>
              <w:t>Investigations</w:t>
            </w:r>
          </w:p>
        </w:tc>
        <w:tc>
          <w:tcPr>
            <w:tcW w:w="2410" w:type="dxa"/>
          </w:tcPr>
          <w:p w14:paraId="7DE790B2"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Low initial FEV1</w:t>
            </w:r>
          </w:p>
        </w:tc>
        <w:tc>
          <w:tcPr>
            <w:tcW w:w="2648" w:type="dxa"/>
          </w:tcPr>
          <w:p w14:paraId="37A70AF4" w14:textId="77777777" w:rsidR="001E4E4A" w:rsidRPr="001E4E4A" w:rsidRDefault="001E4E4A" w:rsidP="008542CC">
            <w:pPr>
              <w:numPr>
                <w:ilvl w:val="0"/>
                <w:numId w:val="64"/>
              </w:numPr>
              <w:spacing w:before="0" w:after="0"/>
              <w:jc w:val="left"/>
              <w:rPr>
                <w:rFonts w:eastAsia="Calibri" w:cs="Arial"/>
                <w:sz w:val="16"/>
                <w:szCs w:val="16"/>
                <w:lang w:val="en-ZA"/>
              </w:rPr>
            </w:pPr>
            <w:r w:rsidRPr="001E4E4A">
              <w:rPr>
                <w:rFonts w:eastAsia="Calibri" w:cs="Arial"/>
                <w:sz w:val="16"/>
                <w:szCs w:val="16"/>
                <w:lang w:val="en-ZA"/>
              </w:rPr>
              <w:t>Sputum/blood eosinophilia</w:t>
            </w:r>
          </w:p>
        </w:tc>
      </w:tr>
      <w:tr w:rsidR="001E4E4A" w:rsidRPr="001E4E4A" w14:paraId="0F48EBF3" w14:textId="77777777" w:rsidTr="001E4E4A">
        <w:tc>
          <w:tcPr>
            <w:tcW w:w="6807" w:type="dxa"/>
            <w:gridSpan w:val="3"/>
            <w:vAlign w:val="center"/>
          </w:tcPr>
          <w:p w14:paraId="12147D99" w14:textId="26805995" w:rsidR="001E4E4A" w:rsidRDefault="001E4E4A" w:rsidP="001E4E4A">
            <w:pPr>
              <w:spacing w:before="0" w:after="0"/>
              <w:jc w:val="left"/>
              <w:rPr>
                <w:rFonts w:eastAsia="Calibri" w:cs="Arial"/>
                <w:i/>
                <w:sz w:val="18"/>
                <w:szCs w:val="18"/>
                <w:lang w:val="en-ZA"/>
              </w:rPr>
            </w:pPr>
            <w:r>
              <w:rPr>
                <w:rFonts w:eastAsia="Calibri" w:cs="Arial"/>
                <w:i/>
                <w:sz w:val="18"/>
                <w:szCs w:val="18"/>
                <w:lang w:val="en-ZA"/>
              </w:rPr>
              <w:t>List of abbreviations</w:t>
            </w:r>
          </w:p>
          <w:p w14:paraId="4BFBA07E" w14:textId="77777777" w:rsidR="001E4E4A" w:rsidRPr="001E4E4A" w:rsidRDefault="001E4E4A" w:rsidP="001E4E4A">
            <w:pPr>
              <w:spacing w:before="0" w:after="0"/>
              <w:jc w:val="left"/>
              <w:rPr>
                <w:rFonts w:eastAsia="Calibri" w:cs="Arial"/>
                <w:i/>
                <w:sz w:val="16"/>
                <w:szCs w:val="16"/>
                <w:lang w:val="en-ZA"/>
              </w:rPr>
            </w:pPr>
            <w:r w:rsidRPr="001E4E4A">
              <w:rPr>
                <w:rFonts w:eastAsia="Calibri" w:cs="Arial"/>
                <w:i/>
                <w:sz w:val="16"/>
                <w:szCs w:val="16"/>
                <w:lang w:val="en-ZA"/>
              </w:rPr>
              <w:t>SABA: short-acting β2 agonist | ICS: inhaled corticosteroid| GORD: Gastro-oesophageal reflux disease | FEV1: forced expiratory capacity in 1 second | FeNO: fractional exhaled nitric oxide</w:t>
            </w:r>
          </w:p>
        </w:tc>
      </w:tr>
    </w:tbl>
    <w:p w14:paraId="58D655A9" w14:textId="636515BD" w:rsidR="00C6733F" w:rsidRPr="001E4E4A" w:rsidRDefault="001E4E4A" w:rsidP="00C6733F">
      <w:pPr>
        <w:pStyle w:val="NoSpacing"/>
        <w:rPr>
          <w:sz w:val="16"/>
          <w:szCs w:val="16"/>
        </w:rPr>
      </w:pPr>
      <w:r w:rsidRPr="001E4E4A">
        <w:rPr>
          <w:sz w:val="16"/>
          <w:szCs w:val="16"/>
        </w:rPr>
        <w:t xml:space="preserve">Table 17.1 Assessment of risk factors </w:t>
      </w:r>
    </w:p>
    <w:p w14:paraId="525AB3E4" w14:textId="77777777" w:rsidR="001E4E4A" w:rsidRPr="001E4E4A" w:rsidRDefault="001E4E4A" w:rsidP="008542CC">
      <w:pPr>
        <w:pStyle w:val="ListParagraph"/>
        <w:numPr>
          <w:ilvl w:val="0"/>
          <w:numId w:val="63"/>
        </w:numPr>
        <w:rPr>
          <w:b/>
          <w:bCs/>
          <w:lang w:val="en-GB"/>
        </w:rPr>
      </w:pPr>
      <w:r w:rsidRPr="001E4E4A">
        <w:rPr>
          <w:b/>
          <w:bCs/>
          <w:lang w:val="en-GB"/>
        </w:rPr>
        <w:lastRenderedPageBreak/>
        <w:t>Inhaler and nebuliser technique</w:t>
      </w:r>
    </w:p>
    <w:p w14:paraId="7CB41315" w14:textId="77777777" w:rsidR="001E4E4A" w:rsidRPr="001E4E4A" w:rsidRDefault="001E4E4A" w:rsidP="001E4E4A">
      <w:pPr>
        <w:pStyle w:val="ListParagraph"/>
        <w:numPr>
          <w:ilvl w:val="1"/>
          <w:numId w:val="4"/>
        </w:numPr>
      </w:pPr>
      <w:r w:rsidRPr="001E4E4A">
        <w:t>See Appendix VI: Devices for Respiratory Conditions for guidance on inhaler, spacer and nebuliser device techniques.</w:t>
      </w:r>
    </w:p>
    <w:p w14:paraId="234D03FE" w14:textId="77777777" w:rsidR="001E4E4A" w:rsidRPr="001E4E4A" w:rsidRDefault="001E4E4A" w:rsidP="001E4E4A">
      <w:pPr>
        <w:pStyle w:val="ListParagraph"/>
        <w:numPr>
          <w:ilvl w:val="1"/>
          <w:numId w:val="4"/>
        </w:numPr>
      </w:pPr>
      <w:r w:rsidRPr="001E4E4A">
        <w:t>To avoid unwanted dead space in the nebuliser chamber, ensure that the total fluid volume is 4ml. This may require addition of sodium chloride 0.9%.</w:t>
      </w:r>
    </w:p>
    <w:p w14:paraId="759E4F28" w14:textId="77777777" w:rsidR="001E4E4A" w:rsidRPr="004F758A" w:rsidRDefault="001E4E4A" w:rsidP="008542CC">
      <w:pPr>
        <w:pStyle w:val="NoSpacing"/>
        <w:numPr>
          <w:ilvl w:val="0"/>
          <w:numId w:val="63"/>
        </w:numPr>
        <w:rPr>
          <w:b/>
          <w:bCs/>
        </w:rPr>
      </w:pPr>
      <w:r w:rsidRPr="004F758A">
        <w:rPr>
          <w:b/>
          <w:bCs/>
        </w:rPr>
        <w:t>Peak expiratory Flow Rate (PEFR)</w:t>
      </w:r>
    </w:p>
    <w:p w14:paraId="554FB687" w14:textId="77777777" w:rsidR="001E4E4A" w:rsidRPr="00575D86" w:rsidRDefault="001E4E4A" w:rsidP="001E4E4A">
      <w:pPr>
        <w:pStyle w:val="ListParagraph"/>
        <w:numPr>
          <w:ilvl w:val="1"/>
          <w:numId w:val="4"/>
        </w:numPr>
      </w:pPr>
      <w:r w:rsidRPr="00575D86">
        <w:t xml:space="preserve">The PEFR may provide additional information for diagnosis and assessing response to therapy. </w:t>
      </w:r>
    </w:p>
    <w:p w14:paraId="6E1A42C4" w14:textId="77777777" w:rsidR="001E4E4A" w:rsidRPr="00575D86" w:rsidRDefault="001E4E4A" w:rsidP="008542CC">
      <w:pPr>
        <w:pStyle w:val="ListParagraph"/>
        <w:numPr>
          <w:ilvl w:val="2"/>
          <w:numId w:val="65"/>
        </w:numPr>
        <w:ind w:left="861" w:hanging="181"/>
      </w:pPr>
      <w:r w:rsidRPr="00575D86">
        <w:t>PEFR is best assessed in the morning and evening.</w:t>
      </w:r>
    </w:p>
    <w:p w14:paraId="00803E5C" w14:textId="77777777" w:rsidR="001E4E4A" w:rsidRPr="00575D86" w:rsidRDefault="001E4E4A" w:rsidP="008542CC">
      <w:pPr>
        <w:pStyle w:val="ListParagraph"/>
        <w:numPr>
          <w:ilvl w:val="2"/>
          <w:numId w:val="65"/>
        </w:numPr>
        <w:ind w:left="861" w:hanging="181"/>
      </w:pPr>
      <w:r w:rsidRPr="00575D86">
        <w:t>Instruct the patient to blow forcibly into the device after a deep inspiratory effort.</w:t>
      </w:r>
    </w:p>
    <w:p w14:paraId="52E50B4A" w14:textId="77777777" w:rsidR="001E4E4A" w:rsidRPr="00575D86" w:rsidRDefault="001E4E4A" w:rsidP="008542CC">
      <w:pPr>
        <w:pStyle w:val="ListParagraph"/>
        <w:numPr>
          <w:ilvl w:val="2"/>
          <w:numId w:val="65"/>
        </w:numPr>
        <w:ind w:left="861" w:hanging="181"/>
      </w:pPr>
      <w:r w:rsidRPr="00575D86">
        <w:t>The patient must perform three blows at each testing point.</w:t>
      </w:r>
    </w:p>
    <w:p w14:paraId="37EEF4BE" w14:textId="77777777" w:rsidR="001E4E4A" w:rsidRDefault="001E4E4A" w:rsidP="008542CC">
      <w:pPr>
        <w:pStyle w:val="ListParagraph"/>
        <w:numPr>
          <w:ilvl w:val="2"/>
          <w:numId w:val="65"/>
        </w:numPr>
        <w:ind w:left="861" w:hanging="181"/>
      </w:pPr>
      <w:r w:rsidRPr="00575D86">
        <w:t>Take the highest value as the true value.</w:t>
      </w:r>
    </w:p>
    <w:p w14:paraId="589C546C" w14:textId="77777777" w:rsidR="001E4E4A" w:rsidRPr="00575D86" w:rsidRDefault="001E4E4A" w:rsidP="001E4E4A">
      <w:pPr>
        <w:pStyle w:val="ListParagraph"/>
        <w:numPr>
          <w:ilvl w:val="1"/>
          <w:numId w:val="4"/>
        </w:numPr>
      </w:pPr>
      <w:r w:rsidRPr="00575D86">
        <w:t xml:space="preserve">The PEFR can be helpful in confirming a diagnosis of asthma in primary care. </w:t>
      </w:r>
    </w:p>
    <w:p w14:paraId="005F9193" w14:textId="77777777" w:rsidR="001E4E4A" w:rsidRPr="00575D86" w:rsidRDefault="001E4E4A" w:rsidP="008542CC">
      <w:pPr>
        <w:pStyle w:val="ListParagraph"/>
        <w:numPr>
          <w:ilvl w:val="2"/>
          <w:numId w:val="65"/>
        </w:numPr>
        <w:ind w:left="861" w:hanging="181"/>
      </w:pPr>
      <w:r w:rsidRPr="00575D86">
        <w:t>An improvement of 60</w:t>
      </w:r>
      <w:r>
        <w:t xml:space="preserve"> </w:t>
      </w:r>
      <w:r w:rsidRPr="00575D86">
        <w:t>L/min or ≥</w:t>
      </w:r>
      <w:r>
        <w:t xml:space="preserve"> </w:t>
      </w:r>
      <w:r w:rsidRPr="00575D86">
        <w:t xml:space="preserve">20% of the pre-bronchodilator PEFR, 10–20 minutes after inhalation of a </w:t>
      </w:r>
      <w:r w:rsidRPr="00334F23">
        <w:t>beta2-</w:t>
      </w:r>
      <w:r w:rsidRPr="00575D86">
        <w:t>agonist e.g. salbutamol, inhalation, 200 mcg, confirms a diagnosis of asthma.</w:t>
      </w:r>
    </w:p>
    <w:p w14:paraId="6D605BD0" w14:textId="77777777" w:rsidR="001E4E4A" w:rsidRPr="00575D86" w:rsidRDefault="001E4E4A" w:rsidP="008542CC">
      <w:pPr>
        <w:pStyle w:val="ListParagraph"/>
        <w:numPr>
          <w:ilvl w:val="2"/>
          <w:numId w:val="65"/>
        </w:numPr>
        <w:ind w:left="861" w:hanging="181"/>
      </w:pPr>
      <w:r w:rsidRPr="00575D86">
        <w:t>A normal PEFR excludes the possibility of moderate and severe COPD.</w:t>
      </w:r>
    </w:p>
    <w:p w14:paraId="24AF293C" w14:textId="77777777" w:rsidR="001E4E4A" w:rsidRPr="00575D86" w:rsidRDefault="001E4E4A" w:rsidP="001E4E4A">
      <w:pPr>
        <w:pStyle w:val="ListParagraph"/>
        <w:numPr>
          <w:ilvl w:val="1"/>
          <w:numId w:val="4"/>
        </w:numPr>
      </w:pPr>
      <w:r w:rsidRPr="00575D86">
        <w:t>PEFR may be useful in assessing response to therapy.</w:t>
      </w:r>
    </w:p>
    <w:p w14:paraId="64220911" w14:textId="2866F7FA" w:rsidR="001E4E4A" w:rsidRPr="00575D86" w:rsidRDefault="001E4E4A" w:rsidP="001E4E4A">
      <w:pPr>
        <w:pStyle w:val="ListParagraph"/>
        <w:numPr>
          <w:ilvl w:val="2"/>
          <w:numId w:val="65"/>
        </w:numPr>
        <w:ind w:left="861" w:hanging="181"/>
      </w:pPr>
      <w:r w:rsidRPr="00575D86">
        <w:t>Any value &gt;</w:t>
      </w:r>
      <w:r>
        <w:t xml:space="preserve"> </w:t>
      </w:r>
      <w:r w:rsidRPr="00575D86">
        <w:t>80% of the personal best before the use of a bronchodilator is regarded as confirmation of adequate control. Ensure that pre-bronchodilator values are measured at follow-up visits.</w:t>
      </w:r>
    </w:p>
    <w:p w14:paraId="082E7018" w14:textId="6EDE9B8F" w:rsidR="00FF01A9" w:rsidRDefault="00FF01A9" w:rsidP="00247748">
      <w:pPr>
        <w:pStyle w:val="Heading5"/>
      </w:pPr>
      <w:r w:rsidRPr="00A604AA">
        <w:t>MEDICINE TREATMENT</w:t>
      </w:r>
    </w:p>
    <w:p w14:paraId="26CE5479" w14:textId="77777777" w:rsidR="005064FC" w:rsidRPr="004D4601" w:rsidRDefault="005064FC" w:rsidP="005064FC">
      <w:pPr>
        <w:rPr>
          <w:rFonts w:cs="Arial"/>
          <w:b/>
          <w:bCs/>
          <w:sz w:val="20"/>
          <w:szCs w:val="20"/>
        </w:rPr>
      </w:pPr>
      <w:r w:rsidRPr="004D4601">
        <w:rPr>
          <w:rFonts w:cs="Arial"/>
          <w:b/>
          <w:bCs/>
          <w:sz w:val="20"/>
          <w:szCs w:val="20"/>
        </w:rPr>
        <w:t>Chronic asthma management for adults and adolescents 12 years and older</w:t>
      </w:r>
    </w:p>
    <w:tbl>
      <w:tblPr>
        <w:tblStyle w:val="TableGrid"/>
        <w:tblW w:w="0" w:type="auto"/>
        <w:tblLook w:val="04A0" w:firstRow="1" w:lastRow="0" w:firstColumn="1" w:lastColumn="0" w:noHBand="0" w:noVBand="1"/>
      </w:tblPr>
      <w:tblGrid>
        <w:gridCol w:w="6659"/>
      </w:tblGrid>
      <w:tr w:rsidR="005064FC" w14:paraId="7336399F" w14:textId="77777777" w:rsidTr="005064FC">
        <w:tc>
          <w:tcPr>
            <w:tcW w:w="6679" w:type="dxa"/>
            <w:tcBorders>
              <w:left w:val="double" w:sz="4" w:space="0" w:color="auto"/>
              <w:bottom w:val="double" w:sz="4" w:space="0" w:color="auto"/>
              <w:right w:val="double" w:sz="4" w:space="0" w:color="auto"/>
            </w:tcBorders>
          </w:tcPr>
          <w:p w14:paraId="3719C8B9" w14:textId="19625A4E" w:rsidR="005064FC" w:rsidRDefault="005064FC" w:rsidP="005064FC">
            <w:pPr>
              <w:jc w:val="center"/>
            </w:pPr>
            <w:r>
              <w:t>Inhaled corticosteroids are the mainstay of treatment in asthma</w:t>
            </w:r>
          </w:p>
        </w:tc>
      </w:tr>
    </w:tbl>
    <w:p w14:paraId="0671B30B" w14:textId="77777777" w:rsidR="005064FC" w:rsidRDefault="005064FC" w:rsidP="005064FC"/>
    <w:p w14:paraId="54C98FBA" w14:textId="64A2506B" w:rsidR="005064FC" w:rsidRDefault="005064FC" w:rsidP="005064FC">
      <w:r>
        <w:t xml:space="preserve">Refer to the Chronic asthma management algorithm for adults and adolescents </w:t>
      </w:r>
      <w:r>
        <w:rPr>
          <w:rFonts w:cs="Arial"/>
        </w:rPr>
        <w:t>≥</w:t>
      </w:r>
      <w:r>
        <w:t xml:space="preserve"> 12 years below.</w:t>
      </w:r>
    </w:p>
    <w:p w14:paraId="539BBDDE" w14:textId="77777777" w:rsidR="005064FC" w:rsidRDefault="005064FC" w:rsidP="005064FC"/>
    <w:p w14:paraId="18CFCBB0" w14:textId="77777777" w:rsidR="005064FC" w:rsidRDefault="005064FC" w:rsidP="005064FC"/>
    <w:p w14:paraId="76C5D0D6" w14:textId="77777777" w:rsidR="005064FC" w:rsidRDefault="005064FC" w:rsidP="005064FC"/>
    <w:p w14:paraId="49C49E36" w14:textId="77777777" w:rsidR="005064FC" w:rsidRDefault="005064FC" w:rsidP="005064FC"/>
    <w:p w14:paraId="16F6518A" w14:textId="77777777" w:rsidR="005064FC" w:rsidRDefault="005064FC" w:rsidP="005064FC"/>
    <w:p w14:paraId="02A2DF66" w14:textId="77777777" w:rsidR="005064FC" w:rsidRDefault="005064FC" w:rsidP="005064FC"/>
    <w:p w14:paraId="121F6913" w14:textId="6E13E9CC" w:rsidR="005064FC" w:rsidRDefault="005064FC" w:rsidP="005064FC">
      <w:r w:rsidRPr="005064FC">
        <w:rPr>
          <w:noProof/>
          <w:lang w:val="en-ZA" w:eastAsia="en-ZA"/>
        </w:rPr>
        <w:lastRenderedPageBreak/>
        <w:drawing>
          <wp:inline distT="0" distB="0" distL="0" distR="0" wp14:anchorId="385EB48C" wp14:editId="61AEB564">
            <wp:extent cx="4309897" cy="5923239"/>
            <wp:effectExtent l="19050" t="19050" r="1460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1018" cy="5924779"/>
                    </a:xfrm>
                    <a:prstGeom prst="rect">
                      <a:avLst/>
                    </a:prstGeom>
                    <a:noFill/>
                    <a:ln w="19050">
                      <a:solidFill>
                        <a:schemeClr val="tx1"/>
                      </a:solidFill>
                    </a:ln>
                  </pic:spPr>
                </pic:pic>
              </a:graphicData>
            </a:graphic>
          </wp:inline>
        </w:drawing>
      </w:r>
    </w:p>
    <w:p w14:paraId="52A56841" w14:textId="41E18175" w:rsidR="005064FC" w:rsidRPr="005064FC" w:rsidRDefault="005064FC" w:rsidP="005064FC">
      <w:pPr>
        <w:rPr>
          <w:sz w:val="16"/>
          <w:szCs w:val="16"/>
        </w:rPr>
      </w:pPr>
      <w:r w:rsidRPr="005064FC">
        <w:rPr>
          <w:sz w:val="16"/>
          <w:szCs w:val="16"/>
        </w:rPr>
        <w:t xml:space="preserve">Figure 17.2 Chronic asthma treatment algorithm for adults and adolescents </w:t>
      </w:r>
      <w:r w:rsidRPr="005064FC">
        <w:rPr>
          <w:rFonts w:cs="Arial"/>
          <w:sz w:val="16"/>
          <w:szCs w:val="16"/>
        </w:rPr>
        <w:t>≥</w:t>
      </w:r>
      <w:r w:rsidRPr="005064FC">
        <w:rPr>
          <w:sz w:val="16"/>
          <w:szCs w:val="16"/>
        </w:rPr>
        <w:t xml:space="preserve"> 12 years</w:t>
      </w:r>
    </w:p>
    <w:p w14:paraId="57CE68FA" w14:textId="77777777" w:rsidR="00EA588E" w:rsidRPr="00EA588E" w:rsidRDefault="00EA588E" w:rsidP="00EA588E">
      <w:pPr>
        <w:spacing w:before="0" w:after="0"/>
        <w:rPr>
          <w:b/>
          <w:bCs/>
          <w:u w:val="single"/>
        </w:rPr>
      </w:pPr>
      <w:r w:rsidRPr="00EA588E">
        <w:rPr>
          <w:b/>
          <w:bCs/>
          <w:u w:val="single"/>
        </w:rPr>
        <w:lastRenderedPageBreak/>
        <w:t>Treatment initiation for adults and adolescents 12 years and older</w:t>
      </w:r>
    </w:p>
    <w:p w14:paraId="249E16F0" w14:textId="77777777" w:rsidR="00EA588E" w:rsidRPr="00EA588E" w:rsidRDefault="00EA588E" w:rsidP="00EA588E">
      <w:pPr>
        <w:spacing w:before="0" w:after="0"/>
        <w:rPr>
          <w:b/>
          <w:bCs/>
          <w:u w:val="single"/>
        </w:rPr>
      </w:pPr>
    </w:p>
    <w:p w14:paraId="5FE2C00A" w14:textId="77777777" w:rsidR="00EA588E" w:rsidRPr="00EA588E" w:rsidRDefault="00EA588E" w:rsidP="00EA588E">
      <w:pPr>
        <w:spacing w:before="0" w:after="0"/>
        <w:ind w:left="284" w:hanging="284"/>
        <w:rPr>
          <w:rFonts w:cs="Arial"/>
          <w:bCs/>
          <w:color w:val="000000" w:themeColor="text1"/>
          <w:lang w:val="en-US"/>
        </w:rPr>
      </w:pPr>
      <w:r w:rsidRPr="00EA588E">
        <w:rPr>
          <w:rFonts w:cs="Arial"/>
          <w:b/>
          <w:color w:val="000000" w:themeColor="text1"/>
          <w:lang w:val="en-US"/>
        </w:rPr>
        <w:t>STEP 1:</w:t>
      </w:r>
      <w:r w:rsidRPr="00EA588E">
        <w:rPr>
          <w:rFonts w:cs="Arial"/>
          <w:bCs/>
          <w:color w:val="000000" w:themeColor="text1"/>
          <w:lang w:val="en-US"/>
        </w:rPr>
        <w:t xml:space="preserve"> </w:t>
      </w:r>
    </w:p>
    <w:p w14:paraId="18EE2B15" w14:textId="77777777" w:rsidR="00EA588E" w:rsidRPr="00EA588E" w:rsidRDefault="00EA588E" w:rsidP="008542CC">
      <w:pPr>
        <w:pStyle w:val="ListParagraph"/>
        <w:numPr>
          <w:ilvl w:val="0"/>
          <w:numId w:val="66"/>
        </w:numPr>
        <w:rPr>
          <w:rFonts w:cstheme="minorHAnsi"/>
          <w:bCs/>
          <w:color w:val="000000" w:themeColor="text1"/>
          <w:lang w:val="en-US"/>
        </w:rPr>
      </w:pPr>
      <w:r w:rsidRPr="00EA588E">
        <w:rPr>
          <w:rFonts w:cstheme="minorHAnsi"/>
          <w:bCs/>
          <w:color w:val="000000" w:themeColor="text1"/>
          <w:lang w:val="en-US"/>
        </w:rPr>
        <w:t>Infrequent asthma symptoms, fewer than twice per month with no exacerbations in the last 12 months, no night symptoms and normal lung function.</w:t>
      </w:r>
    </w:p>
    <w:p w14:paraId="03F78A3E" w14:textId="77777777" w:rsidR="00EA588E" w:rsidRPr="00EA588E" w:rsidRDefault="00EA588E" w:rsidP="00EA588E">
      <w:pPr>
        <w:spacing w:before="0" w:after="0"/>
        <w:ind w:left="284" w:hanging="284"/>
        <w:rPr>
          <w:rFonts w:cs="Arial"/>
          <w:bCs/>
          <w:color w:val="000000" w:themeColor="text1"/>
          <w:lang w:val="en-US"/>
        </w:rPr>
      </w:pPr>
      <w:r w:rsidRPr="00EA588E">
        <w:rPr>
          <w:rFonts w:cs="Arial"/>
          <w:b/>
          <w:color w:val="000000" w:themeColor="text1"/>
          <w:lang w:val="en-US"/>
        </w:rPr>
        <w:t>STEP 2:</w:t>
      </w:r>
      <w:r w:rsidRPr="00EA588E">
        <w:rPr>
          <w:rFonts w:cs="Arial"/>
          <w:bCs/>
          <w:color w:val="000000" w:themeColor="text1"/>
          <w:lang w:val="en-US"/>
        </w:rPr>
        <w:t xml:space="preserve"> </w:t>
      </w:r>
    </w:p>
    <w:p w14:paraId="4A7F162F" w14:textId="77777777" w:rsidR="00EA588E" w:rsidRPr="00EA588E" w:rsidRDefault="00EA588E" w:rsidP="008542CC">
      <w:pPr>
        <w:pStyle w:val="ListParagraph"/>
        <w:numPr>
          <w:ilvl w:val="0"/>
          <w:numId w:val="66"/>
        </w:numPr>
        <w:rPr>
          <w:rFonts w:cstheme="minorHAnsi"/>
          <w:bCs/>
          <w:color w:val="000000" w:themeColor="text1"/>
          <w:lang w:val="en-US"/>
        </w:rPr>
      </w:pPr>
      <w:r w:rsidRPr="00EA588E">
        <w:rPr>
          <w:rFonts w:cstheme="minorHAnsi"/>
          <w:bCs/>
          <w:color w:val="000000" w:themeColor="text1"/>
          <w:lang w:val="en-US"/>
        </w:rPr>
        <w:t>Asthma symptoms or need of reliever twice per month or more, but not most days, with no night symptoms and normal lung function.</w:t>
      </w:r>
    </w:p>
    <w:p w14:paraId="0882E29E" w14:textId="609ED403" w:rsidR="00EA588E" w:rsidRDefault="00EA588E" w:rsidP="00EA588E">
      <w:pPr>
        <w:spacing w:before="0" w:after="0"/>
      </w:pPr>
      <w:r w:rsidRPr="00EA588E">
        <w:t>Initiate STEP 1 &amp; 2 of chronic asthma treatment</w:t>
      </w:r>
      <w:r>
        <w:t>.</w:t>
      </w:r>
    </w:p>
    <w:tbl>
      <w:tblPr>
        <w:tblStyle w:val="TableGrid"/>
        <w:tblW w:w="0" w:type="auto"/>
        <w:tblLook w:val="04A0" w:firstRow="1" w:lastRow="0" w:firstColumn="1" w:lastColumn="0" w:noHBand="0" w:noVBand="1"/>
      </w:tblPr>
      <w:tblGrid>
        <w:gridCol w:w="6679"/>
      </w:tblGrid>
      <w:tr w:rsidR="00EA588E" w14:paraId="524C17E7" w14:textId="77777777" w:rsidTr="00EA588E">
        <w:tc>
          <w:tcPr>
            <w:tcW w:w="6679" w:type="dxa"/>
          </w:tcPr>
          <w:p w14:paraId="06A684BF" w14:textId="77777777" w:rsidR="00EA588E" w:rsidRPr="00EA588E" w:rsidRDefault="00EA588E" w:rsidP="00EA588E">
            <w:pPr>
              <w:spacing w:before="0" w:after="0"/>
              <w:rPr>
                <w:rFonts w:cs="Arial"/>
                <w:b/>
                <w:bCs/>
              </w:rPr>
            </w:pPr>
            <w:r w:rsidRPr="00EA588E">
              <w:rPr>
                <w:rFonts w:cs="Arial"/>
                <w:b/>
                <w:bCs/>
              </w:rPr>
              <w:t>STEP 1 &amp; 2</w:t>
            </w:r>
          </w:p>
          <w:p w14:paraId="3D3F5925" w14:textId="77777777" w:rsidR="00EA588E" w:rsidRPr="00EA588E" w:rsidRDefault="00EA588E" w:rsidP="00EA588E">
            <w:pPr>
              <w:spacing w:before="0" w:after="0"/>
              <w:rPr>
                <w:rFonts w:cs="Arial"/>
                <w:i/>
                <w:iCs/>
              </w:rPr>
            </w:pPr>
            <w:r w:rsidRPr="00EA588E">
              <w:rPr>
                <w:rFonts w:cs="Arial"/>
                <w:i/>
                <w:iCs/>
              </w:rPr>
              <w:t>Reliever therapy ONLY:</w:t>
            </w:r>
          </w:p>
          <w:p w14:paraId="424BBE67" w14:textId="77777777" w:rsidR="00EA588E" w:rsidRPr="00EA588E" w:rsidRDefault="00EA588E" w:rsidP="00EA588E">
            <w:pPr>
              <w:spacing w:before="0" w:after="0"/>
              <w:rPr>
                <w:rFonts w:cs="Arial"/>
              </w:rPr>
            </w:pPr>
            <w:r w:rsidRPr="00EA588E">
              <w:rPr>
                <w:rFonts w:cs="Arial"/>
              </w:rPr>
              <w:t>▪ ICS/ formoterol e.g.:</w:t>
            </w:r>
          </w:p>
          <w:p w14:paraId="6ED446B6" w14:textId="3E55B09A" w:rsidR="00EA588E" w:rsidRPr="00EA588E" w:rsidRDefault="00EA588E" w:rsidP="00EA588E">
            <w:pPr>
              <w:spacing w:before="0" w:after="0"/>
              <w:rPr>
                <w:rFonts w:cs="Arial"/>
              </w:rPr>
            </w:pPr>
            <w:r>
              <w:rPr>
                <w:rFonts w:cs="Arial"/>
              </w:rPr>
              <w:t>• B</w:t>
            </w:r>
            <w:r w:rsidRPr="00EA588E">
              <w:rPr>
                <w:rFonts w:cs="Arial"/>
              </w:rPr>
              <w:t xml:space="preserve">udesonide/formoterol, inhaled, 160 mcg/ 4.5 mcg, </w:t>
            </w:r>
          </w:p>
          <w:p w14:paraId="60A9B764" w14:textId="77777777" w:rsidR="00EA588E" w:rsidRPr="00EA588E" w:rsidRDefault="00EA588E" w:rsidP="008542CC">
            <w:pPr>
              <w:pStyle w:val="ListParagraph"/>
              <w:numPr>
                <w:ilvl w:val="0"/>
                <w:numId w:val="67"/>
              </w:numPr>
              <w:rPr>
                <w:rFonts w:cs="Arial"/>
              </w:rPr>
            </w:pPr>
            <w:r w:rsidRPr="00EA588E">
              <w:rPr>
                <w:rFonts w:cs="Arial"/>
              </w:rPr>
              <w:t>1 inhalation as needed.</w:t>
            </w:r>
          </w:p>
          <w:p w14:paraId="7BD916C9" w14:textId="69ED5A28" w:rsidR="00EA588E" w:rsidRDefault="00EA588E" w:rsidP="008542CC">
            <w:pPr>
              <w:pStyle w:val="ListParagraph"/>
              <w:numPr>
                <w:ilvl w:val="0"/>
                <w:numId w:val="67"/>
              </w:numPr>
            </w:pPr>
            <w:r w:rsidRPr="00EA588E">
              <w:rPr>
                <w:rFonts w:cs="Arial"/>
              </w:rPr>
              <w:t>Maximum dose: 8 inhalations daily (1280 mcg/ 36 mcg per 24 hours)</w:t>
            </w:r>
          </w:p>
        </w:tc>
      </w:tr>
    </w:tbl>
    <w:p w14:paraId="1A2A5487" w14:textId="77777777" w:rsidR="00EA588E" w:rsidRPr="00F13285" w:rsidRDefault="00EA588E" w:rsidP="00EA588E">
      <w:pPr>
        <w:rPr>
          <w:rFonts w:cs="Arial"/>
          <w:b/>
          <w:bCs/>
          <w:sz w:val="20"/>
          <w:szCs w:val="20"/>
        </w:rPr>
      </w:pPr>
      <w:r w:rsidRPr="00F13285">
        <w:rPr>
          <w:rFonts w:cs="Arial"/>
          <w:b/>
          <w:bCs/>
          <w:sz w:val="20"/>
          <w:szCs w:val="20"/>
        </w:rPr>
        <w:t>STEP 3</w:t>
      </w:r>
    </w:p>
    <w:p w14:paraId="64F99116" w14:textId="77777777" w:rsidR="00EA588E" w:rsidRPr="00EA588E" w:rsidRDefault="00EA588E" w:rsidP="008542CC">
      <w:pPr>
        <w:pStyle w:val="ListParagraph"/>
        <w:numPr>
          <w:ilvl w:val="0"/>
          <w:numId w:val="69"/>
        </w:numPr>
        <w:ind w:left="357" w:hanging="357"/>
        <w:rPr>
          <w:lang w:val="en-GB"/>
        </w:rPr>
      </w:pPr>
      <w:r w:rsidRPr="00EA588E">
        <w:rPr>
          <w:lang w:val="en-GB"/>
        </w:rPr>
        <w:t>For patients with asthma symptoms most days or waking due to asthma at least once a week but with normal lung function:</w:t>
      </w:r>
    </w:p>
    <w:p w14:paraId="4838507B" w14:textId="11AF6BB1" w:rsidR="00EA588E" w:rsidRDefault="00EA588E" w:rsidP="00EA588E">
      <w:pPr>
        <w:spacing w:before="0" w:after="0"/>
      </w:pPr>
      <w:r>
        <w:t>Initiate STEP 3 of chronic asthma treatment.</w:t>
      </w:r>
    </w:p>
    <w:tbl>
      <w:tblPr>
        <w:tblStyle w:val="TableGrid"/>
        <w:tblW w:w="0" w:type="auto"/>
        <w:tblLook w:val="04A0" w:firstRow="1" w:lastRow="0" w:firstColumn="1" w:lastColumn="0" w:noHBand="0" w:noVBand="1"/>
      </w:tblPr>
      <w:tblGrid>
        <w:gridCol w:w="6679"/>
      </w:tblGrid>
      <w:tr w:rsidR="00EA588E" w14:paraId="1A755CE5" w14:textId="77777777" w:rsidTr="00EA588E">
        <w:tc>
          <w:tcPr>
            <w:tcW w:w="6679" w:type="dxa"/>
            <w:tcBorders>
              <w:bottom w:val="single" w:sz="4" w:space="0" w:color="auto"/>
            </w:tcBorders>
          </w:tcPr>
          <w:p w14:paraId="212CC6FD" w14:textId="77777777" w:rsidR="00EA588E" w:rsidRPr="00EA588E" w:rsidRDefault="00EA588E" w:rsidP="00EA588E">
            <w:pPr>
              <w:spacing w:before="0" w:after="0"/>
              <w:rPr>
                <w:rFonts w:cs="Arial"/>
                <w:b/>
                <w:bCs/>
              </w:rPr>
            </w:pPr>
            <w:r w:rsidRPr="00EA588E">
              <w:rPr>
                <w:rFonts w:cs="Arial"/>
                <w:b/>
                <w:bCs/>
              </w:rPr>
              <w:t>STEP 3</w:t>
            </w:r>
          </w:p>
          <w:p w14:paraId="4DDAA22A" w14:textId="77777777" w:rsidR="00EA588E" w:rsidRPr="00EA588E" w:rsidRDefault="00EA588E" w:rsidP="00EA588E">
            <w:pPr>
              <w:spacing w:before="0" w:after="0"/>
              <w:rPr>
                <w:rFonts w:cs="Arial"/>
                <w:i/>
                <w:iCs/>
              </w:rPr>
            </w:pPr>
            <w:r w:rsidRPr="00EA588E">
              <w:rPr>
                <w:rFonts w:cs="Arial"/>
                <w:i/>
                <w:iCs/>
              </w:rPr>
              <w:t>Maintenance therapy</w:t>
            </w:r>
          </w:p>
          <w:p w14:paraId="578BFF52" w14:textId="77777777" w:rsidR="00EA588E" w:rsidRPr="00EA588E" w:rsidRDefault="00EA588E" w:rsidP="00EA588E">
            <w:pPr>
              <w:spacing w:before="0" w:after="0"/>
              <w:rPr>
                <w:rFonts w:cs="Arial"/>
              </w:rPr>
            </w:pPr>
            <w:r w:rsidRPr="00EA588E">
              <w:rPr>
                <w:rFonts w:cs="Arial"/>
              </w:rPr>
              <w:t>▪ ICS/formoterol, combination inhaler, e.g.:</w:t>
            </w:r>
          </w:p>
          <w:p w14:paraId="30CED35E" w14:textId="77777777" w:rsidR="00EA588E" w:rsidRPr="00EA588E" w:rsidRDefault="00EA588E" w:rsidP="00EA588E">
            <w:pPr>
              <w:spacing w:before="0" w:after="0"/>
              <w:rPr>
                <w:rFonts w:cs="Arial"/>
              </w:rPr>
            </w:pPr>
            <w:r w:rsidRPr="00EA588E">
              <w:rPr>
                <w:rFonts w:cs="Arial"/>
              </w:rPr>
              <w:t>• Budesonide/formoterol, inhaled, 160 mcg/ 4.5 mcg,</w:t>
            </w:r>
          </w:p>
          <w:p w14:paraId="098F8A2E" w14:textId="77777777" w:rsidR="00EA588E" w:rsidRPr="00EA588E" w:rsidRDefault="00EA588E" w:rsidP="008542CC">
            <w:pPr>
              <w:pStyle w:val="ListParagraph"/>
              <w:numPr>
                <w:ilvl w:val="0"/>
                <w:numId w:val="67"/>
              </w:numPr>
              <w:rPr>
                <w:rFonts w:cs="Arial"/>
              </w:rPr>
            </w:pPr>
            <w:r w:rsidRPr="00EA588E">
              <w:rPr>
                <w:rFonts w:cs="Arial"/>
              </w:rPr>
              <w:t>1 inhalation 12-hourly</w:t>
            </w:r>
          </w:p>
          <w:p w14:paraId="62B4AFB2" w14:textId="77777777" w:rsidR="00EA588E" w:rsidRPr="00EA588E" w:rsidRDefault="00EA588E" w:rsidP="00EA588E">
            <w:pPr>
              <w:spacing w:before="0" w:after="0"/>
              <w:rPr>
                <w:rFonts w:cs="Arial"/>
                <w:i/>
                <w:iCs/>
              </w:rPr>
            </w:pPr>
            <w:r w:rsidRPr="00EA588E">
              <w:rPr>
                <w:rFonts w:cs="Arial"/>
                <w:i/>
                <w:iCs/>
              </w:rPr>
              <w:t>Reliever therapy</w:t>
            </w:r>
          </w:p>
          <w:p w14:paraId="48C52737" w14:textId="77777777" w:rsidR="00EA588E" w:rsidRPr="00EA588E" w:rsidRDefault="00EA588E" w:rsidP="00EA588E">
            <w:pPr>
              <w:spacing w:before="0" w:after="0"/>
              <w:rPr>
                <w:rFonts w:cs="Arial"/>
              </w:rPr>
            </w:pPr>
            <w:r w:rsidRPr="00EA588E">
              <w:rPr>
                <w:rFonts w:cs="Arial"/>
              </w:rPr>
              <w:t>▪ ICS/formoterol, combination inhaler, e.g.:</w:t>
            </w:r>
          </w:p>
          <w:p w14:paraId="4E7E43DE" w14:textId="77777777" w:rsidR="00EA588E" w:rsidRPr="00EA588E" w:rsidRDefault="00EA588E" w:rsidP="00EA588E">
            <w:pPr>
              <w:spacing w:before="0" w:after="0"/>
              <w:rPr>
                <w:rFonts w:cs="Arial"/>
              </w:rPr>
            </w:pPr>
            <w:r w:rsidRPr="00EA588E">
              <w:rPr>
                <w:rFonts w:cs="Arial"/>
              </w:rPr>
              <w:t xml:space="preserve">• Budesonide/formoterol, inhaled, 160 mcg/ 4.5 mcg, </w:t>
            </w:r>
          </w:p>
          <w:p w14:paraId="5CFE8226" w14:textId="77777777" w:rsidR="00EA588E" w:rsidRPr="00EA588E" w:rsidRDefault="00EA588E" w:rsidP="008542CC">
            <w:pPr>
              <w:pStyle w:val="ListParagraph"/>
              <w:numPr>
                <w:ilvl w:val="0"/>
                <w:numId w:val="67"/>
              </w:numPr>
              <w:rPr>
                <w:rFonts w:cs="Arial"/>
              </w:rPr>
            </w:pPr>
            <w:r w:rsidRPr="00EA588E">
              <w:rPr>
                <w:rFonts w:cs="Arial"/>
              </w:rPr>
              <w:t>1 inhalation as needed</w:t>
            </w:r>
          </w:p>
          <w:p w14:paraId="2AAF1996" w14:textId="2AD3D83A" w:rsidR="00EA588E" w:rsidRDefault="00EA588E" w:rsidP="008542CC">
            <w:pPr>
              <w:pStyle w:val="ListParagraph"/>
              <w:numPr>
                <w:ilvl w:val="0"/>
                <w:numId w:val="67"/>
              </w:numPr>
            </w:pPr>
            <w:r w:rsidRPr="00EA588E">
              <w:rPr>
                <w:rFonts w:cs="Arial"/>
              </w:rPr>
              <w:t>Maximum dose: 8 inhalations daily (1280 mcg/ 36 mcg per 24 hours). This equates to 6 additional reliver inhalations on top of 2 maintenance inhalations.</w:t>
            </w:r>
          </w:p>
        </w:tc>
      </w:tr>
    </w:tbl>
    <w:p w14:paraId="1761337E" w14:textId="77777777" w:rsidR="00EA588E" w:rsidRPr="003E54C8" w:rsidRDefault="00EA588E" w:rsidP="00EA588E">
      <w:pPr>
        <w:rPr>
          <w:rFonts w:cs="Arial"/>
          <w:b/>
          <w:bCs/>
          <w:sz w:val="20"/>
          <w:szCs w:val="20"/>
        </w:rPr>
      </w:pPr>
      <w:r w:rsidRPr="00F13285">
        <w:rPr>
          <w:rFonts w:cs="Arial"/>
          <w:b/>
          <w:bCs/>
          <w:sz w:val="20"/>
          <w:szCs w:val="20"/>
        </w:rPr>
        <w:t>STEP 4</w:t>
      </w:r>
    </w:p>
    <w:p w14:paraId="070115CF" w14:textId="6FA76886" w:rsidR="00EA588E" w:rsidRDefault="00EA588E" w:rsidP="008542CC">
      <w:pPr>
        <w:pStyle w:val="ListParagraph"/>
        <w:numPr>
          <w:ilvl w:val="0"/>
          <w:numId w:val="69"/>
        </w:numPr>
        <w:ind w:left="357" w:hanging="357"/>
        <w:rPr>
          <w:lang w:val="en-GB"/>
        </w:rPr>
      </w:pPr>
      <w:r>
        <w:rPr>
          <w:lang w:val="en-GB"/>
        </w:rPr>
        <w:t>For patients with asthma symptoms daily, and waking due to asthma at least once per week or decreased lung function;</w:t>
      </w:r>
    </w:p>
    <w:p w14:paraId="11C332EE" w14:textId="4FAE600B" w:rsidR="00EA588E" w:rsidRPr="00EA588E" w:rsidRDefault="00EA588E" w:rsidP="00EA588E">
      <w:pPr>
        <w:spacing w:before="0" w:after="0"/>
      </w:pPr>
      <w:r>
        <w:rPr>
          <w:b/>
          <w:bCs/>
        </w:rPr>
        <w:t>R</w:t>
      </w:r>
      <w:r w:rsidRPr="00456A0F">
        <w:rPr>
          <w:b/>
          <w:bCs/>
        </w:rPr>
        <w:t>efer for further management</w:t>
      </w:r>
      <w:r>
        <w:rPr>
          <w:b/>
          <w:bCs/>
        </w:rPr>
        <w:t xml:space="preserve">: </w:t>
      </w:r>
      <w:r>
        <w:t>STEP 4 of chronic asthma treatment may initiated in the interim</w:t>
      </w:r>
    </w:p>
    <w:tbl>
      <w:tblPr>
        <w:tblStyle w:val="TableGrid"/>
        <w:tblW w:w="0" w:type="auto"/>
        <w:tblLook w:val="04A0" w:firstRow="1" w:lastRow="0" w:firstColumn="1" w:lastColumn="0" w:noHBand="0" w:noVBand="1"/>
      </w:tblPr>
      <w:tblGrid>
        <w:gridCol w:w="6679"/>
      </w:tblGrid>
      <w:tr w:rsidR="00EA588E" w14:paraId="54D1EC54" w14:textId="77777777" w:rsidTr="00EA588E">
        <w:tc>
          <w:tcPr>
            <w:tcW w:w="6679" w:type="dxa"/>
          </w:tcPr>
          <w:p w14:paraId="085FBF14" w14:textId="77777777" w:rsidR="00EA588E" w:rsidRPr="00EA588E" w:rsidRDefault="00EA588E" w:rsidP="00EA588E">
            <w:pPr>
              <w:spacing w:before="0" w:after="0"/>
              <w:rPr>
                <w:rFonts w:cs="Arial"/>
                <w:b/>
                <w:bCs/>
              </w:rPr>
            </w:pPr>
            <w:r w:rsidRPr="00EA588E">
              <w:rPr>
                <w:rFonts w:cs="Arial"/>
                <w:b/>
                <w:bCs/>
              </w:rPr>
              <w:t>STEP 4</w:t>
            </w:r>
          </w:p>
          <w:p w14:paraId="5C32142B" w14:textId="77777777" w:rsidR="00EA588E" w:rsidRPr="00EA588E" w:rsidRDefault="00EA588E" w:rsidP="00EA588E">
            <w:pPr>
              <w:spacing w:before="0" w:after="0"/>
              <w:rPr>
                <w:rFonts w:cs="Arial"/>
                <w:i/>
                <w:iCs/>
              </w:rPr>
            </w:pPr>
            <w:r w:rsidRPr="00EA588E">
              <w:rPr>
                <w:rFonts w:cs="Arial"/>
                <w:i/>
                <w:iCs/>
              </w:rPr>
              <w:t>Maintenance therapy</w:t>
            </w:r>
          </w:p>
          <w:p w14:paraId="083C8E6A" w14:textId="77777777" w:rsidR="00EA588E" w:rsidRPr="00EA588E" w:rsidRDefault="00EA588E" w:rsidP="00EA588E">
            <w:pPr>
              <w:spacing w:before="0" w:after="0"/>
              <w:rPr>
                <w:rFonts w:cs="Arial"/>
              </w:rPr>
            </w:pPr>
            <w:r w:rsidRPr="00EA588E">
              <w:rPr>
                <w:rFonts w:cs="Arial"/>
              </w:rPr>
              <w:t>▪ ICS/formoterol, combination inhaler, e.g.:</w:t>
            </w:r>
          </w:p>
          <w:p w14:paraId="1630355A" w14:textId="77777777" w:rsidR="00EA588E" w:rsidRPr="00EA588E" w:rsidRDefault="00EA588E" w:rsidP="00EA588E">
            <w:pPr>
              <w:spacing w:before="0" w:after="0"/>
              <w:rPr>
                <w:rFonts w:cs="Arial"/>
              </w:rPr>
            </w:pPr>
            <w:r w:rsidRPr="00EA588E">
              <w:rPr>
                <w:rFonts w:cs="Arial"/>
              </w:rPr>
              <w:t xml:space="preserve">• Budesonide/formoterol, inhaled, 320 mcg/ 9 mcg, </w:t>
            </w:r>
          </w:p>
          <w:p w14:paraId="527B840D" w14:textId="77777777" w:rsidR="00EA588E" w:rsidRPr="00EA588E" w:rsidRDefault="00EA588E" w:rsidP="008542CC">
            <w:pPr>
              <w:pStyle w:val="ListParagraph"/>
              <w:numPr>
                <w:ilvl w:val="0"/>
                <w:numId w:val="67"/>
              </w:numPr>
              <w:rPr>
                <w:rFonts w:cs="Arial"/>
              </w:rPr>
            </w:pPr>
            <w:r w:rsidRPr="00EA588E">
              <w:rPr>
                <w:rFonts w:cs="Arial"/>
              </w:rPr>
              <w:t>1 inhalation 12-hourly</w:t>
            </w:r>
          </w:p>
          <w:p w14:paraId="6785D610" w14:textId="77777777" w:rsidR="00EA588E" w:rsidRPr="00EA588E" w:rsidRDefault="00EA588E" w:rsidP="00EA588E">
            <w:pPr>
              <w:spacing w:before="0" w:after="0"/>
              <w:ind w:left="360"/>
              <w:rPr>
                <w:rFonts w:cs="Arial"/>
                <w:b/>
                <w:bCs/>
              </w:rPr>
            </w:pPr>
            <w:r w:rsidRPr="00EA588E">
              <w:rPr>
                <w:rFonts w:cs="Arial"/>
                <w:b/>
                <w:bCs/>
              </w:rPr>
              <w:t>OR</w:t>
            </w:r>
          </w:p>
          <w:p w14:paraId="147220DF" w14:textId="77777777" w:rsidR="00EA588E" w:rsidRPr="00EA588E" w:rsidRDefault="00EA588E" w:rsidP="008542CC">
            <w:pPr>
              <w:pStyle w:val="ListParagraph"/>
              <w:numPr>
                <w:ilvl w:val="0"/>
                <w:numId w:val="68"/>
              </w:numPr>
              <w:ind w:left="170" w:hanging="170"/>
              <w:rPr>
                <w:rFonts w:cs="Arial"/>
              </w:rPr>
            </w:pPr>
            <w:r w:rsidRPr="00EA588E">
              <w:rPr>
                <w:rFonts w:cs="Arial"/>
              </w:rPr>
              <w:t>Budesonide/formoterol, inhaled, 160 mcg, 4.5 mcg,</w:t>
            </w:r>
          </w:p>
          <w:p w14:paraId="7963C48E" w14:textId="77777777" w:rsidR="00EA588E" w:rsidRPr="00EA588E" w:rsidRDefault="00EA588E" w:rsidP="008542CC">
            <w:pPr>
              <w:pStyle w:val="ListParagraph"/>
              <w:numPr>
                <w:ilvl w:val="0"/>
                <w:numId w:val="67"/>
              </w:numPr>
              <w:rPr>
                <w:rFonts w:cs="Arial"/>
              </w:rPr>
            </w:pPr>
            <w:r w:rsidRPr="00EA588E">
              <w:rPr>
                <w:rFonts w:cs="Arial"/>
              </w:rPr>
              <w:t>2 inhalations 12-hourly</w:t>
            </w:r>
          </w:p>
          <w:p w14:paraId="0378689C" w14:textId="77777777" w:rsidR="00EA588E" w:rsidRPr="00EA588E" w:rsidRDefault="00EA588E" w:rsidP="00EA588E">
            <w:pPr>
              <w:spacing w:before="0" w:after="0"/>
              <w:rPr>
                <w:rFonts w:cs="Arial"/>
                <w:i/>
                <w:iCs/>
              </w:rPr>
            </w:pPr>
            <w:r w:rsidRPr="00EA588E">
              <w:rPr>
                <w:rFonts w:cs="Arial"/>
                <w:i/>
                <w:iCs/>
              </w:rPr>
              <w:t>Reliever therapy</w:t>
            </w:r>
          </w:p>
          <w:p w14:paraId="3D51E73D" w14:textId="77777777" w:rsidR="00EA588E" w:rsidRPr="00EA588E" w:rsidRDefault="00EA588E" w:rsidP="00EA588E">
            <w:pPr>
              <w:spacing w:before="0" w:after="0"/>
              <w:rPr>
                <w:rFonts w:cs="Arial"/>
              </w:rPr>
            </w:pPr>
            <w:r w:rsidRPr="00EA588E">
              <w:rPr>
                <w:rFonts w:cs="Arial"/>
              </w:rPr>
              <w:lastRenderedPageBreak/>
              <w:t>▪ ICS/formoterol, combination inhaler, e.g.:</w:t>
            </w:r>
          </w:p>
          <w:p w14:paraId="0A20DC57" w14:textId="77777777" w:rsidR="00EA588E" w:rsidRPr="00EA588E" w:rsidRDefault="00EA588E" w:rsidP="00EA588E">
            <w:pPr>
              <w:spacing w:before="0" w:after="0"/>
              <w:rPr>
                <w:rFonts w:cs="Arial"/>
              </w:rPr>
            </w:pPr>
            <w:r w:rsidRPr="00EA588E">
              <w:rPr>
                <w:rFonts w:cs="Arial"/>
              </w:rPr>
              <w:t xml:space="preserve">• Budesonide/formoterol, inhaled, 160 mcg/ 4.5 mcg, </w:t>
            </w:r>
          </w:p>
          <w:p w14:paraId="29B1AC88" w14:textId="77777777" w:rsidR="00EA588E" w:rsidRPr="00EA588E" w:rsidRDefault="00EA588E" w:rsidP="008542CC">
            <w:pPr>
              <w:pStyle w:val="ListParagraph"/>
              <w:numPr>
                <w:ilvl w:val="0"/>
                <w:numId w:val="67"/>
              </w:numPr>
              <w:rPr>
                <w:rFonts w:cs="Arial"/>
              </w:rPr>
            </w:pPr>
            <w:r w:rsidRPr="00EA588E">
              <w:rPr>
                <w:rFonts w:cs="Arial"/>
              </w:rPr>
              <w:t>1 inhalation as needed</w:t>
            </w:r>
          </w:p>
          <w:p w14:paraId="5B75E4A8" w14:textId="2034965B" w:rsidR="00EA588E" w:rsidRDefault="00EA588E" w:rsidP="008542CC">
            <w:pPr>
              <w:pStyle w:val="ListParagraph"/>
              <w:numPr>
                <w:ilvl w:val="0"/>
                <w:numId w:val="67"/>
              </w:numPr>
            </w:pPr>
            <w:r w:rsidRPr="00EA588E">
              <w:rPr>
                <w:rFonts w:cs="Arial"/>
              </w:rPr>
              <w:t>Maximum dose: 1280 mcg/ 36 mcg per 24 hours. This equates to 4 additional reliver inhalations on top of maintenance inhalations.</w:t>
            </w:r>
          </w:p>
        </w:tc>
      </w:tr>
    </w:tbl>
    <w:p w14:paraId="5A0EAB02" w14:textId="77777777" w:rsidR="005064FC" w:rsidRDefault="005064FC" w:rsidP="005064FC"/>
    <w:p w14:paraId="7CDF4325" w14:textId="77777777" w:rsidR="00EA588E" w:rsidRPr="00EA588E" w:rsidRDefault="00EA588E" w:rsidP="008D5C32">
      <w:pPr>
        <w:spacing w:before="0" w:after="0"/>
        <w:rPr>
          <w:rFonts w:cs="Arial"/>
          <w:b/>
          <w:bCs/>
          <w:u w:val="single"/>
        </w:rPr>
      </w:pPr>
      <w:r w:rsidRPr="00EA588E">
        <w:rPr>
          <w:rFonts w:cs="Arial"/>
          <w:b/>
          <w:bCs/>
          <w:u w:val="single"/>
        </w:rPr>
        <w:t>Follow up</w:t>
      </w:r>
    </w:p>
    <w:p w14:paraId="1C1FDE60" w14:textId="77777777" w:rsidR="00EA588E" w:rsidRPr="00EA588E" w:rsidRDefault="00EA588E" w:rsidP="008D5C32">
      <w:pPr>
        <w:pStyle w:val="ListParagraph"/>
        <w:numPr>
          <w:ilvl w:val="0"/>
          <w:numId w:val="0"/>
        </w:numPr>
        <w:rPr>
          <w:rFonts w:eastAsia="Calibri" w:cs="Arial"/>
          <w:bCs/>
          <w:lang w:val="en-GB"/>
        </w:rPr>
      </w:pPr>
      <w:r w:rsidRPr="00EA588E">
        <w:rPr>
          <w:rFonts w:eastAsia="Calibri" w:cs="Arial"/>
          <w:bCs/>
          <w:lang w:val="en-GB"/>
        </w:rPr>
        <w:t>At all follow up visits, assess asthma control and review whether step up or step down of treatment is necessary.</w:t>
      </w:r>
    </w:p>
    <w:p w14:paraId="0DA2CD23" w14:textId="77777777" w:rsidR="00EA588E" w:rsidRPr="00EA588E" w:rsidRDefault="00EA588E" w:rsidP="008542CC">
      <w:pPr>
        <w:pStyle w:val="ListParagraph"/>
        <w:numPr>
          <w:ilvl w:val="0"/>
          <w:numId w:val="70"/>
        </w:numPr>
        <w:rPr>
          <w:rFonts w:eastAsia="Calibri" w:cs="Arial"/>
          <w:bCs/>
          <w:lang w:val="en-GB"/>
        </w:rPr>
      </w:pPr>
      <w:r w:rsidRPr="00EA588E">
        <w:rPr>
          <w:rFonts w:eastAsia="Calibri" w:cs="Arial"/>
          <w:bCs/>
          <w:lang w:val="en-GB"/>
        </w:rPr>
        <w:t>Assess asthma control over the past 4 weeks</w:t>
      </w:r>
    </w:p>
    <w:p w14:paraId="39A47D66" w14:textId="77777777" w:rsidR="00EA588E" w:rsidRPr="00EA588E" w:rsidRDefault="00EA588E" w:rsidP="008542CC">
      <w:pPr>
        <w:pStyle w:val="ListParagraph"/>
        <w:numPr>
          <w:ilvl w:val="1"/>
          <w:numId w:val="70"/>
        </w:numPr>
        <w:ind w:left="924" w:hanging="357"/>
        <w:rPr>
          <w:rFonts w:eastAsia="Calibri" w:cs="Arial"/>
          <w:bCs/>
          <w:lang w:val="en-GB"/>
        </w:rPr>
      </w:pPr>
      <w:r w:rsidRPr="00EA588E">
        <w:rPr>
          <w:rFonts w:eastAsia="Calibri" w:cs="Arial"/>
          <w:bCs/>
          <w:lang w:val="en-GB"/>
        </w:rPr>
        <w:t>Give 1 point for the presence of each of the below symptoms:</w:t>
      </w:r>
    </w:p>
    <w:p w14:paraId="766B890B" w14:textId="77777777" w:rsidR="00EA588E" w:rsidRPr="00EA588E" w:rsidRDefault="00EA588E" w:rsidP="008D5C32">
      <w:pPr>
        <w:spacing w:before="0" w:after="0"/>
        <w:ind w:left="1134"/>
        <w:rPr>
          <w:rFonts w:eastAsia="Calibri" w:cs="Arial"/>
          <w:bCs/>
        </w:rPr>
      </w:pPr>
      <w:r w:rsidRPr="00EA588E">
        <w:rPr>
          <w:rFonts w:eastAsia="Calibri" w:cs="Arial"/>
          <w:bCs/>
        </w:rPr>
        <w:t>(1) - Daytime asthma symptoms more than twice weekly</w:t>
      </w:r>
    </w:p>
    <w:p w14:paraId="167566C8" w14:textId="77777777" w:rsidR="00EA588E" w:rsidRPr="00EA588E" w:rsidRDefault="00EA588E" w:rsidP="008D5C32">
      <w:pPr>
        <w:spacing w:before="0" w:after="0"/>
        <w:ind w:left="1134"/>
        <w:rPr>
          <w:rFonts w:eastAsia="Calibri" w:cs="Arial"/>
          <w:bCs/>
        </w:rPr>
      </w:pPr>
      <w:r w:rsidRPr="00EA588E">
        <w:rPr>
          <w:rFonts w:eastAsia="Calibri" w:cs="Arial"/>
          <w:bCs/>
        </w:rPr>
        <w:t>(1) - Night waking due to asthma (any)</w:t>
      </w:r>
    </w:p>
    <w:p w14:paraId="30F4BCD5" w14:textId="77777777" w:rsidR="00EA588E" w:rsidRPr="00EA588E" w:rsidRDefault="00EA588E" w:rsidP="008D5C32">
      <w:pPr>
        <w:spacing w:before="0" w:after="0"/>
        <w:ind w:left="1134"/>
        <w:rPr>
          <w:rFonts w:eastAsia="Calibri" w:cs="Arial"/>
          <w:bCs/>
        </w:rPr>
      </w:pPr>
      <w:r w:rsidRPr="00EA588E">
        <w:rPr>
          <w:rFonts w:eastAsia="Calibri" w:cs="Arial"/>
          <w:bCs/>
        </w:rPr>
        <w:t>(1) - Used SABA-only-reliever for symptoms &gt;2x/week (An ICS/formoterol reliever does not qualify for a point)</w:t>
      </w:r>
    </w:p>
    <w:p w14:paraId="37FCF75E" w14:textId="77777777" w:rsidR="00EA588E" w:rsidRPr="00EA588E" w:rsidRDefault="00EA588E" w:rsidP="008D5C32">
      <w:pPr>
        <w:spacing w:before="0" w:after="0"/>
        <w:ind w:left="1134"/>
        <w:rPr>
          <w:rFonts w:eastAsia="Calibri" w:cs="Arial"/>
          <w:bCs/>
        </w:rPr>
      </w:pPr>
      <w:r w:rsidRPr="00EA588E">
        <w:rPr>
          <w:rFonts w:eastAsia="Calibri" w:cs="Arial"/>
          <w:bCs/>
        </w:rPr>
        <w:t>(1) - Activity limitation due to asthma (any)</w:t>
      </w:r>
    </w:p>
    <w:p w14:paraId="7EAAAFA1" w14:textId="77777777" w:rsidR="00EA588E" w:rsidRPr="00EA588E" w:rsidRDefault="00EA588E" w:rsidP="008542CC">
      <w:pPr>
        <w:pStyle w:val="ListParagraph"/>
        <w:numPr>
          <w:ilvl w:val="1"/>
          <w:numId w:val="70"/>
        </w:numPr>
        <w:ind w:left="924" w:hanging="357"/>
        <w:rPr>
          <w:rFonts w:eastAsia="Calibri" w:cs="Arial"/>
          <w:bCs/>
          <w:lang w:val="en-GB"/>
        </w:rPr>
      </w:pPr>
      <w:r w:rsidRPr="00EA588E">
        <w:rPr>
          <w:rFonts w:eastAsia="Calibri" w:cs="Arial"/>
          <w:bCs/>
          <w:lang w:val="en-GB"/>
        </w:rPr>
        <w:t>Tally the points and assess the level of control</w:t>
      </w:r>
    </w:p>
    <w:tbl>
      <w:tblPr>
        <w:tblStyle w:val="TableGrid"/>
        <w:tblW w:w="0" w:type="auto"/>
        <w:tblInd w:w="1151" w:type="dxa"/>
        <w:tblLook w:val="04A0" w:firstRow="1" w:lastRow="0" w:firstColumn="1" w:lastColumn="0" w:noHBand="0" w:noVBand="1"/>
      </w:tblPr>
      <w:tblGrid>
        <w:gridCol w:w="1134"/>
        <w:gridCol w:w="1843"/>
      </w:tblGrid>
      <w:tr w:rsidR="00EA588E" w:rsidRPr="00EA588E" w14:paraId="3C1AA730" w14:textId="77777777" w:rsidTr="00C35CD7">
        <w:tc>
          <w:tcPr>
            <w:tcW w:w="1134" w:type="dxa"/>
            <w:shd w:val="clear" w:color="auto" w:fill="B2D3AB"/>
          </w:tcPr>
          <w:p w14:paraId="7520B590" w14:textId="77777777" w:rsidR="00EA588E" w:rsidRPr="00EA588E" w:rsidRDefault="00EA588E" w:rsidP="00593724">
            <w:pPr>
              <w:pStyle w:val="ListParagraph"/>
              <w:numPr>
                <w:ilvl w:val="0"/>
                <w:numId w:val="0"/>
              </w:numPr>
              <w:spacing w:line="276" w:lineRule="auto"/>
              <w:rPr>
                <w:rFonts w:eastAsia="Calibri" w:cs="Arial"/>
                <w:bCs/>
                <w:lang w:val="en-GB"/>
              </w:rPr>
            </w:pPr>
            <w:r w:rsidRPr="00EA588E">
              <w:rPr>
                <w:rFonts w:eastAsia="Calibri" w:cs="Arial"/>
                <w:bCs/>
                <w:lang w:val="en-GB"/>
              </w:rPr>
              <w:t>0 points:</w:t>
            </w:r>
          </w:p>
        </w:tc>
        <w:tc>
          <w:tcPr>
            <w:tcW w:w="1843" w:type="dxa"/>
            <w:shd w:val="clear" w:color="auto" w:fill="B2D3AB"/>
          </w:tcPr>
          <w:p w14:paraId="02E23BBE" w14:textId="77777777" w:rsidR="00EA588E" w:rsidRPr="00EA588E" w:rsidRDefault="00EA588E" w:rsidP="00593724">
            <w:pPr>
              <w:spacing w:before="0" w:after="0" w:line="276" w:lineRule="auto"/>
              <w:ind w:left="284" w:hanging="284"/>
              <w:rPr>
                <w:rFonts w:eastAsia="Calibri" w:cs="Arial"/>
                <w:bCs/>
              </w:rPr>
            </w:pPr>
            <w:r w:rsidRPr="00EA588E">
              <w:rPr>
                <w:rFonts w:eastAsia="Calibri" w:cs="Arial"/>
                <w:bCs/>
              </w:rPr>
              <w:t>Well-controlled</w:t>
            </w:r>
            <w:r w:rsidRPr="00EA588E">
              <w:rPr>
                <w:rFonts w:cs="Arial"/>
                <w:noProof/>
                <w:lang w:val="en-ZA" w:eastAsia="en-ZA"/>
              </w:rPr>
              <mc:AlternateContent>
                <mc:Choice Requires="wps">
                  <w:drawing>
                    <wp:anchor distT="36576" distB="36576" distL="36576" distR="36576" simplePos="0" relativeHeight="251659264" behindDoc="0" locked="0" layoutInCell="1" allowOverlap="1" wp14:anchorId="2AD7DEF8" wp14:editId="3691A836">
                      <wp:simplePos x="0" y="0"/>
                      <wp:positionH relativeFrom="column">
                        <wp:posOffset>468630</wp:posOffset>
                      </wp:positionH>
                      <wp:positionV relativeFrom="paragraph">
                        <wp:posOffset>7103110</wp:posOffset>
                      </wp:positionV>
                      <wp:extent cx="2446655" cy="2726690"/>
                      <wp:effectExtent l="1905" t="0" r="0" b="0"/>
                      <wp:wrapNone/>
                      <wp:docPr id="672433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46655" cy="27266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EDC0E" id="Rectangle 2" o:spid="_x0000_s1026" style="position:absolute;margin-left:36.9pt;margin-top:559.3pt;width:192.65pt;height:214.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" filled="f" stroked="f" strokeweight="2pt">
                      <v:shadow color="black [0]"/>
                      <o:lock v:ext="edit" shapetype="t"/>
                      <v:textbox inset="0,0,0,0"/>
                    </v:rect>
                  </w:pict>
                </mc:Fallback>
              </mc:AlternateContent>
            </w:r>
          </w:p>
        </w:tc>
      </w:tr>
      <w:tr w:rsidR="00EA588E" w:rsidRPr="00EA588E" w14:paraId="7CA19D06" w14:textId="77777777" w:rsidTr="00C35CD7">
        <w:tc>
          <w:tcPr>
            <w:tcW w:w="1134" w:type="dxa"/>
            <w:shd w:val="clear" w:color="auto" w:fill="FFFF79"/>
          </w:tcPr>
          <w:p w14:paraId="658CBAFF" w14:textId="77777777" w:rsidR="00EA588E" w:rsidRPr="00EA588E" w:rsidRDefault="00EA588E" w:rsidP="00C35CD7">
            <w:pPr>
              <w:pStyle w:val="ListParagraph"/>
              <w:numPr>
                <w:ilvl w:val="0"/>
                <w:numId w:val="0"/>
              </w:numPr>
              <w:spacing w:line="276" w:lineRule="auto"/>
              <w:rPr>
                <w:rFonts w:eastAsia="Calibri" w:cs="Arial"/>
                <w:bCs/>
                <w:lang w:val="en-GB"/>
              </w:rPr>
            </w:pPr>
            <w:r w:rsidRPr="00EA588E">
              <w:rPr>
                <w:rFonts w:eastAsia="Calibri" w:cs="Arial"/>
                <w:bCs/>
                <w:lang w:val="en-GB"/>
              </w:rPr>
              <w:t>1-2 points:</w:t>
            </w:r>
          </w:p>
        </w:tc>
        <w:tc>
          <w:tcPr>
            <w:tcW w:w="1843" w:type="dxa"/>
            <w:shd w:val="clear" w:color="auto" w:fill="FFFF79"/>
          </w:tcPr>
          <w:p w14:paraId="62EEC252" w14:textId="77777777" w:rsidR="00EA588E" w:rsidRPr="00EA588E" w:rsidRDefault="00EA588E" w:rsidP="00C35CD7">
            <w:pPr>
              <w:pStyle w:val="ListParagraph"/>
              <w:numPr>
                <w:ilvl w:val="0"/>
                <w:numId w:val="0"/>
              </w:numPr>
              <w:spacing w:line="276" w:lineRule="auto"/>
              <w:rPr>
                <w:rFonts w:eastAsia="Calibri" w:cs="Arial"/>
                <w:bCs/>
                <w:lang w:val="en-GB"/>
              </w:rPr>
            </w:pPr>
            <w:r w:rsidRPr="00EA588E">
              <w:rPr>
                <w:rFonts w:eastAsia="Calibri" w:cs="Arial"/>
                <w:bCs/>
                <w:lang w:val="en-GB"/>
              </w:rPr>
              <w:t>Partly controlled</w:t>
            </w:r>
          </w:p>
        </w:tc>
      </w:tr>
      <w:tr w:rsidR="00EA588E" w:rsidRPr="00EA588E" w14:paraId="65D155DD" w14:textId="77777777" w:rsidTr="00C35CD7">
        <w:tc>
          <w:tcPr>
            <w:tcW w:w="1134" w:type="dxa"/>
            <w:shd w:val="clear" w:color="auto" w:fill="EA7676"/>
          </w:tcPr>
          <w:p w14:paraId="5F11FC31" w14:textId="77777777" w:rsidR="00EA588E" w:rsidRPr="00EA588E" w:rsidRDefault="00EA588E" w:rsidP="00C35CD7">
            <w:pPr>
              <w:pStyle w:val="ListParagraph"/>
              <w:numPr>
                <w:ilvl w:val="0"/>
                <w:numId w:val="0"/>
              </w:numPr>
              <w:spacing w:line="276" w:lineRule="auto"/>
              <w:rPr>
                <w:rFonts w:eastAsia="Calibri" w:cs="Arial"/>
                <w:bCs/>
                <w:lang w:val="en-GB"/>
              </w:rPr>
            </w:pPr>
            <w:r w:rsidRPr="00EA588E">
              <w:rPr>
                <w:rFonts w:eastAsia="Calibri" w:cs="Arial"/>
                <w:bCs/>
                <w:lang w:val="en-GB"/>
              </w:rPr>
              <w:t>3-4 points:</w:t>
            </w:r>
          </w:p>
        </w:tc>
        <w:tc>
          <w:tcPr>
            <w:tcW w:w="1843" w:type="dxa"/>
            <w:shd w:val="clear" w:color="auto" w:fill="EA7676"/>
          </w:tcPr>
          <w:p w14:paraId="5004DE4F" w14:textId="77777777" w:rsidR="00EA588E" w:rsidRPr="00EA588E" w:rsidRDefault="00EA588E" w:rsidP="00C35CD7">
            <w:pPr>
              <w:pStyle w:val="ListParagraph"/>
              <w:numPr>
                <w:ilvl w:val="0"/>
                <w:numId w:val="0"/>
              </w:numPr>
              <w:spacing w:line="276" w:lineRule="auto"/>
              <w:rPr>
                <w:rFonts w:eastAsia="Calibri" w:cs="Arial"/>
                <w:bCs/>
                <w:lang w:val="en-GB"/>
              </w:rPr>
            </w:pPr>
            <w:r w:rsidRPr="00EA588E">
              <w:rPr>
                <w:rFonts w:eastAsia="Calibri" w:cs="Arial"/>
                <w:bCs/>
                <w:lang w:val="en-GB"/>
              </w:rPr>
              <w:t>Uncontrolled</w:t>
            </w:r>
          </w:p>
        </w:tc>
      </w:tr>
    </w:tbl>
    <w:p w14:paraId="7F1257AB" w14:textId="77777777" w:rsidR="00EA588E" w:rsidRPr="00EA588E" w:rsidRDefault="00EA588E" w:rsidP="008542CC">
      <w:pPr>
        <w:pStyle w:val="ListParagraph"/>
        <w:numPr>
          <w:ilvl w:val="0"/>
          <w:numId w:val="70"/>
        </w:numPr>
        <w:spacing w:line="276" w:lineRule="auto"/>
        <w:rPr>
          <w:rFonts w:eastAsia="Calibri" w:cs="Arial"/>
          <w:bCs/>
          <w:lang w:val="en-GB"/>
        </w:rPr>
      </w:pPr>
      <w:r w:rsidRPr="00EA588E">
        <w:rPr>
          <w:rFonts w:eastAsia="Calibri" w:cs="Arial"/>
          <w:bCs/>
          <w:lang w:val="en-GB"/>
        </w:rPr>
        <w:t>Consider whether level of treatment needs to be adjusted</w:t>
      </w:r>
    </w:p>
    <w:p w14:paraId="7DBA47AF" w14:textId="77777777" w:rsidR="00EA588E" w:rsidRPr="00EA588E" w:rsidRDefault="00EA588E" w:rsidP="008D61C1">
      <w:pPr>
        <w:pStyle w:val="ListParagraph"/>
        <w:numPr>
          <w:ilvl w:val="0"/>
          <w:numId w:val="76"/>
        </w:numPr>
        <w:spacing w:line="276" w:lineRule="auto"/>
        <w:rPr>
          <w:rFonts w:eastAsia="Calibri" w:cs="Arial"/>
          <w:bCs/>
          <w:lang w:val="en-GB"/>
        </w:rPr>
      </w:pPr>
      <w:r w:rsidRPr="00EA588E">
        <w:rPr>
          <w:rFonts w:eastAsia="Calibri" w:cs="Arial"/>
          <w:bCs/>
          <w:lang w:val="en-GB"/>
        </w:rPr>
        <w:t xml:space="preserve">If patient is well-controlled, consider STEPPING DOWN treatment. </w:t>
      </w:r>
    </w:p>
    <w:p w14:paraId="6E5CFB7C" w14:textId="77777777" w:rsidR="00EA588E" w:rsidRPr="00EA588E" w:rsidRDefault="00EA588E" w:rsidP="008D61C1">
      <w:pPr>
        <w:pStyle w:val="ListParagraph"/>
        <w:numPr>
          <w:ilvl w:val="0"/>
          <w:numId w:val="76"/>
        </w:numPr>
        <w:spacing w:line="276" w:lineRule="auto"/>
        <w:rPr>
          <w:rFonts w:eastAsia="Calibri" w:cs="Arial"/>
          <w:bCs/>
          <w:lang w:val="en-GB"/>
        </w:rPr>
      </w:pPr>
      <w:r w:rsidRPr="00EA588E">
        <w:rPr>
          <w:rFonts w:eastAsia="Calibri" w:cs="Arial"/>
          <w:bCs/>
          <w:lang w:val="en-GB"/>
        </w:rPr>
        <w:t>If patient is partly controlled or uncontrolled, consider STEPPING UP treatment</w:t>
      </w:r>
    </w:p>
    <w:p w14:paraId="0028A815" w14:textId="77777777" w:rsidR="00EA588E" w:rsidRPr="00EA588E" w:rsidRDefault="00EA588E" w:rsidP="008542CC">
      <w:pPr>
        <w:pStyle w:val="ListParagraph"/>
        <w:numPr>
          <w:ilvl w:val="0"/>
          <w:numId w:val="70"/>
        </w:numPr>
        <w:spacing w:line="276" w:lineRule="auto"/>
        <w:rPr>
          <w:rFonts w:eastAsia="Calibri" w:cs="Arial"/>
          <w:bCs/>
          <w:lang w:val="en-GB"/>
        </w:rPr>
      </w:pPr>
      <w:r w:rsidRPr="00EA588E">
        <w:rPr>
          <w:rFonts w:eastAsia="Calibri" w:cs="Arial"/>
          <w:bCs/>
          <w:lang w:val="en-GB"/>
        </w:rPr>
        <w:t>Before modifying treatment, complete the appropriate review checklist:</w:t>
      </w:r>
    </w:p>
    <w:p w14:paraId="32C4CDA0" w14:textId="0493582F" w:rsidR="00EA588E" w:rsidRPr="008D5C32" w:rsidRDefault="00EA588E" w:rsidP="008542CC">
      <w:pPr>
        <w:pStyle w:val="ListParagraph"/>
        <w:numPr>
          <w:ilvl w:val="0"/>
          <w:numId w:val="74"/>
        </w:numPr>
        <w:spacing w:line="276" w:lineRule="auto"/>
        <w:rPr>
          <w:rFonts w:eastAsia="Calibri" w:cs="Arial"/>
          <w:b/>
        </w:rPr>
      </w:pPr>
      <w:r w:rsidRPr="008D5C32">
        <w:rPr>
          <w:rFonts w:eastAsia="Calibri" w:cs="Arial"/>
          <w:b/>
        </w:rPr>
        <w:t>Before STEPPING DOWN treatment:</w:t>
      </w:r>
    </w:p>
    <w:p w14:paraId="43113C1B" w14:textId="77777777" w:rsidR="00EA588E" w:rsidRPr="00EA588E" w:rsidRDefault="00EA588E" w:rsidP="008D61C1">
      <w:pPr>
        <w:pStyle w:val="ListParagraph"/>
        <w:numPr>
          <w:ilvl w:val="0"/>
          <w:numId w:val="81"/>
        </w:numPr>
        <w:rPr>
          <w:rFonts w:eastAsia="Calibri" w:cs="Arial"/>
          <w:bCs/>
          <w:lang w:val="en-GB"/>
        </w:rPr>
      </w:pPr>
      <w:r w:rsidRPr="00EA588E">
        <w:rPr>
          <w:rFonts w:eastAsia="Calibri" w:cs="Arial"/>
          <w:bCs/>
          <w:lang w:val="en-GB"/>
        </w:rPr>
        <w:t>Ensure that control has been good for at least 3 months</w:t>
      </w:r>
    </w:p>
    <w:p w14:paraId="073BBCE4" w14:textId="77777777" w:rsidR="00EA588E" w:rsidRPr="00EA588E" w:rsidRDefault="00EA588E" w:rsidP="008D61C1">
      <w:pPr>
        <w:pStyle w:val="ListParagraph"/>
        <w:numPr>
          <w:ilvl w:val="0"/>
          <w:numId w:val="81"/>
        </w:numPr>
        <w:rPr>
          <w:rFonts w:eastAsia="Calibri" w:cs="Arial"/>
          <w:bCs/>
          <w:lang w:val="en-GB"/>
        </w:rPr>
      </w:pPr>
      <w:r w:rsidRPr="00EA588E">
        <w:rPr>
          <w:rFonts w:eastAsia="Calibri" w:cs="Arial"/>
          <w:bCs/>
          <w:lang w:val="en-GB"/>
        </w:rPr>
        <w:t>Ensure that there have been no exacerbations in the past year</w:t>
      </w:r>
    </w:p>
    <w:p w14:paraId="19CA2B95" w14:textId="77777777" w:rsidR="00EA588E" w:rsidRPr="00EA588E" w:rsidRDefault="00EA588E" w:rsidP="008D61C1">
      <w:pPr>
        <w:pStyle w:val="ListParagraph"/>
        <w:numPr>
          <w:ilvl w:val="0"/>
          <w:numId w:val="81"/>
        </w:numPr>
        <w:rPr>
          <w:rFonts w:eastAsia="Calibri" w:cs="Arial"/>
          <w:bCs/>
          <w:lang w:val="en-GB"/>
        </w:rPr>
      </w:pPr>
      <w:r w:rsidRPr="00EA588E">
        <w:rPr>
          <w:rFonts w:eastAsia="Calibri" w:cs="Arial"/>
          <w:bCs/>
          <w:lang w:val="en-GB"/>
        </w:rPr>
        <w:t xml:space="preserve">Ensure that the patient does not have 2 or more risk factors for exacerbations (see </w:t>
      </w:r>
      <w:r w:rsidRPr="00EA588E">
        <w:rPr>
          <w:rFonts w:eastAsia="Calibri" w:cs="Arial"/>
          <w:bCs/>
          <w:i/>
          <w:iCs/>
          <w:lang w:val="en-GB"/>
        </w:rPr>
        <w:t>“Assessment of risk factors”</w:t>
      </w:r>
      <w:r w:rsidRPr="00EA588E">
        <w:rPr>
          <w:rFonts w:eastAsia="Calibri" w:cs="Arial"/>
          <w:bCs/>
          <w:lang w:val="en-GB"/>
        </w:rPr>
        <w:t xml:space="preserve"> above)</w:t>
      </w:r>
    </w:p>
    <w:p w14:paraId="7BF6A1CE" w14:textId="77777777" w:rsidR="00EA588E" w:rsidRPr="00EA588E" w:rsidRDefault="00EA588E" w:rsidP="008D61C1">
      <w:pPr>
        <w:pStyle w:val="ListParagraph"/>
        <w:numPr>
          <w:ilvl w:val="0"/>
          <w:numId w:val="81"/>
        </w:numPr>
        <w:rPr>
          <w:rFonts w:eastAsia="Calibri" w:cs="Arial"/>
          <w:bCs/>
          <w:lang w:val="en-GB"/>
        </w:rPr>
      </w:pPr>
      <w:r w:rsidRPr="00EA588E">
        <w:rPr>
          <w:rFonts w:eastAsia="Calibri" w:cs="Arial"/>
          <w:bCs/>
          <w:lang w:val="en-GB"/>
        </w:rPr>
        <w:t>Do not step down while pregnant or travelling</w:t>
      </w:r>
    </w:p>
    <w:p w14:paraId="3FAA6242" w14:textId="129162B1" w:rsidR="00EA588E" w:rsidRPr="00EA588E" w:rsidRDefault="00EA588E" w:rsidP="008542CC">
      <w:pPr>
        <w:pStyle w:val="ListParagraph"/>
        <w:numPr>
          <w:ilvl w:val="0"/>
          <w:numId w:val="74"/>
        </w:numPr>
        <w:rPr>
          <w:rFonts w:eastAsia="Calibri" w:cs="Arial"/>
          <w:b/>
          <w:lang w:val="en-GB"/>
        </w:rPr>
      </w:pPr>
      <w:r w:rsidRPr="00EA588E">
        <w:rPr>
          <w:rFonts w:eastAsia="Calibri" w:cs="Arial"/>
          <w:b/>
          <w:lang w:val="en-GB"/>
        </w:rPr>
        <w:t>Before STEPPING UP treatment:</w:t>
      </w:r>
    </w:p>
    <w:p w14:paraId="068852B9" w14:textId="77777777" w:rsidR="00EA588E" w:rsidRPr="008D61C1" w:rsidRDefault="00EA588E" w:rsidP="008D61C1">
      <w:pPr>
        <w:pStyle w:val="ListParagraph"/>
        <w:numPr>
          <w:ilvl w:val="0"/>
          <w:numId w:val="82"/>
        </w:numPr>
        <w:rPr>
          <w:rFonts w:eastAsia="Calibri" w:cs="Arial"/>
          <w:bCs/>
        </w:rPr>
      </w:pPr>
      <w:r w:rsidRPr="008D61C1">
        <w:rPr>
          <w:rFonts w:eastAsia="Calibri" w:cs="Arial"/>
          <w:bCs/>
        </w:rPr>
        <w:t>Ensure that medication adherence is good</w:t>
      </w:r>
    </w:p>
    <w:p w14:paraId="36DA4765" w14:textId="77777777" w:rsidR="00EA588E" w:rsidRPr="008D61C1" w:rsidRDefault="00EA588E" w:rsidP="008D61C1">
      <w:pPr>
        <w:pStyle w:val="ListParagraph"/>
        <w:numPr>
          <w:ilvl w:val="0"/>
          <w:numId w:val="82"/>
        </w:numPr>
        <w:rPr>
          <w:rFonts w:eastAsia="Calibri" w:cs="Arial"/>
          <w:bCs/>
        </w:rPr>
      </w:pPr>
      <w:r w:rsidRPr="008D61C1">
        <w:rPr>
          <w:rFonts w:eastAsia="Calibri" w:cs="Arial"/>
          <w:bCs/>
        </w:rPr>
        <w:t>Ensure that inhaler technique is correct</w:t>
      </w:r>
    </w:p>
    <w:p w14:paraId="133BEC27" w14:textId="5A9AD6AF" w:rsidR="00EA588E" w:rsidRPr="008D61C1" w:rsidRDefault="00EA588E" w:rsidP="008D61C1">
      <w:pPr>
        <w:pStyle w:val="ListParagraph"/>
        <w:numPr>
          <w:ilvl w:val="0"/>
          <w:numId w:val="82"/>
        </w:numPr>
        <w:rPr>
          <w:rFonts w:eastAsia="Calibri" w:cs="Arial"/>
          <w:bCs/>
        </w:rPr>
      </w:pPr>
      <w:r w:rsidRPr="008D61C1">
        <w:rPr>
          <w:rFonts w:eastAsia="Calibri" w:cs="Arial"/>
          <w:bCs/>
        </w:rPr>
        <w:t>Ensure that all exposures have been minimised and modifiable risk factors addressed</w:t>
      </w:r>
    </w:p>
    <w:p w14:paraId="7B67E0DE" w14:textId="77777777" w:rsidR="008D61C1" w:rsidRDefault="00C35CD7" w:rsidP="008D61C1">
      <w:pPr>
        <w:pStyle w:val="ListParagraph"/>
        <w:numPr>
          <w:ilvl w:val="0"/>
          <w:numId w:val="82"/>
        </w:numPr>
        <w:rPr>
          <w:rFonts w:eastAsia="Calibri" w:cs="Arial"/>
          <w:bCs/>
        </w:rPr>
      </w:pPr>
      <w:r w:rsidRPr="008D61C1">
        <w:rPr>
          <w:rFonts w:eastAsia="Calibri" w:cs="Arial"/>
          <w:bCs/>
        </w:rPr>
        <w:t>Ensure that co-morbidities are controlled and/or are not interfering with asthma control</w:t>
      </w:r>
    </w:p>
    <w:p w14:paraId="4C0EF08D" w14:textId="288B19C2" w:rsidR="00C35CD7" w:rsidRPr="008D61C1" w:rsidRDefault="00C35CD7" w:rsidP="008D61C1">
      <w:pPr>
        <w:pStyle w:val="ListParagraph"/>
        <w:numPr>
          <w:ilvl w:val="0"/>
          <w:numId w:val="82"/>
        </w:numPr>
        <w:rPr>
          <w:rFonts w:eastAsia="Calibri" w:cs="Arial"/>
          <w:bCs/>
        </w:rPr>
      </w:pPr>
      <w:r w:rsidRPr="008D61C1">
        <w:rPr>
          <w:rFonts w:eastAsia="Calibri" w:cs="Arial"/>
          <w:bCs/>
        </w:rPr>
        <w:t>Ensure that there is no inappropriate medication use (e.g. β-blockers)</w:t>
      </w:r>
    </w:p>
    <w:p w14:paraId="742F2E35" w14:textId="77777777" w:rsidR="00C35CD7" w:rsidRPr="00C35CD7" w:rsidRDefault="00C35CD7" w:rsidP="008542CC">
      <w:pPr>
        <w:pStyle w:val="ListParagraph"/>
        <w:numPr>
          <w:ilvl w:val="0"/>
          <w:numId w:val="74"/>
        </w:numPr>
        <w:rPr>
          <w:rFonts w:eastAsia="Calibri" w:cs="Arial"/>
          <w:b/>
          <w:lang w:val="en-GB"/>
        </w:rPr>
      </w:pPr>
      <w:r w:rsidRPr="00C35CD7">
        <w:rPr>
          <w:rFonts w:eastAsia="Calibri" w:cs="Arial"/>
          <w:b/>
          <w:lang w:val="en-GB"/>
        </w:rPr>
        <w:t>If patient is partly controlled or uncontrolled on STEP 3 of chronic asthma treatment, and has completed the review checklist above:</w:t>
      </w:r>
    </w:p>
    <w:p w14:paraId="510C910D" w14:textId="77777777" w:rsidR="00C35CD7" w:rsidRPr="008D61C1" w:rsidRDefault="00C35CD7" w:rsidP="008D61C1">
      <w:pPr>
        <w:pStyle w:val="ListParagraph"/>
        <w:numPr>
          <w:ilvl w:val="0"/>
          <w:numId w:val="83"/>
        </w:numPr>
        <w:spacing w:line="276" w:lineRule="auto"/>
        <w:rPr>
          <w:rFonts w:cs="Arial"/>
        </w:rPr>
      </w:pPr>
      <w:r w:rsidRPr="008D61C1">
        <w:rPr>
          <w:rFonts w:eastAsia="Calibri" w:cs="Arial"/>
          <w:bCs/>
        </w:rPr>
        <w:t xml:space="preserve">Step up to STEP 4 and refer for further management </w:t>
      </w:r>
    </w:p>
    <w:p w14:paraId="6A8365BD" w14:textId="77777777" w:rsidR="008D5C32" w:rsidRDefault="008D5C32" w:rsidP="00C35CD7">
      <w:pPr>
        <w:rPr>
          <w:rFonts w:cs="Arial"/>
          <w:b/>
          <w:color w:val="000000" w:themeColor="text1"/>
          <w:u w:val="single"/>
          <w:lang w:val="en-US"/>
        </w:rPr>
      </w:pPr>
    </w:p>
    <w:p w14:paraId="75FF77EC" w14:textId="77777777" w:rsidR="00176697" w:rsidRDefault="00176697">
      <w:pPr>
        <w:spacing w:before="0" w:after="0"/>
        <w:jc w:val="left"/>
        <w:rPr>
          <w:rFonts w:cs="Arial"/>
          <w:b/>
          <w:color w:val="000000" w:themeColor="text1"/>
          <w:u w:val="single"/>
          <w:lang w:val="en-US"/>
        </w:rPr>
      </w:pPr>
      <w:r>
        <w:rPr>
          <w:rFonts w:cs="Arial"/>
          <w:b/>
          <w:color w:val="000000" w:themeColor="text1"/>
          <w:u w:val="single"/>
          <w:lang w:val="en-US"/>
        </w:rPr>
        <w:br w:type="page"/>
      </w:r>
    </w:p>
    <w:p w14:paraId="6A258BD8" w14:textId="1143ED9E" w:rsidR="00C35CD7" w:rsidRPr="00C35CD7" w:rsidRDefault="00C35CD7" w:rsidP="00C35CD7">
      <w:pPr>
        <w:rPr>
          <w:rFonts w:cs="Arial"/>
          <w:b/>
          <w:color w:val="000000" w:themeColor="text1"/>
          <w:u w:val="single"/>
          <w:lang w:val="en-US"/>
        </w:rPr>
      </w:pPr>
      <w:r w:rsidRPr="00C35CD7">
        <w:rPr>
          <w:rFonts w:cs="Arial"/>
          <w:b/>
          <w:color w:val="000000" w:themeColor="text1"/>
          <w:u w:val="single"/>
          <w:lang w:val="en-US"/>
        </w:rPr>
        <w:lastRenderedPageBreak/>
        <w:t>Beclometasone for patients on protease inhibitors</w:t>
      </w:r>
    </w:p>
    <w:p w14:paraId="3D72BB6E" w14:textId="77777777" w:rsidR="00C35CD7" w:rsidRPr="00C35CD7" w:rsidRDefault="00C35CD7" w:rsidP="008542CC">
      <w:pPr>
        <w:pStyle w:val="ListParagraph"/>
        <w:numPr>
          <w:ilvl w:val="0"/>
          <w:numId w:val="63"/>
        </w:numPr>
        <w:contextualSpacing w:val="0"/>
        <w:rPr>
          <w:rFonts w:cs="Arial"/>
        </w:rPr>
      </w:pPr>
      <w:r w:rsidRPr="00C35CD7">
        <w:rPr>
          <w:rFonts w:cs="Arial"/>
        </w:rPr>
        <w:t>There is a significant drug interaction between budesonide/formoterol and protease inhibitors (PIs). Beclometasone should be used in place of budesonide</w:t>
      </w:r>
    </w:p>
    <w:p w14:paraId="758D3C41" w14:textId="77777777" w:rsidR="00C35CD7" w:rsidRPr="00C35CD7" w:rsidRDefault="00C35CD7" w:rsidP="008542CC">
      <w:pPr>
        <w:pStyle w:val="ListParagraph"/>
        <w:numPr>
          <w:ilvl w:val="0"/>
          <w:numId w:val="72"/>
        </w:numPr>
        <w:rPr>
          <w:rFonts w:cs="Arial"/>
          <w:bCs/>
          <w:color w:val="000000" w:themeColor="text1"/>
          <w:lang w:val="en-US"/>
        </w:rPr>
      </w:pPr>
      <w:r w:rsidRPr="00C35CD7">
        <w:rPr>
          <w:rFonts w:cs="Arial"/>
          <w:b/>
          <w:color w:val="000000" w:themeColor="text1"/>
          <w:lang w:val="en-US"/>
        </w:rPr>
        <w:t>STEPs 1 and 2 are separate</w:t>
      </w:r>
      <w:r w:rsidRPr="00C35CD7">
        <w:rPr>
          <w:rFonts w:cs="Arial"/>
          <w:bCs/>
          <w:color w:val="000000" w:themeColor="text1"/>
          <w:lang w:val="en-US"/>
        </w:rPr>
        <w:t xml:space="preserve"> in patients who require beclomethasone over budesonide.</w:t>
      </w:r>
    </w:p>
    <w:p w14:paraId="464D8CE3" w14:textId="77777777" w:rsidR="00C35CD7" w:rsidRPr="00C35CD7" w:rsidRDefault="00C35CD7" w:rsidP="00C35CD7">
      <w:pPr>
        <w:rPr>
          <w:rFonts w:cs="Arial"/>
          <w:bCs/>
          <w:color w:val="000000" w:themeColor="text1"/>
          <w:u w:val="single"/>
          <w:lang w:val="en-US"/>
        </w:rPr>
      </w:pPr>
      <w:r w:rsidRPr="00C35CD7">
        <w:rPr>
          <w:rFonts w:cs="Arial"/>
          <w:bCs/>
          <w:color w:val="000000" w:themeColor="text1"/>
          <w:u w:val="single"/>
          <w:lang w:val="en-US"/>
        </w:rPr>
        <w:t>Treatment regimen for patients on PIs</w:t>
      </w:r>
    </w:p>
    <w:tbl>
      <w:tblPr>
        <w:tblStyle w:val="TableGrid4"/>
        <w:tblW w:w="6690" w:type="dxa"/>
        <w:tblLook w:val="04A0" w:firstRow="1" w:lastRow="0" w:firstColumn="1" w:lastColumn="0" w:noHBand="0" w:noVBand="1"/>
      </w:tblPr>
      <w:tblGrid>
        <w:gridCol w:w="1020"/>
        <w:gridCol w:w="3228"/>
        <w:gridCol w:w="2442"/>
      </w:tblGrid>
      <w:tr w:rsidR="00C35CD7" w:rsidRPr="00C35CD7" w14:paraId="52BE486C" w14:textId="77777777" w:rsidTr="008D61C1">
        <w:tc>
          <w:tcPr>
            <w:tcW w:w="1020" w:type="dxa"/>
            <w:vAlign w:val="center"/>
          </w:tcPr>
          <w:p w14:paraId="1D1286EE" w14:textId="77777777" w:rsidR="00C35CD7" w:rsidRPr="008D61C1" w:rsidRDefault="00C35CD7" w:rsidP="008D61C1">
            <w:pPr>
              <w:spacing w:before="0" w:after="120"/>
              <w:jc w:val="center"/>
              <w:rPr>
                <w:rFonts w:eastAsia="Calibri" w:cs="Arial"/>
                <w:bCs/>
                <w:color w:val="000000"/>
                <w:spacing w:val="0"/>
                <w:sz w:val="18"/>
                <w:szCs w:val="18"/>
                <w:u w:val="single"/>
                <w:lang w:val="en-US"/>
              </w:rPr>
            </w:pPr>
            <w:r w:rsidRPr="008D61C1">
              <w:rPr>
                <w:rFonts w:eastAsia="Calibri" w:cs="Arial"/>
                <w:bCs/>
                <w:color w:val="000000"/>
                <w:spacing w:val="0"/>
                <w:sz w:val="18"/>
                <w:szCs w:val="18"/>
                <w:u w:val="single"/>
                <w:lang w:val="en-US"/>
              </w:rPr>
              <w:t>STEPs</w:t>
            </w:r>
          </w:p>
        </w:tc>
        <w:tc>
          <w:tcPr>
            <w:tcW w:w="3228" w:type="dxa"/>
          </w:tcPr>
          <w:p w14:paraId="6ACF2CC1" w14:textId="77777777" w:rsidR="00C35CD7" w:rsidRPr="008D61C1" w:rsidRDefault="00C35CD7" w:rsidP="008D61C1">
            <w:pPr>
              <w:spacing w:before="0" w:after="120"/>
              <w:jc w:val="center"/>
              <w:rPr>
                <w:rFonts w:eastAsia="Calibri" w:cs="Arial"/>
                <w:bCs/>
                <w:i/>
                <w:iCs/>
                <w:color w:val="000000"/>
                <w:spacing w:val="0"/>
                <w:sz w:val="18"/>
                <w:szCs w:val="18"/>
                <w:u w:val="single"/>
                <w:lang w:val="en-US"/>
              </w:rPr>
            </w:pPr>
            <w:r w:rsidRPr="008D61C1">
              <w:rPr>
                <w:rFonts w:eastAsia="Calibri" w:cs="Arial"/>
                <w:bCs/>
                <w:i/>
                <w:iCs/>
                <w:color w:val="000000"/>
                <w:spacing w:val="0"/>
                <w:sz w:val="18"/>
                <w:szCs w:val="18"/>
                <w:u w:val="single"/>
                <w:lang w:val="en-US"/>
              </w:rPr>
              <w:t>Reliever therapy</w:t>
            </w:r>
          </w:p>
        </w:tc>
        <w:tc>
          <w:tcPr>
            <w:tcW w:w="2442" w:type="dxa"/>
          </w:tcPr>
          <w:p w14:paraId="28F4CF37" w14:textId="77777777" w:rsidR="00C35CD7" w:rsidRPr="008D61C1" w:rsidRDefault="00C35CD7" w:rsidP="008D61C1">
            <w:pPr>
              <w:spacing w:before="0" w:after="120"/>
              <w:jc w:val="center"/>
              <w:rPr>
                <w:rFonts w:eastAsia="Calibri" w:cs="Arial"/>
                <w:bCs/>
                <w:i/>
                <w:iCs/>
                <w:color w:val="000000"/>
                <w:spacing w:val="0"/>
                <w:sz w:val="18"/>
                <w:szCs w:val="18"/>
                <w:u w:val="single"/>
                <w:lang w:val="en-US"/>
              </w:rPr>
            </w:pPr>
            <w:r w:rsidRPr="008D61C1">
              <w:rPr>
                <w:rFonts w:eastAsia="Calibri" w:cs="Arial"/>
                <w:bCs/>
                <w:i/>
                <w:iCs/>
                <w:color w:val="000000"/>
                <w:spacing w:val="0"/>
                <w:sz w:val="18"/>
                <w:szCs w:val="18"/>
                <w:u w:val="single"/>
                <w:lang w:val="en-US"/>
              </w:rPr>
              <w:t>Maintenance Therapy</w:t>
            </w:r>
          </w:p>
        </w:tc>
      </w:tr>
      <w:tr w:rsidR="00C35CD7" w:rsidRPr="00C35CD7" w14:paraId="566D1469" w14:textId="77777777" w:rsidTr="008D61C1">
        <w:tc>
          <w:tcPr>
            <w:tcW w:w="1020" w:type="dxa"/>
            <w:shd w:val="clear" w:color="auto" w:fill="E2EFD9" w:themeFill="accent6" w:themeFillTint="33"/>
            <w:vAlign w:val="center"/>
          </w:tcPr>
          <w:p w14:paraId="68ED3019" w14:textId="77777777" w:rsidR="00C35CD7" w:rsidRPr="00C35CD7" w:rsidRDefault="00C35CD7" w:rsidP="008D61C1">
            <w:pPr>
              <w:spacing w:after="120" w:line="276" w:lineRule="auto"/>
              <w:jc w:val="left"/>
              <w:rPr>
                <w:rFonts w:eastAsia="Calibri" w:cs="Arial"/>
                <w:b/>
                <w:color w:val="000000"/>
                <w:spacing w:val="0"/>
                <w:sz w:val="16"/>
                <w:szCs w:val="16"/>
                <w:lang w:val="en-US"/>
              </w:rPr>
            </w:pPr>
            <w:r w:rsidRPr="00C35CD7">
              <w:rPr>
                <w:rFonts w:eastAsia="Calibri" w:cs="Arial"/>
                <w:b/>
                <w:color w:val="000000"/>
                <w:spacing w:val="0"/>
                <w:sz w:val="16"/>
                <w:szCs w:val="16"/>
                <w:lang w:val="en-US"/>
              </w:rPr>
              <w:t>STEP 1</w:t>
            </w:r>
          </w:p>
        </w:tc>
        <w:tc>
          <w:tcPr>
            <w:tcW w:w="3228" w:type="dxa"/>
            <w:shd w:val="clear" w:color="auto" w:fill="E2EFD9" w:themeFill="accent6" w:themeFillTint="33"/>
            <w:vAlign w:val="center"/>
          </w:tcPr>
          <w:p w14:paraId="6E5B1941" w14:textId="77777777" w:rsidR="00C35CD7" w:rsidRPr="00C35CD7" w:rsidRDefault="00C35CD7" w:rsidP="008D61C1">
            <w:pPr>
              <w:numPr>
                <w:ilvl w:val="0"/>
                <w:numId w:val="73"/>
              </w:numPr>
              <w:spacing w:after="120" w:line="276" w:lineRule="auto"/>
              <w:ind w:left="414" w:hanging="357"/>
              <w:contextualSpacing/>
              <w:jc w:val="left"/>
              <w:rPr>
                <w:rFonts w:eastAsia="Calibri" w:cs="Arial"/>
                <w:bCs/>
                <w:sz w:val="16"/>
                <w:szCs w:val="16"/>
                <w:lang w:val="en-US"/>
              </w:rPr>
            </w:pPr>
            <w:r w:rsidRPr="00C35CD7">
              <w:rPr>
                <w:rFonts w:eastAsia="Calibri" w:cs="Arial"/>
                <w:bCs/>
                <w:sz w:val="16"/>
                <w:szCs w:val="16"/>
                <w:lang w:val="en-US"/>
              </w:rPr>
              <w:t xml:space="preserve">Salbutamol, MDI, 200 mcg as needed </w:t>
            </w:r>
            <w:r w:rsidRPr="00C35CD7">
              <w:rPr>
                <w:rFonts w:eastAsia="Calibri" w:cs="Arial"/>
                <w:b/>
                <w:sz w:val="16"/>
                <w:szCs w:val="16"/>
                <w:lang w:val="en-US"/>
              </w:rPr>
              <w:t>AND</w:t>
            </w:r>
          </w:p>
          <w:p w14:paraId="37E4BB37" w14:textId="77777777" w:rsidR="00C35CD7" w:rsidRPr="00C35CD7" w:rsidRDefault="00C35CD7" w:rsidP="008D61C1">
            <w:pPr>
              <w:numPr>
                <w:ilvl w:val="0"/>
                <w:numId w:val="73"/>
              </w:numPr>
              <w:spacing w:after="120" w:line="276" w:lineRule="auto"/>
              <w:ind w:left="414" w:hanging="357"/>
              <w:contextualSpacing/>
              <w:jc w:val="left"/>
              <w:rPr>
                <w:rFonts w:eastAsia="Calibri" w:cs="Arial"/>
                <w:bCs/>
                <w:sz w:val="16"/>
                <w:szCs w:val="16"/>
                <w:lang w:val="en-US"/>
              </w:rPr>
            </w:pPr>
            <w:r w:rsidRPr="00C35CD7">
              <w:rPr>
                <w:rFonts w:eastAsia="Calibri" w:cs="Arial"/>
                <w:bCs/>
                <w:sz w:val="16"/>
                <w:szCs w:val="16"/>
                <w:lang w:val="en-ZA"/>
              </w:rPr>
              <w:t xml:space="preserve">Beclomethasone, MDI, 200 mcg </w:t>
            </w:r>
            <w:r w:rsidRPr="00C35CD7">
              <w:rPr>
                <w:rFonts w:eastAsia="Calibri" w:cs="Arial"/>
                <w:bCs/>
                <w:sz w:val="16"/>
                <w:szCs w:val="16"/>
                <w:lang w:val="en-US"/>
              </w:rPr>
              <w:t>whenever salbutamol taken as needed</w:t>
            </w:r>
          </w:p>
        </w:tc>
        <w:tc>
          <w:tcPr>
            <w:tcW w:w="2442" w:type="dxa"/>
            <w:shd w:val="clear" w:color="auto" w:fill="E2EFD9" w:themeFill="accent6" w:themeFillTint="33"/>
            <w:vAlign w:val="center"/>
          </w:tcPr>
          <w:p w14:paraId="5CEEF655" w14:textId="77777777" w:rsidR="00C35CD7" w:rsidRPr="00C35CD7" w:rsidRDefault="00C35CD7" w:rsidP="008D61C1">
            <w:pPr>
              <w:numPr>
                <w:ilvl w:val="0"/>
                <w:numId w:val="73"/>
              </w:numPr>
              <w:spacing w:after="120" w:line="276" w:lineRule="auto"/>
              <w:ind w:left="414" w:hanging="357"/>
              <w:contextualSpacing/>
              <w:jc w:val="left"/>
              <w:rPr>
                <w:rFonts w:eastAsia="Calibri" w:cs="Arial"/>
                <w:bCs/>
                <w:color w:val="000000"/>
                <w:sz w:val="16"/>
                <w:szCs w:val="16"/>
                <w:lang w:val="en-US"/>
              </w:rPr>
            </w:pPr>
            <w:r w:rsidRPr="00C35CD7">
              <w:rPr>
                <w:rFonts w:eastAsia="Calibri" w:cs="Arial"/>
                <w:bCs/>
                <w:color w:val="000000"/>
                <w:sz w:val="16"/>
                <w:szCs w:val="16"/>
                <w:lang w:val="en-US"/>
              </w:rPr>
              <w:t>None required</w:t>
            </w:r>
          </w:p>
        </w:tc>
      </w:tr>
      <w:tr w:rsidR="00C35CD7" w:rsidRPr="00C35CD7" w14:paraId="2C81FE01" w14:textId="77777777" w:rsidTr="008D61C1">
        <w:tc>
          <w:tcPr>
            <w:tcW w:w="1020" w:type="dxa"/>
            <w:shd w:val="clear" w:color="auto" w:fill="B2D3AB"/>
            <w:vAlign w:val="center"/>
          </w:tcPr>
          <w:p w14:paraId="31B4F1D0" w14:textId="77777777" w:rsidR="00C35CD7" w:rsidRPr="00C35CD7" w:rsidRDefault="00C35CD7" w:rsidP="008D61C1">
            <w:pPr>
              <w:spacing w:after="120" w:line="276" w:lineRule="auto"/>
              <w:jc w:val="left"/>
              <w:rPr>
                <w:rFonts w:eastAsia="Calibri" w:cs="Arial"/>
                <w:b/>
                <w:color w:val="000000"/>
                <w:spacing w:val="0"/>
                <w:sz w:val="16"/>
                <w:szCs w:val="16"/>
                <w:lang w:val="en-US"/>
              </w:rPr>
            </w:pPr>
            <w:r w:rsidRPr="00C35CD7">
              <w:rPr>
                <w:rFonts w:eastAsia="Calibri" w:cs="Arial"/>
                <w:b/>
                <w:color w:val="000000"/>
                <w:spacing w:val="0"/>
                <w:sz w:val="16"/>
                <w:szCs w:val="16"/>
                <w:lang w:val="en-US"/>
              </w:rPr>
              <w:t>STEP 2</w:t>
            </w:r>
          </w:p>
        </w:tc>
        <w:tc>
          <w:tcPr>
            <w:tcW w:w="3228" w:type="dxa"/>
            <w:vMerge w:val="restart"/>
            <w:shd w:val="clear" w:color="auto" w:fill="E7E6E6"/>
            <w:vAlign w:val="center"/>
          </w:tcPr>
          <w:p w14:paraId="05AD8119" w14:textId="77777777" w:rsidR="00C35CD7" w:rsidRPr="00C35CD7" w:rsidRDefault="00C35CD7" w:rsidP="008D61C1">
            <w:pPr>
              <w:numPr>
                <w:ilvl w:val="0"/>
                <w:numId w:val="73"/>
              </w:numPr>
              <w:spacing w:after="120" w:line="276" w:lineRule="auto"/>
              <w:ind w:left="414" w:hanging="357"/>
              <w:contextualSpacing/>
              <w:jc w:val="left"/>
              <w:rPr>
                <w:rFonts w:eastAsia="Calibri" w:cs="Arial"/>
                <w:bCs/>
                <w:color w:val="000000"/>
                <w:sz w:val="16"/>
                <w:szCs w:val="16"/>
                <w:u w:val="single"/>
                <w:lang w:val="en-US"/>
              </w:rPr>
            </w:pPr>
            <w:r w:rsidRPr="00C35CD7">
              <w:rPr>
                <w:rFonts w:eastAsia="Calibri" w:cs="Arial"/>
                <w:bCs/>
                <w:sz w:val="16"/>
                <w:szCs w:val="16"/>
                <w:lang w:val="en-US"/>
              </w:rPr>
              <w:t>Salbutamol, MDI, 200 mcg as needed</w:t>
            </w:r>
          </w:p>
        </w:tc>
        <w:tc>
          <w:tcPr>
            <w:tcW w:w="2442" w:type="dxa"/>
            <w:shd w:val="clear" w:color="auto" w:fill="B2D3AB"/>
            <w:vAlign w:val="center"/>
          </w:tcPr>
          <w:p w14:paraId="6C3E48F6" w14:textId="77777777" w:rsidR="00C35CD7" w:rsidRPr="00C35CD7" w:rsidRDefault="00C35CD7" w:rsidP="008D61C1">
            <w:pPr>
              <w:numPr>
                <w:ilvl w:val="0"/>
                <w:numId w:val="73"/>
              </w:numPr>
              <w:spacing w:after="120" w:line="276" w:lineRule="auto"/>
              <w:ind w:left="414" w:hanging="357"/>
              <w:contextualSpacing/>
              <w:jc w:val="left"/>
              <w:rPr>
                <w:rFonts w:eastAsia="Calibri" w:cs="Arial"/>
                <w:bCs/>
                <w:color w:val="000000"/>
                <w:sz w:val="16"/>
                <w:szCs w:val="16"/>
                <w:u w:val="single"/>
                <w:lang w:val="en-US"/>
              </w:rPr>
            </w:pPr>
            <w:r w:rsidRPr="00C35CD7">
              <w:rPr>
                <w:rFonts w:eastAsia="Calibri" w:cs="Arial"/>
                <w:bCs/>
                <w:sz w:val="16"/>
                <w:szCs w:val="16"/>
                <w:lang w:val="en-ZA"/>
              </w:rPr>
              <w:t>Beclomethasone, MDI, 200 mcg 12 hourly</w:t>
            </w:r>
          </w:p>
        </w:tc>
      </w:tr>
      <w:tr w:rsidR="00C35CD7" w:rsidRPr="00C35CD7" w14:paraId="65F79E5B" w14:textId="77777777" w:rsidTr="008D61C1">
        <w:tc>
          <w:tcPr>
            <w:tcW w:w="1020" w:type="dxa"/>
            <w:shd w:val="clear" w:color="auto" w:fill="FFFF79"/>
            <w:vAlign w:val="center"/>
          </w:tcPr>
          <w:p w14:paraId="11FA30ED" w14:textId="77777777" w:rsidR="00C35CD7" w:rsidRPr="00C35CD7" w:rsidRDefault="00C35CD7" w:rsidP="008D61C1">
            <w:pPr>
              <w:spacing w:after="120" w:line="276" w:lineRule="auto"/>
              <w:jc w:val="left"/>
              <w:rPr>
                <w:rFonts w:eastAsia="Calibri" w:cs="Arial"/>
                <w:b/>
                <w:color w:val="000000"/>
                <w:spacing w:val="0"/>
                <w:sz w:val="16"/>
                <w:szCs w:val="16"/>
                <w:lang w:val="en-US"/>
              </w:rPr>
            </w:pPr>
            <w:r w:rsidRPr="00C35CD7">
              <w:rPr>
                <w:rFonts w:eastAsia="Calibri" w:cs="Arial"/>
                <w:b/>
                <w:color w:val="000000"/>
                <w:spacing w:val="0"/>
                <w:sz w:val="16"/>
                <w:szCs w:val="16"/>
                <w:lang w:val="en-US"/>
              </w:rPr>
              <w:t>STEP 3</w:t>
            </w:r>
          </w:p>
        </w:tc>
        <w:tc>
          <w:tcPr>
            <w:tcW w:w="3228" w:type="dxa"/>
            <w:vMerge/>
            <w:shd w:val="clear" w:color="auto" w:fill="E7E6E6"/>
            <w:vAlign w:val="center"/>
          </w:tcPr>
          <w:p w14:paraId="4633AF4A" w14:textId="77777777" w:rsidR="00C35CD7" w:rsidRPr="00C35CD7" w:rsidRDefault="00C35CD7" w:rsidP="008D61C1">
            <w:pPr>
              <w:spacing w:after="120" w:line="276" w:lineRule="auto"/>
              <w:ind w:left="720"/>
              <w:contextualSpacing/>
              <w:jc w:val="left"/>
              <w:rPr>
                <w:rFonts w:eastAsia="Calibri" w:cs="Arial"/>
                <w:bCs/>
                <w:color w:val="000000"/>
                <w:sz w:val="16"/>
                <w:szCs w:val="16"/>
                <w:u w:val="single"/>
                <w:lang w:val="en-US"/>
              </w:rPr>
            </w:pPr>
          </w:p>
        </w:tc>
        <w:tc>
          <w:tcPr>
            <w:tcW w:w="2442" w:type="dxa"/>
            <w:shd w:val="clear" w:color="auto" w:fill="FFFF79"/>
            <w:vAlign w:val="center"/>
          </w:tcPr>
          <w:p w14:paraId="47D896C1" w14:textId="77777777" w:rsidR="00C35CD7" w:rsidRPr="00C35CD7" w:rsidRDefault="00C35CD7" w:rsidP="008D61C1">
            <w:pPr>
              <w:numPr>
                <w:ilvl w:val="0"/>
                <w:numId w:val="73"/>
              </w:numPr>
              <w:spacing w:after="120" w:line="276" w:lineRule="auto"/>
              <w:ind w:left="414" w:hanging="357"/>
              <w:contextualSpacing/>
              <w:jc w:val="left"/>
              <w:rPr>
                <w:rFonts w:eastAsia="Calibri" w:cs="Arial"/>
                <w:bCs/>
                <w:sz w:val="16"/>
                <w:szCs w:val="16"/>
                <w:lang w:val="en-ZA"/>
              </w:rPr>
            </w:pPr>
            <w:r w:rsidRPr="00C35CD7">
              <w:rPr>
                <w:rFonts w:eastAsia="Calibri" w:cs="Arial"/>
                <w:bCs/>
                <w:sz w:val="16"/>
                <w:szCs w:val="16"/>
                <w:lang w:val="en-ZA"/>
              </w:rPr>
              <w:t xml:space="preserve">Beclomethasone MDI, 200 mcg 12 hourly </w:t>
            </w:r>
            <w:r w:rsidRPr="00C35CD7">
              <w:rPr>
                <w:rFonts w:eastAsia="Calibri" w:cs="Arial"/>
                <w:b/>
                <w:sz w:val="16"/>
                <w:szCs w:val="16"/>
                <w:lang w:val="en-ZA"/>
              </w:rPr>
              <w:t>AND</w:t>
            </w:r>
          </w:p>
          <w:p w14:paraId="5B1C4107" w14:textId="77777777" w:rsidR="00C35CD7" w:rsidRPr="00C35CD7" w:rsidRDefault="00C35CD7" w:rsidP="008D61C1">
            <w:pPr>
              <w:numPr>
                <w:ilvl w:val="0"/>
                <w:numId w:val="73"/>
              </w:numPr>
              <w:spacing w:after="120" w:line="276" w:lineRule="auto"/>
              <w:ind w:left="414" w:hanging="357"/>
              <w:contextualSpacing/>
              <w:jc w:val="left"/>
              <w:rPr>
                <w:rFonts w:eastAsia="Calibri" w:cs="Arial"/>
                <w:bCs/>
                <w:color w:val="000000"/>
                <w:sz w:val="16"/>
                <w:szCs w:val="16"/>
                <w:u w:val="single"/>
                <w:lang w:val="en-US"/>
              </w:rPr>
            </w:pPr>
            <w:r w:rsidRPr="00C35CD7">
              <w:rPr>
                <w:rFonts w:eastAsia="Calibri" w:cs="Arial"/>
                <w:bCs/>
                <w:sz w:val="16"/>
                <w:szCs w:val="16"/>
                <w:lang w:val="en-ZA"/>
              </w:rPr>
              <w:t>Formoterol</w:t>
            </w:r>
            <w:r w:rsidRPr="00C35CD7">
              <w:rPr>
                <w:rFonts w:eastAsia="Calibri" w:cs="Arial"/>
                <w:bCs/>
                <w:sz w:val="16"/>
                <w:szCs w:val="16"/>
                <w:lang w:val="en-US"/>
              </w:rPr>
              <w:t xml:space="preserve">, DPI, 4.5 </w:t>
            </w:r>
            <w:r w:rsidRPr="00C35CD7">
              <w:rPr>
                <w:rFonts w:eastAsia="Calibri" w:cs="Arial"/>
                <w:iCs/>
                <w:sz w:val="16"/>
                <w:szCs w:val="16"/>
                <w:lang w:val="en-ZA"/>
              </w:rPr>
              <w:t>mcg,</w:t>
            </w:r>
            <w:r w:rsidRPr="00C35CD7">
              <w:rPr>
                <w:rFonts w:eastAsia="Calibri" w:cs="Arial"/>
                <w:bCs/>
                <w:sz w:val="16"/>
                <w:szCs w:val="16"/>
                <w:lang w:val="en-US"/>
              </w:rPr>
              <w:t>12 hourly</w:t>
            </w:r>
          </w:p>
        </w:tc>
      </w:tr>
      <w:tr w:rsidR="00C35CD7" w:rsidRPr="00C35CD7" w14:paraId="0666A50E" w14:textId="77777777" w:rsidTr="008D61C1">
        <w:tc>
          <w:tcPr>
            <w:tcW w:w="1020" w:type="dxa"/>
            <w:shd w:val="clear" w:color="auto" w:fill="EA7676"/>
            <w:vAlign w:val="center"/>
          </w:tcPr>
          <w:p w14:paraId="6782E9B7" w14:textId="77777777" w:rsidR="00C35CD7" w:rsidRPr="00C35CD7" w:rsidRDefault="00C35CD7" w:rsidP="008D61C1">
            <w:pPr>
              <w:spacing w:after="120" w:line="276" w:lineRule="auto"/>
              <w:jc w:val="left"/>
              <w:rPr>
                <w:rFonts w:eastAsia="Calibri" w:cs="Arial"/>
                <w:b/>
                <w:color w:val="000000"/>
                <w:spacing w:val="0"/>
                <w:sz w:val="16"/>
                <w:szCs w:val="16"/>
                <w:lang w:val="en-US"/>
              </w:rPr>
            </w:pPr>
            <w:r w:rsidRPr="00C35CD7">
              <w:rPr>
                <w:rFonts w:eastAsia="Calibri" w:cs="Arial"/>
                <w:b/>
                <w:color w:val="000000"/>
                <w:spacing w:val="0"/>
                <w:sz w:val="16"/>
                <w:szCs w:val="16"/>
                <w:lang w:val="en-US"/>
              </w:rPr>
              <w:t>STEP 4</w:t>
            </w:r>
          </w:p>
        </w:tc>
        <w:tc>
          <w:tcPr>
            <w:tcW w:w="3228" w:type="dxa"/>
            <w:vMerge/>
            <w:shd w:val="clear" w:color="auto" w:fill="E7E6E6"/>
            <w:vAlign w:val="center"/>
          </w:tcPr>
          <w:p w14:paraId="244CF776" w14:textId="77777777" w:rsidR="00C35CD7" w:rsidRPr="00C35CD7" w:rsidRDefault="00C35CD7" w:rsidP="008D61C1">
            <w:pPr>
              <w:spacing w:after="120" w:line="276" w:lineRule="auto"/>
              <w:ind w:left="720"/>
              <w:contextualSpacing/>
              <w:jc w:val="left"/>
              <w:rPr>
                <w:rFonts w:eastAsia="Calibri" w:cs="Arial"/>
                <w:bCs/>
                <w:color w:val="000000"/>
                <w:sz w:val="16"/>
                <w:szCs w:val="16"/>
                <w:u w:val="single"/>
                <w:lang w:val="en-US"/>
              </w:rPr>
            </w:pPr>
          </w:p>
        </w:tc>
        <w:tc>
          <w:tcPr>
            <w:tcW w:w="2442" w:type="dxa"/>
            <w:shd w:val="clear" w:color="auto" w:fill="EA7676"/>
            <w:vAlign w:val="center"/>
          </w:tcPr>
          <w:p w14:paraId="37BE2583" w14:textId="77777777" w:rsidR="00C35CD7" w:rsidRPr="00C35CD7" w:rsidRDefault="00C35CD7" w:rsidP="008D61C1">
            <w:pPr>
              <w:numPr>
                <w:ilvl w:val="0"/>
                <w:numId w:val="73"/>
              </w:numPr>
              <w:spacing w:after="120" w:line="276" w:lineRule="auto"/>
              <w:ind w:left="414" w:hanging="357"/>
              <w:contextualSpacing/>
              <w:jc w:val="left"/>
              <w:rPr>
                <w:rFonts w:eastAsia="Calibri" w:cs="Arial"/>
                <w:bCs/>
                <w:sz w:val="16"/>
                <w:szCs w:val="16"/>
                <w:lang w:val="en-ZA"/>
              </w:rPr>
            </w:pPr>
            <w:r w:rsidRPr="00C35CD7">
              <w:rPr>
                <w:rFonts w:eastAsia="Calibri" w:cs="Arial"/>
                <w:bCs/>
                <w:sz w:val="16"/>
                <w:szCs w:val="16"/>
                <w:lang w:val="en-ZA"/>
              </w:rPr>
              <w:t>Beclomethasone MDI, 400 mcg 12 hourly with</w:t>
            </w:r>
          </w:p>
          <w:p w14:paraId="14B1DC8C" w14:textId="77777777" w:rsidR="00C35CD7" w:rsidRPr="00C35CD7" w:rsidRDefault="00C35CD7" w:rsidP="008D61C1">
            <w:pPr>
              <w:numPr>
                <w:ilvl w:val="0"/>
                <w:numId w:val="73"/>
              </w:numPr>
              <w:spacing w:after="120" w:line="276" w:lineRule="auto"/>
              <w:ind w:left="414" w:hanging="357"/>
              <w:contextualSpacing/>
              <w:jc w:val="left"/>
              <w:rPr>
                <w:rFonts w:eastAsia="Calibri" w:cs="Arial"/>
                <w:bCs/>
                <w:color w:val="000000"/>
                <w:sz w:val="16"/>
                <w:szCs w:val="16"/>
                <w:u w:val="single"/>
                <w:lang w:val="en-US"/>
              </w:rPr>
            </w:pPr>
            <w:r w:rsidRPr="00C35CD7">
              <w:rPr>
                <w:rFonts w:eastAsia="Calibri" w:cs="Arial"/>
                <w:bCs/>
                <w:sz w:val="16"/>
                <w:szCs w:val="16"/>
                <w:lang w:val="en-ZA"/>
              </w:rPr>
              <w:t>Formoterol, DPI, 9 mcg,12 hourly</w:t>
            </w:r>
          </w:p>
        </w:tc>
      </w:tr>
    </w:tbl>
    <w:p w14:paraId="012AE918" w14:textId="77777777" w:rsidR="00C35CD7" w:rsidRDefault="00C35CD7" w:rsidP="00C35CD7">
      <w:pPr>
        <w:ind w:left="284" w:hanging="284"/>
      </w:pPr>
    </w:p>
    <w:tbl>
      <w:tblPr>
        <w:tblStyle w:val="TableGrid"/>
        <w:tblW w:w="0" w:type="auto"/>
        <w:tblInd w:w="-5" w:type="dxa"/>
        <w:tblLook w:val="04A0" w:firstRow="1" w:lastRow="0" w:firstColumn="1" w:lastColumn="0" w:noHBand="0" w:noVBand="1"/>
      </w:tblPr>
      <w:tblGrid>
        <w:gridCol w:w="6684"/>
      </w:tblGrid>
      <w:tr w:rsidR="00C35CD7" w14:paraId="2145A875" w14:textId="77777777" w:rsidTr="00C35CD7">
        <w:tc>
          <w:tcPr>
            <w:tcW w:w="6684" w:type="dxa"/>
            <w:tcBorders>
              <w:bottom w:val="single" w:sz="4" w:space="0" w:color="auto"/>
            </w:tcBorders>
          </w:tcPr>
          <w:p w14:paraId="617A31D0" w14:textId="77777777" w:rsidR="00C35CD7" w:rsidRPr="00C35CD7" w:rsidRDefault="00C35CD7" w:rsidP="00C35CD7">
            <w:pPr>
              <w:jc w:val="center"/>
              <w:rPr>
                <w:b/>
              </w:rPr>
            </w:pPr>
            <w:r w:rsidRPr="00C35CD7">
              <w:rPr>
                <w:b/>
              </w:rPr>
              <w:t>CAUTION</w:t>
            </w:r>
          </w:p>
          <w:p w14:paraId="1CE9B7F4" w14:textId="7B3C7BAA" w:rsidR="00C35CD7" w:rsidRDefault="00C35CD7" w:rsidP="00C35CD7">
            <w:pPr>
              <w:jc w:val="center"/>
            </w:pPr>
            <w:r w:rsidRPr="00C35CD7">
              <w:rPr>
                <w:b/>
              </w:rPr>
              <w:t xml:space="preserve">Formoterol </w:t>
            </w:r>
            <w:r>
              <w:t xml:space="preserve">has a rapid onset of action and </w:t>
            </w:r>
            <w:r w:rsidRPr="008041AC">
              <w:rPr>
                <w:b/>
                <w:bCs/>
              </w:rPr>
              <w:t>CAN</w:t>
            </w:r>
            <w:r>
              <w:t xml:space="preserve"> </w:t>
            </w:r>
            <w:r w:rsidRPr="008041AC">
              <w:rPr>
                <w:b/>
                <w:bCs/>
              </w:rPr>
              <w:t>be</w:t>
            </w:r>
            <w:r>
              <w:t xml:space="preserve"> </w:t>
            </w:r>
            <w:r w:rsidRPr="008041AC">
              <w:rPr>
                <w:b/>
                <w:bCs/>
              </w:rPr>
              <w:t>used as reliever</w:t>
            </w:r>
            <w:r>
              <w:t xml:space="preserve"> therapy BUT ONLY in combination with an ICS.</w:t>
            </w:r>
          </w:p>
          <w:p w14:paraId="13AE5027" w14:textId="4542CFCD" w:rsidR="00C35CD7" w:rsidRDefault="00C35CD7" w:rsidP="00C35CD7">
            <w:pPr>
              <w:jc w:val="center"/>
            </w:pPr>
            <w:r w:rsidRPr="001B5044">
              <w:rPr>
                <w:b/>
                <w:bCs/>
              </w:rPr>
              <w:t>Salmeterol</w:t>
            </w:r>
            <w:r w:rsidRPr="001B5044">
              <w:t xml:space="preserve"> is not rapid acting and </w:t>
            </w:r>
            <w:r w:rsidRPr="001B5044">
              <w:rPr>
                <w:b/>
                <w:bCs/>
              </w:rPr>
              <w:t>CANNOT</w:t>
            </w:r>
            <w:r w:rsidRPr="001B5044">
              <w:t xml:space="preserve"> be used as reliever therapy</w:t>
            </w:r>
            <w:r>
              <w:t>.</w:t>
            </w:r>
          </w:p>
        </w:tc>
      </w:tr>
    </w:tbl>
    <w:p w14:paraId="38BFE7C5" w14:textId="55824F9A" w:rsidR="00FD523D" w:rsidRPr="00A604AA" w:rsidRDefault="00FD523D" w:rsidP="00FD523D">
      <w:pPr>
        <w:pStyle w:val="ListParagraph"/>
        <w:numPr>
          <w:ilvl w:val="0"/>
          <w:numId w:val="0"/>
        </w:numPr>
        <w:ind w:left="284"/>
      </w:pPr>
    </w:p>
    <w:p w14:paraId="64F112CB" w14:textId="77777777" w:rsidR="00DD69A8" w:rsidRDefault="00DD69A8" w:rsidP="00C93DC9">
      <w:pPr>
        <w:spacing w:before="0" w:after="0"/>
        <w:rPr>
          <w:b/>
          <w:bCs/>
          <w:u w:val="single"/>
        </w:rPr>
      </w:pPr>
    </w:p>
    <w:p w14:paraId="5C65ACDD" w14:textId="708273B6" w:rsidR="00C93DC9" w:rsidRPr="009C285B" w:rsidRDefault="00C93DC9" w:rsidP="00C93DC9">
      <w:pPr>
        <w:spacing w:before="0" w:after="0"/>
        <w:rPr>
          <w:b/>
          <w:bCs/>
          <w:u w:val="single"/>
        </w:rPr>
      </w:pPr>
      <w:r w:rsidRPr="009C285B">
        <w:rPr>
          <w:b/>
          <w:bCs/>
          <w:u w:val="single"/>
        </w:rPr>
        <w:t>Chronic asthma management for children &lt;12 years</w:t>
      </w:r>
    </w:p>
    <w:p w14:paraId="14CC9B02" w14:textId="77777777" w:rsidR="00C93DC9" w:rsidRDefault="00C93DC9" w:rsidP="00C35CD7">
      <w:pPr>
        <w:spacing w:before="0" w:after="0"/>
        <w:rPr>
          <w:rFonts w:cs="Arial"/>
          <w:b/>
          <w:bCs/>
        </w:rPr>
      </w:pPr>
    </w:p>
    <w:p w14:paraId="4F3EE11F" w14:textId="77777777" w:rsidR="00C35CD7" w:rsidRDefault="00C35CD7" w:rsidP="00C35CD7">
      <w:pPr>
        <w:pStyle w:val="Heading5"/>
        <w:spacing w:before="0"/>
        <w:rPr>
          <w:rFonts w:cs="Arial"/>
          <w:sz w:val="18"/>
        </w:rPr>
      </w:pPr>
      <w:r w:rsidRPr="00C35CD7">
        <w:rPr>
          <w:rFonts w:cs="Arial"/>
          <w:sz w:val="18"/>
        </w:rPr>
        <w:t>STEP 1</w:t>
      </w:r>
    </w:p>
    <w:p w14:paraId="18EE83D1" w14:textId="74A3CA4A" w:rsidR="00FD523D" w:rsidRPr="008C4800" w:rsidRDefault="00FD523D" w:rsidP="008C4800">
      <w:pPr>
        <w:keepNext/>
        <w:spacing w:before="0" w:after="0"/>
        <w:outlineLvl w:val="6"/>
        <w:rPr>
          <w:rFonts w:eastAsia="Calibri" w:cs="Arial"/>
          <w:u w:val="single"/>
        </w:rPr>
      </w:pPr>
      <w:r w:rsidRPr="008C4800">
        <w:rPr>
          <w:rFonts w:eastAsia="Calibri" w:cs="Arial"/>
          <w:u w:val="single"/>
        </w:rPr>
        <w:t>Children &lt; 6 years</w:t>
      </w:r>
    </w:p>
    <w:p w14:paraId="378B97C4" w14:textId="03F87603" w:rsidR="00FD523D" w:rsidRPr="00FD523D" w:rsidRDefault="00FD523D" w:rsidP="00FD523D">
      <w:r>
        <w:t xml:space="preserve">Refer all children </w:t>
      </w:r>
      <w:r w:rsidR="008C4800">
        <w:t xml:space="preserve">&lt; </w:t>
      </w:r>
      <w:r w:rsidR="004A1212">
        <w:t>6 years of age for assessment,</w:t>
      </w:r>
      <w:r>
        <w:t xml:space="preserve"> confirmation of diagnosis</w:t>
      </w:r>
      <w:r w:rsidR="004A1212">
        <w:t xml:space="preserve"> and initiation of treatment</w:t>
      </w:r>
      <w:r>
        <w:t>.</w:t>
      </w:r>
    </w:p>
    <w:tbl>
      <w:tblPr>
        <w:tblpPr w:leftFromText="180" w:rightFromText="180" w:vertAnchor="text" w:horzAnchor="margin" w:tblpXSpec="right" w:tblpY="17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C35CD7" w:rsidRPr="00C35CD7" w14:paraId="0D5F9C02" w14:textId="77777777" w:rsidTr="00C35CD7">
        <w:tc>
          <w:tcPr>
            <w:tcW w:w="907" w:type="dxa"/>
          </w:tcPr>
          <w:p w14:paraId="3A4F4039" w14:textId="77777777" w:rsidR="00C35CD7" w:rsidRPr="00C35CD7" w:rsidRDefault="00C35CD7" w:rsidP="00C35CD7">
            <w:pPr>
              <w:pStyle w:val="LoEText"/>
              <w:framePr w:hSpace="0" w:wrap="auto" w:vAnchor="margin" w:hAnchor="text" w:xAlign="left" w:yAlign="inline"/>
              <w:suppressOverlap w:val="0"/>
              <w:rPr>
                <w:rFonts w:cs="Arial"/>
              </w:rPr>
            </w:pPr>
            <w:r w:rsidRPr="00C35CD7">
              <w:rPr>
                <w:rFonts w:cs="Arial"/>
              </w:rPr>
              <w:t>LoE:IIb</w:t>
            </w:r>
            <w:r w:rsidRPr="00C35CD7">
              <w:rPr>
                <w:rStyle w:val="EndnoteReference8"/>
                <w:rFonts w:cs="Arial"/>
              </w:rPr>
              <w:endnoteReference w:id="10"/>
            </w:r>
          </w:p>
        </w:tc>
      </w:tr>
    </w:tbl>
    <w:p w14:paraId="27F0AF47" w14:textId="26497922" w:rsidR="00C35CD7" w:rsidRPr="00C35CD7" w:rsidRDefault="00C35CD7" w:rsidP="00C35CD7">
      <w:pPr>
        <w:keepNext/>
        <w:spacing w:before="0" w:after="0"/>
        <w:outlineLvl w:val="6"/>
        <w:rPr>
          <w:rFonts w:eastAsia="Calibri" w:cs="Arial"/>
          <w:u w:val="single"/>
        </w:rPr>
      </w:pPr>
      <w:r w:rsidRPr="00C35CD7">
        <w:rPr>
          <w:rFonts w:eastAsia="Calibri" w:cs="Arial"/>
          <w:u w:val="single"/>
        </w:rPr>
        <w:t>Children  6</w:t>
      </w:r>
      <w:r w:rsidR="00FD523D">
        <w:rPr>
          <w:rFonts w:eastAsia="Calibri" w:cs="Arial"/>
          <w:u w:val="single"/>
        </w:rPr>
        <w:t xml:space="preserve"> - 11</w:t>
      </w:r>
      <w:r w:rsidRPr="00C35CD7">
        <w:rPr>
          <w:rFonts w:eastAsia="Calibri" w:cs="Arial"/>
          <w:u w:val="single"/>
        </w:rPr>
        <w:t xml:space="preserve"> years</w:t>
      </w:r>
    </w:p>
    <w:p w14:paraId="5780F342" w14:textId="77777777" w:rsidR="00C35CD7" w:rsidRPr="00C35CD7" w:rsidRDefault="00C35CD7" w:rsidP="00C35CD7">
      <w:pPr>
        <w:tabs>
          <w:tab w:val="left" w:pos="360"/>
        </w:tabs>
        <w:spacing w:before="0" w:after="0"/>
        <w:rPr>
          <w:rFonts w:eastAsia="Times New Roman" w:cs="Arial"/>
          <w:bCs/>
          <w:i/>
          <w:u w:val="single"/>
        </w:rPr>
      </w:pPr>
      <w:r w:rsidRPr="00C35CD7">
        <w:rPr>
          <w:rFonts w:eastAsia="Times New Roman" w:cs="Arial"/>
          <w:bCs/>
          <w:i/>
          <w:u w:val="single"/>
        </w:rPr>
        <w:t>As reliever/rescue therapy:</w:t>
      </w:r>
    </w:p>
    <w:p w14:paraId="09011B39" w14:textId="77777777" w:rsidR="00C35CD7" w:rsidRPr="00C35CD7" w:rsidRDefault="00C35CD7" w:rsidP="008542CC">
      <w:pPr>
        <w:numPr>
          <w:ilvl w:val="0"/>
          <w:numId w:val="10"/>
        </w:numPr>
        <w:tabs>
          <w:tab w:val="left" w:pos="284"/>
        </w:tabs>
        <w:spacing w:before="0" w:after="0"/>
        <w:ind w:left="284" w:hanging="284"/>
        <w:jc w:val="left"/>
        <w:rPr>
          <w:rFonts w:eastAsia="Times New Roman" w:cs="Arial"/>
          <w:bCs/>
        </w:rPr>
      </w:pPr>
      <w:r w:rsidRPr="00C35CD7">
        <w:rPr>
          <w:rFonts w:eastAsia="Times New Roman" w:cs="Arial"/>
          <w:bCs/>
        </w:rPr>
        <w:t>Short acting beta</w:t>
      </w:r>
      <w:r w:rsidRPr="00C35CD7">
        <w:rPr>
          <w:rFonts w:eastAsia="Times New Roman" w:cs="Arial"/>
          <w:bCs/>
          <w:vertAlign w:val="subscript"/>
        </w:rPr>
        <w:t>2</w:t>
      </w:r>
      <w:r w:rsidRPr="00C35CD7">
        <w:rPr>
          <w:rFonts w:eastAsia="Times New Roman" w:cs="Arial"/>
          <w:bCs/>
        </w:rPr>
        <w:t>-agonists, e.g.:</w:t>
      </w:r>
    </w:p>
    <w:p w14:paraId="0A7E10EF" w14:textId="77777777" w:rsidR="00C35CD7" w:rsidRPr="00C35CD7" w:rsidRDefault="00C35CD7" w:rsidP="008542CC">
      <w:pPr>
        <w:numPr>
          <w:ilvl w:val="0"/>
          <w:numId w:val="9"/>
        </w:numPr>
        <w:tabs>
          <w:tab w:val="left" w:pos="284"/>
        </w:tabs>
        <w:spacing w:before="0" w:after="0"/>
        <w:ind w:left="284" w:hanging="284"/>
        <w:jc w:val="left"/>
        <w:rPr>
          <w:rFonts w:eastAsia="Times New Roman" w:cs="Arial"/>
          <w:bCs/>
          <w:iCs/>
        </w:rPr>
      </w:pPr>
      <w:r w:rsidRPr="00C35CD7">
        <w:rPr>
          <w:rFonts w:eastAsia="Times New Roman" w:cs="Arial"/>
          <w:bCs/>
        </w:rPr>
        <w:t>Salbutamol, MDI, 200 mcg, as needed.</w:t>
      </w:r>
    </w:p>
    <w:p w14:paraId="215C4F48" w14:textId="77777777" w:rsidR="00C35CD7" w:rsidRPr="00C35CD7" w:rsidRDefault="00C35CD7" w:rsidP="00C35CD7">
      <w:pPr>
        <w:tabs>
          <w:tab w:val="left" w:pos="284"/>
        </w:tabs>
        <w:spacing w:before="0" w:after="0"/>
        <w:rPr>
          <w:rFonts w:eastAsia="Times New Roman" w:cs="Arial"/>
          <w:b/>
          <w:bCs/>
          <w:iCs/>
        </w:rPr>
      </w:pPr>
      <w:r w:rsidRPr="00C35CD7">
        <w:rPr>
          <w:rFonts w:eastAsia="Times New Roman" w:cs="Arial"/>
          <w:b/>
          <w:bCs/>
          <w:iCs/>
        </w:rPr>
        <w:t>AND</w:t>
      </w:r>
    </w:p>
    <w:p w14:paraId="6D5A484F" w14:textId="77777777" w:rsidR="00C35CD7" w:rsidRPr="00C35CD7" w:rsidRDefault="00C35CD7" w:rsidP="008542CC">
      <w:pPr>
        <w:numPr>
          <w:ilvl w:val="0"/>
          <w:numId w:val="11"/>
        </w:numPr>
        <w:tabs>
          <w:tab w:val="left" w:pos="0"/>
        </w:tabs>
        <w:spacing w:before="0" w:after="0"/>
        <w:ind w:left="284" w:hanging="284"/>
        <w:jc w:val="left"/>
        <w:rPr>
          <w:rFonts w:eastAsia="Times New Roman" w:cs="Arial"/>
          <w:iCs/>
          <w:lang w:eastAsia="ar-SA"/>
        </w:rPr>
      </w:pPr>
      <w:r w:rsidRPr="00C35CD7">
        <w:rPr>
          <w:rFonts w:eastAsia="Times New Roman" w:cs="Arial"/>
          <w:iCs/>
          <w:lang w:eastAsia="ar-SA"/>
        </w:rPr>
        <w:t>Inhaled corticosteroids, e.g.:</w:t>
      </w:r>
    </w:p>
    <w:p w14:paraId="3B94DFA8" w14:textId="77777777" w:rsidR="00C35CD7" w:rsidRPr="00C35CD7" w:rsidRDefault="00C35CD7" w:rsidP="008542CC">
      <w:pPr>
        <w:numPr>
          <w:ilvl w:val="0"/>
          <w:numId w:val="9"/>
        </w:numPr>
        <w:tabs>
          <w:tab w:val="left" w:pos="284"/>
        </w:tabs>
        <w:spacing w:before="0" w:after="0"/>
        <w:ind w:left="284" w:hanging="284"/>
        <w:jc w:val="left"/>
        <w:rPr>
          <w:rFonts w:eastAsia="Times New Roman" w:cs="Arial"/>
          <w:bCs/>
          <w:lang w:eastAsia="ar-SA"/>
        </w:rPr>
      </w:pPr>
      <w:r w:rsidRPr="00C35CD7">
        <w:rPr>
          <w:rFonts w:eastAsia="Times New Roman" w:cs="Arial"/>
          <w:bCs/>
        </w:rPr>
        <w:t>Budesonide, inhalation, 200 mcg whenever salbutamol is taken.</w:t>
      </w:r>
    </w:p>
    <w:p w14:paraId="59550BAB" w14:textId="77777777" w:rsidR="00C35CD7" w:rsidRPr="00C35CD7" w:rsidRDefault="00C35CD7" w:rsidP="00C35CD7">
      <w:pPr>
        <w:spacing w:before="0" w:after="0"/>
        <w:rPr>
          <w:rFonts w:eastAsia="Times New Roman" w:cs="Arial"/>
          <w:bCs/>
        </w:rPr>
      </w:pPr>
    </w:p>
    <w:p w14:paraId="2EAD7E95" w14:textId="77777777" w:rsidR="00C35CD7" w:rsidRPr="00C35CD7" w:rsidRDefault="00C35CD7" w:rsidP="00C35CD7">
      <w:pPr>
        <w:spacing w:before="0" w:after="0"/>
        <w:rPr>
          <w:rFonts w:eastAsia="Times New Roman" w:cs="Arial"/>
          <w:bCs/>
        </w:rPr>
      </w:pPr>
      <w:r w:rsidRPr="00C35CD7">
        <w:rPr>
          <w:rFonts w:eastAsia="Times New Roman" w:cs="Arial"/>
          <w:b/>
          <w:color w:val="000000"/>
        </w:rPr>
        <w:t>Note:</w:t>
      </w:r>
      <w:r w:rsidRPr="00C35CD7">
        <w:rPr>
          <w:rFonts w:eastAsia="Times New Roman" w:cs="Arial"/>
          <w:bCs/>
          <w:color w:val="000000"/>
        </w:rPr>
        <w:t xml:space="preserve"> Beclomethasone is the preferred ICS in patients on protease inhibitors due to drug interactions between protease inhibitors and budesonide</w:t>
      </w:r>
      <w:r w:rsidRPr="00C35CD7">
        <w:rPr>
          <w:rFonts w:eastAsia="Times New Roman" w:cs="Arial"/>
          <w:bCs/>
        </w:rPr>
        <w:t>:</w:t>
      </w:r>
    </w:p>
    <w:p w14:paraId="50DDDD57" w14:textId="77777777" w:rsidR="00C35CD7" w:rsidRPr="00C35CD7" w:rsidRDefault="00C35CD7" w:rsidP="008542CC">
      <w:pPr>
        <w:numPr>
          <w:ilvl w:val="0"/>
          <w:numId w:val="9"/>
        </w:numPr>
        <w:tabs>
          <w:tab w:val="left" w:pos="284"/>
        </w:tabs>
        <w:spacing w:before="0" w:after="0"/>
        <w:ind w:left="284" w:hanging="284"/>
        <w:jc w:val="left"/>
        <w:rPr>
          <w:rFonts w:eastAsia="Times New Roman" w:cs="Arial"/>
          <w:bCs/>
          <w:lang w:eastAsia="ar-SA"/>
        </w:rPr>
      </w:pPr>
      <w:r w:rsidRPr="00C35CD7">
        <w:rPr>
          <w:rFonts w:eastAsia="Times New Roman" w:cs="Arial"/>
          <w:bCs/>
          <w:lang w:val="en-US"/>
        </w:rPr>
        <w:t>Beclomethasone, inhalation, 200 mcg whenever salbutamol taken.</w:t>
      </w:r>
    </w:p>
    <w:p w14:paraId="098C58C2" w14:textId="77777777" w:rsidR="009C285B" w:rsidRDefault="009C285B" w:rsidP="00C35CD7">
      <w:pPr>
        <w:pStyle w:val="Heading5"/>
        <w:spacing w:before="0"/>
        <w:rPr>
          <w:rFonts w:cs="Arial"/>
          <w:sz w:val="18"/>
        </w:rPr>
      </w:pPr>
    </w:p>
    <w:p w14:paraId="6A8129D2" w14:textId="77777777" w:rsidR="00C35CD7" w:rsidRPr="00C35CD7" w:rsidRDefault="00C35CD7" w:rsidP="00C35CD7">
      <w:pPr>
        <w:pStyle w:val="Heading5"/>
        <w:spacing w:before="0"/>
        <w:rPr>
          <w:rFonts w:cs="Arial"/>
          <w:sz w:val="18"/>
        </w:rPr>
      </w:pPr>
      <w:r w:rsidRPr="00C35CD7">
        <w:rPr>
          <w:rFonts w:cs="Arial"/>
          <w:sz w:val="18"/>
        </w:rPr>
        <w:t xml:space="preserve">STEP 2 </w:t>
      </w:r>
    </w:p>
    <w:p w14:paraId="782E479C" w14:textId="77777777" w:rsidR="00C35CD7" w:rsidRPr="00C35CD7" w:rsidRDefault="00C35CD7" w:rsidP="00C35CD7">
      <w:pPr>
        <w:pStyle w:val="Heading7"/>
        <w:spacing w:before="0"/>
        <w:rPr>
          <w:rFonts w:cs="Arial"/>
        </w:rPr>
      </w:pPr>
      <w:r w:rsidRPr="00C35CD7">
        <w:rPr>
          <w:rFonts w:cs="Arial"/>
        </w:rPr>
        <w:t xml:space="preserve">Children </w:t>
      </w:r>
      <w:r w:rsidRPr="00C35CD7">
        <w:rPr>
          <w:rFonts w:eastAsia="Calibri" w:cs="Arial"/>
        </w:rPr>
        <w:t>&lt; 6yrs (wheeze ≥ 3 times a year):</w:t>
      </w:r>
    </w:p>
    <w:p w14:paraId="227E2236" w14:textId="77777777" w:rsidR="00C35CD7" w:rsidRPr="00C35CD7" w:rsidRDefault="00C35CD7" w:rsidP="00C35CD7">
      <w:pPr>
        <w:pStyle w:val="BulletTherapeuticclass"/>
        <w:rPr>
          <w:rFonts w:cs="Arial"/>
        </w:rPr>
      </w:pPr>
      <w:r w:rsidRPr="00C35CD7">
        <w:rPr>
          <w:rFonts w:cs="Arial"/>
        </w:rPr>
        <w:t>Inhaled corticosteroids</w:t>
      </w:r>
      <w:r w:rsidRPr="00C35CD7">
        <w:rPr>
          <w:rFonts w:cs="Arial"/>
        </w:rPr>
        <w:fldChar w:fldCharType="begin"/>
      </w:r>
      <w:r w:rsidRPr="00C35CD7">
        <w:rPr>
          <w:rFonts w:cs="Arial"/>
        </w:rPr>
        <w:instrText xml:space="preserve"> XE "Inhaled corticosteroids" \f "m" </w:instrText>
      </w:r>
      <w:r w:rsidRPr="00C35CD7">
        <w:rPr>
          <w:rFonts w:cs="Arial"/>
        </w:rPr>
        <w:fldChar w:fldCharType="end"/>
      </w:r>
      <w:r w:rsidRPr="00C35CD7">
        <w:rPr>
          <w:rFonts w:cs="Arial"/>
        </w:rPr>
        <w:t xml:space="preserve"> e.g.:</w:t>
      </w:r>
    </w:p>
    <w:p w14:paraId="5BF332E1" w14:textId="77777777" w:rsidR="00C35CD7" w:rsidRPr="00C35CD7" w:rsidRDefault="00C35CD7" w:rsidP="008542CC">
      <w:pPr>
        <w:numPr>
          <w:ilvl w:val="0"/>
          <w:numId w:val="9"/>
        </w:numPr>
        <w:tabs>
          <w:tab w:val="left" w:pos="284"/>
        </w:tabs>
        <w:spacing w:before="0" w:after="0"/>
        <w:ind w:left="284" w:hanging="284"/>
        <w:jc w:val="left"/>
        <w:rPr>
          <w:rFonts w:eastAsia="Times New Roman" w:cs="Arial"/>
          <w:bCs/>
        </w:rPr>
      </w:pPr>
      <w:r w:rsidRPr="00C35CD7">
        <w:rPr>
          <w:rFonts w:eastAsia="Times New Roman" w:cs="Arial"/>
          <w:bCs/>
        </w:rPr>
        <w:t>Beclomethasone</w:t>
      </w:r>
      <w:r w:rsidRPr="00C35CD7">
        <w:rPr>
          <w:rFonts w:eastAsia="Times New Roman" w:cs="Arial"/>
          <w:bCs/>
        </w:rPr>
        <w:fldChar w:fldCharType="begin"/>
      </w:r>
      <w:r w:rsidRPr="00C35CD7">
        <w:rPr>
          <w:rFonts w:eastAsia="Times New Roman" w:cs="Arial"/>
          <w:bCs/>
        </w:rPr>
        <w:instrText xml:space="preserve"> XE "Beclomethasone" \f "m" </w:instrText>
      </w:r>
      <w:r w:rsidRPr="00C35CD7">
        <w:rPr>
          <w:rFonts w:eastAsia="Times New Roman" w:cs="Arial"/>
          <w:bCs/>
        </w:rPr>
        <w:fldChar w:fldCharType="end"/>
      </w:r>
      <w:r w:rsidRPr="00C35CD7">
        <w:rPr>
          <w:rFonts w:eastAsia="Times New Roman" w:cs="Arial"/>
          <w:bCs/>
        </w:rPr>
        <w:t>, inhalation, 100 mcg 12 hourly.</w:t>
      </w:r>
    </w:p>
    <w:p w14:paraId="1BF3C399" w14:textId="77777777" w:rsidR="00C35CD7" w:rsidRPr="00C35CD7" w:rsidRDefault="00C35CD7" w:rsidP="00C35CD7">
      <w:pPr>
        <w:pStyle w:val="NoSpacing"/>
        <w:rPr>
          <w:rStyle w:val="Strong"/>
          <w:rFonts w:cs="Arial"/>
        </w:rPr>
      </w:pPr>
      <w:r w:rsidRPr="00C35CD7">
        <w:rPr>
          <w:rStyle w:val="Strong"/>
          <w:rFonts w:cs="Arial"/>
        </w:rPr>
        <w:t>AND</w:t>
      </w:r>
    </w:p>
    <w:p w14:paraId="71A38099" w14:textId="77777777" w:rsidR="00C35CD7" w:rsidRPr="00C35CD7" w:rsidRDefault="00C35CD7" w:rsidP="00C35CD7">
      <w:pPr>
        <w:pStyle w:val="BulletTherapeuticclass"/>
        <w:rPr>
          <w:rFonts w:cs="Arial"/>
        </w:rPr>
      </w:pPr>
      <w:r w:rsidRPr="00C35CD7">
        <w:rPr>
          <w:rFonts w:cs="Arial"/>
        </w:rPr>
        <w:t xml:space="preserve">Short acting </w:t>
      </w:r>
      <w:r w:rsidRPr="00C35CD7">
        <w:rPr>
          <w:rFonts w:eastAsia="Times New Roman" w:cs="Arial"/>
          <w:bCs/>
          <w:spacing w:val="0"/>
        </w:rPr>
        <w:t>beta</w:t>
      </w:r>
      <w:r w:rsidRPr="00C35CD7">
        <w:rPr>
          <w:rFonts w:eastAsia="Times New Roman" w:cs="Arial"/>
          <w:bCs/>
          <w:vertAlign w:val="subscript"/>
        </w:rPr>
        <w:t>2</w:t>
      </w:r>
      <w:r w:rsidRPr="00C35CD7">
        <w:rPr>
          <w:rFonts w:eastAsia="Times New Roman" w:cs="Arial"/>
          <w:bCs/>
        </w:rPr>
        <w:t>-agonists</w:t>
      </w:r>
      <w:r w:rsidRPr="00C35CD7">
        <w:rPr>
          <w:rFonts w:cs="Arial"/>
        </w:rPr>
        <w:t xml:space="preserve"> agonist e.g.:</w:t>
      </w:r>
    </w:p>
    <w:p w14:paraId="28895A61" w14:textId="77777777" w:rsidR="00C35CD7" w:rsidRPr="00C35CD7" w:rsidRDefault="00C35CD7" w:rsidP="00C35CD7">
      <w:pPr>
        <w:pStyle w:val="BulletMedicine"/>
        <w:rPr>
          <w:rFonts w:cs="Arial"/>
        </w:rPr>
      </w:pPr>
      <w:r w:rsidRPr="00C35CD7">
        <w:rPr>
          <w:rFonts w:cs="Arial"/>
        </w:rPr>
        <w:t>Salbutamol, inhalation</w:t>
      </w:r>
      <w:r w:rsidRPr="00C35CD7">
        <w:rPr>
          <w:rFonts w:cs="Arial"/>
        </w:rPr>
        <w:fldChar w:fldCharType="begin"/>
      </w:r>
      <w:r w:rsidRPr="00C35CD7">
        <w:rPr>
          <w:rFonts w:cs="Arial"/>
        </w:rPr>
        <w:instrText xml:space="preserve"> XE "Salbutamol, inhaler" \f "m" </w:instrText>
      </w:r>
      <w:r w:rsidRPr="00C35CD7">
        <w:rPr>
          <w:rFonts w:cs="Arial"/>
        </w:rPr>
        <w:fldChar w:fldCharType="end"/>
      </w:r>
      <w:r w:rsidRPr="00C35CD7">
        <w:rPr>
          <w:rFonts w:cs="Arial"/>
        </w:rPr>
        <w:t>, 100–200 mcg (1–2 puffs), 6–8 hourly as needed (until symptoms are controlled).</w:t>
      </w:r>
    </w:p>
    <w:p w14:paraId="385D0B30" w14:textId="77777777" w:rsidR="00C35CD7" w:rsidRPr="00C35CD7" w:rsidRDefault="00C35CD7" w:rsidP="00C35CD7">
      <w:pPr>
        <w:pStyle w:val="Heading7"/>
        <w:spacing w:before="0"/>
        <w:rPr>
          <w:rFonts w:eastAsia="Calibri" w:cs="Arial"/>
          <w:b/>
          <w:bCs/>
          <w:caps/>
        </w:rPr>
      </w:pPr>
      <w:r w:rsidRPr="00C35CD7">
        <w:rPr>
          <w:rFonts w:cs="Arial"/>
        </w:rPr>
        <w:t>Children</w:t>
      </w:r>
      <w:r w:rsidRPr="00C35CD7">
        <w:rPr>
          <w:rFonts w:eastAsia="Calibri" w:cs="Arial"/>
        </w:rPr>
        <w:t xml:space="preserve"> 6 to 11 years </w:t>
      </w:r>
      <w:r w:rsidRPr="00C35CD7">
        <w:rPr>
          <w:rFonts w:eastAsia="Calibri" w:cs="Arial"/>
          <w:b/>
          <w:bCs/>
          <w:caps/>
        </w:rPr>
        <w:t xml:space="preserve"> </w:t>
      </w:r>
    </w:p>
    <w:p w14:paraId="64830302" w14:textId="77777777" w:rsidR="00C35CD7" w:rsidRPr="00C35CD7" w:rsidRDefault="00C35CD7" w:rsidP="00C35CD7">
      <w:pPr>
        <w:spacing w:before="0" w:after="0"/>
        <w:rPr>
          <w:rFonts w:eastAsia="Times New Roman" w:cs="Arial"/>
          <w:i/>
          <w:u w:val="single"/>
        </w:rPr>
      </w:pPr>
      <w:r w:rsidRPr="00C35CD7">
        <w:rPr>
          <w:rFonts w:eastAsia="Times New Roman" w:cs="Arial"/>
          <w:i/>
          <w:u w:val="single"/>
        </w:rPr>
        <w:t>As controller therapy:</w:t>
      </w:r>
    </w:p>
    <w:tbl>
      <w:tblPr>
        <w:tblpPr w:leftFromText="180" w:rightFromText="180" w:vertAnchor="text" w:horzAnchor="margin" w:tblpXSpec="right" w:tblpY="12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C35CD7" w:rsidRPr="00C35CD7" w14:paraId="4498EA3A" w14:textId="77777777" w:rsidTr="00C35CD7">
        <w:tc>
          <w:tcPr>
            <w:tcW w:w="907" w:type="dxa"/>
          </w:tcPr>
          <w:p w14:paraId="11174403" w14:textId="77777777" w:rsidR="00C35CD7" w:rsidRPr="00C35CD7" w:rsidRDefault="00C35CD7" w:rsidP="00C35CD7">
            <w:pPr>
              <w:pStyle w:val="LoEText"/>
              <w:framePr w:hSpace="0" w:wrap="auto" w:vAnchor="margin" w:hAnchor="text" w:xAlign="left" w:yAlign="inline"/>
              <w:suppressOverlap w:val="0"/>
              <w:rPr>
                <w:rFonts w:cs="Arial"/>
              </w:rPr>
            </w:pPr>
            <w:r w:rsidRPr="00C35CD7">
              <w:rPr>
                <w:rFonts w:cs="Arial"/>
              </w:rPr>
              <w:t>LoE:IIIb</w:t>
            </w:r>
            <w:r w:rsidRPr="00C35CD7">
              <w:rPr>
                <w:rStyle w:val="EndnoteReference8"/>
                <w:rFonts w:cs="Arial"/>
              </w:rPr>
              <w:endnoteReference w:id="11"/>
            </w:r>
          </w:p>
        </w:tc>
      </w:tr>
    </w:tbl>
    <w:p w14:paraId="395E8352" w14:textId="77777777" w:rsidR="00C35CD7" w:rsidRPr="00C35CD7" w:rsidRDefault="00C35CD7" w:rsidP="008542CC">
      <w:pPr>
        <w:numPr>
          <w:ilvl w:val="0"/>
          <w:numId w:val="11"/>
        </w:numPr>
        <w:tabs>
          <w:tab w:val="left" w:pos="0"/>
        </w:tabs>
        <w:spacing w:before="0" w:after="0"/>
        <w:ind w:left="284" w:hanging="284"/>
        <w:jc w:val="left"/>
        <w:rPr>
          <w:rFonts w:eastAsia="Times New Roman" w:cs="Arial"/>
          <w:iCs/>
          <w:lang w:eastAsia="ar-SA"/>
        </w:rPr>
      </w:pPr>
      <w:r w:rsidRPr="00C35CD7">
        <w:rPr>
          <w:rFonts w:eastAsia="Times New Roman" w:cs="Arial"/>
          <w:iCs/>
          <w:lang w:eastAsia="ar-SA"/>
        </w:rPr>
        <w:t>Inhaled corticosteroids, low dose, e.g.:</w:t>
      </w:r>
    </w:p>
    <w:p w14:paraId="79E0A8DE" w14:textId="77777777" w:rsidR="00C35CD7" w:rsidRPr="00C35CD7" w:rsidRDefault="00C35CD7" w:rsidP="008542CC">
      <w:pPr>
        <w:numPr>
          <w:ilvl w:val="0"/>
          <w:numId w:val="9"/>
        </w:numPr>
        <w:tabs>
          <w:tab w:val="left" w:pos="284"/>
        </w:tabs>
        <w:spacing w:before="0" w:after="0"/>
        <w:ind w:left="284" w:hanging="284"/>
        <w:jc w:val="left"/>
        <w:rPr>
          <w:rFonts w:eastAsia="Times New Roman" w:cs="Arial"/>
          <w:bCs/>
          <w:lang w:eastAsia="ar-SA"/>
        </w:rPr>
      </w:pPr>
      <w:r w:rsidRPr="00C35CD7">
        <w:rPr>
          <w:rFonts w:eastAsia="Times New Roman" w:cs="Arial"/>
          <w:bCs/>
        </w:rPr>
        <w:t>Budesonide, inhalation, 200 mcg 12 hourly.</w:t>
      </w:r>
    </w:p>
    <w:p w14:paraId="3ABB42D0" w14:textId="77777777" w:rsidR="00C35CD7" w:rsidRPr="00C35CD7" w:rsidRDefault="00C35CD7" w:rsidP="008542CC">
      <w:pPr>
        <w:numPr>
          <w:ilvl w:val="0"/>
          <w:numId w:val="12"/>
        </w:numPr>
        <w:spacing w:before="0" w:after="0"/>
        <w:ind w:left="567" w:hanging="283"/>
        <w:jc w:val="left"/>
        <w:rPr>
          <w:rFonts w:eastAsia="Times New Roman" w:cs="Arial"/>
          <w:iCs/>
        </w:rPr>
      </w:pPr>
      <w:r w:rsidRPr="00C35CD7">
        <w:rPr>
          <w:rFonts w:eastAsia="Times New Roman" w:cs="Arial"/>
          <w:iCs/>
        </w:rPr>
        <w:t>Well and stable after 6 months: can attempt to reduce budesonide dose to 200 mcg daily.</w:t>
      </w:r>
    </w:p>
    <w:p w14:paraId="3CFEEA46" w14:textId="77777777" w:rsidR="00C35CD7" w:rsidRPr="00C35CD7" w:rsidRDefault="00C35CD7" w:rsidP="008542CC">
      <w:pPr>
        <w:numPr>
          <w:ilvl w:val="0"/>
          <w:numId w:val="12"/>
        </w:numPr>
        <w:spacing w:before="0" w:after="0"/>
        <w:ind w:left="567" w:hanging="283"/>
        <w:jc w:val="left"/>
        <w:rPr>
          <w:rFonts w:eastAsia="Times New Roman" w:cs="Arial"/>
          <w:iCs/>
        </w:rPr>
      </w:pPr>
      <w:r w:rsidRPr="00C35CD7">
        <w:rPr>
          <w:rFonts w:eastAsia="Times New Roman" w:cs="Arial"/>
          <w:iCs/>
        </w:rPr>
        <w:t>Dose adjustments may be required at change of seasons.</w:t>
      </w:r>
    </w:p>
    <w:p w14:paraId="1A6E4890" w14:textId="77777777" w:rsidR="00C35CD7" w:rsidRPr="00C35CD7" w:rsidRDefault="00C35CD7" w:rsidP="00C35CD7">
      <w:pPr>
        <w:spacing w:before="0" w:after="0"/>
        <w:rPr>
          <w:rFonts w:eastAsia="Times New Roman" w:cs="Arial"/>
          <w:bCs/>
        </w:rPr>
      </w:pPr>
    </w:p>
    <w:p w14:paraId="13E27A95" w14:textId="77777777" w:rsidR="00C35CD7" w:rsidRPr="00C35CD7" w:rsidRDefault="00C35CD7" w:rsidP="00C35CD7">
      <w:pPr>
        <w:tabs>
          <w:tab w:val="left" w:pos="284"/>
        </w:tabs>
        <w:spacing w:before="0" w:after="0"/>
        <w:rPr>
          <w:rFonts w:eastAsia="Times New Roman" w:cs="Arial"/>
          <w:bCs/>
          <w:color w:val="000000"/>
        </w:rPr>
      </w:pPr>
      <w:r w:rsidRPr="00C35CD7">
        <w:rPr>
          <w:rFonts w:eastAsia="Times New Roman" w:cs="Arial"/>
          <w:b/>
          <w:color w:val="000000"/>
        </w:rPr>
        <w:t xml:space="preserve">Note: </w:t>
      </w:r>
      <w:r w:rsidRPr="00C35CD7">
        <w:rPr>
          <w:rFonts w:eastAsia="Times New Roman" w:cs="Arial"/>
          <w:bCs/>
          <w:color w:val="000000"/>
        </w:rPr>
        <w:t>Beclomethasone is the preferred ICS in patients on protease inhibitors due to drug interactions between protease inhibitors and budesonide.</w:t>
      </w:r>
    </w:p>
    <w:p w14:paraId="7285576E" w14:textId="77777777" w:rsidR="00C35CD7" w:rsidRPr="00C35CD7" w:rsidRDefault="00C35CD7" w:rsidP="008542CC">
      <w:pPr>
        <w:numPr>
          <w:ilvl w:val="0"/>
          <w:numId w:val="15"/>
        </w:numPr>
        <w:tabs>
          <w:tab w:val="left" w:pos="284"/>
        </w:tabs>
        <w:spacing w:before="0" w:after="0"/>
        <w:jc w:val="left"/>
        <w:rPr>
          <w:rFonts w:eastAsia="Times New Roman" w:cs="Arial"/>
          <w:bCs/>
        </w:rPr>
      </w:pPr>
      <w:r w:rsidRPr="00C35CD7">
        <w:rPr>
          <w:rFonts w:eastAsia="Times New Roman" w:cs="Arial"/>
          <w:bCs/>
        </w:rPr>
        <w:t xml:space="preserve">Beclomethasone, inhalation, 200 mcg 12 hourly for 6 months; reduced to 200 mcg daily once well and stable. </w:t>
      </w:r>
    </w:p>
    <w:p w14:paraId="007804BC" w14:textId="77777777" w:rsidR="00C35CD7" w:rsidRPr="00C35CD7" w:rsidRDefault="00C35CD7" w:rsidP="00C35CD7">
      <w:pPr>
        <w:spacing w:before="0" w:after="0"/>
        <w:rPr>
          <w:rFonts w:eastAsia="Times New Roman" w:cs="Arial"/>
          <w:b/>
          <w:lang w:val="en-US" w:eastAsia="en-GB"/>
        </w:rPr>
      </w:pPr>
      <w:r w:rsidRPr="00C35CD7">
        <w:rPr>
          <w:rFonts w:eastAsia="Times New Roman" w:cs="Arial"/>
          <w:b/>
          <w:lang w:val="en-US" w:eastAsia="en-GB"/>
        </w:rPr>
        <w:t>AND</w:t>
      </w:r>
    </w:p>
    <w:p w14:paraId="175A57D2" w14:textId="77777777" w:rsidR="00C35CD7" w:rsidRPr="00C35CD7" w:rsidRDefault="00C35CD7" w:rsidP="00C35CD7">
      <w:pPr>
        <w:tabs>
          <w:tab w:val="left" w:pos="360"/>
        </w:tabs>
        <w:spacing w:before="0" w:after="0"/>
        <w:rPr>
          <w:rFonts w:eastAsia="Times New Roman" w:cs="Arial"/>
          <w:bCs/>
          <w:i/>
          <w:u w:val="single"/>
        </w:rPr>
      </w:pPr>
      <w:r w:rsidRPr="00C35CD7">
        <w:rPr>
          <w:rFonts w:eastAsia="Times New Roman" w:cs="Arial"/>
          <w:bCs/>
          <w:i/>
          <w:u w:val="single"/>
        </w:rPr>
        <w:t>As reliever/rescue therapy:</w:t>
      </w:r>
    </w:p>
    <w:p w14:paraId="7FE7DD9E" w14:textId="77777777" w:rsidR="00C35CD7" w:rsidRPr="00C35CD7" w:rsidRDefault="00C35CD7" w:rsidP="008542CC">
      <w:pPr>
        <w:numPr>
          <w:ilvl w:val="0"/>
          <w:numId w:val="10"/>
        </w:numPr>
        <w:tabs>
          <w:tab w:val="left" w:pos="284"/>
        </w:tabs>
        <w:spacing w:before="0" w:after="0"/>
        <w:ind w:left="284" w:hanging="284"/>
        <w:jc w:val="left"/>
        <w:rPr>
          <w:rFonts w:eastAsia="Times New Roman" w:cs="Arial"/>
          <w:bCs/>
        </w:rPr>
      </w:pPr>
      <w:r w:rsidRPr="00C35CD7">
        <w:rPr>
          <w:rFonts w:eastAsia="Times New Roman" w:cs="Arial"/>
          <w:bCs/>
        </w:rPr>
        <w:t>Short acting beta</w:t>
      </w:r>
      <w:r w:rsidRPr="00C35CD7">
        <w:rPr>
          <w:rFonts w:eastAsia="Times New Roman" w:cs="Arial"/>
          <w:bCs/>
          <w:vertAlign w:val="subscript"/>
        </w:rPr>
        <w:t>2</w:t>
      </w:r>
      <w:r w:rsidRPr="00C35CD7">
        <w:rPr>
          <w:rFonts w:eastAsia="Times New Roman" w:cs="Arial"/>
          <w:bCs/>
        </w:rPr>
        <w:t>-agonists, e.g.:</w:t>
      </w:r>
    </w:p>
    <w:p w14:paraId="3447C7B5" w14:textId="77777777" w:rsidR="00C35CD7" w:rsidRPr="00C35CD7" w:rsidRDefault="00C35CD7" w:rsidP="008542CC">
      <w:pPr>
        <w:numPr>
          <w:ilvl w:val="0"/>
          <w:numId w:val="9"/>
        </w:numPr>
        <w:tabs>
          <w:tab w:val="left" w:pos="284"/>
        </w:tabs>
        <w:spacing w:before="0" w:after="0"/>
        <w:ind w:left="284" w:hanging="284"/>
        <w:jc w:val="left"/>
      </w:pPr>
      <w:r w:rsidRPr="00C35CD7">
        <w:rPr>
          <w:rFonts w:eastAsia="Times New Roman" w:cs="Arial"/>
          <w:bCs/>
          <w:lang w:val="en-US"/>
        </w:rPr>
        <w:t>Salbutamol, MDI, 200 mcg, 6 hourly as necessary.</w:t>
      </w:r>
    </w:p>
    <w:p w14:paraId="40C532E9" w14:textId="77777777" w:rsidR="00C35CD7" w:rsidRPr="00C35CD7" w:rsidRDefault="00C35CD7" w:rsidP="00C35CD7">
      <w:pPr>
        <w:tabs>
          <w:tab w:val="left" w:pos="284"/>
        </w:tabs>
        <w:spacing w:before="0" w:after="0"/>
        <w:ind w:left="284"/>
      </w:pPr>
    </w:p>
    <w:tbl>
      <w:tblPr>
        <w:tblpPr w:leftFromText="180" w:rightFromText="180" w:vertAnchor="text" w:horzAnchor="margin" w:tblpXSpec="right" w:tblpY="36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C35CD7" w:rsidRPr="00C35CD7" w14:paraId="50DA0205" w14:textId="77777777" w:rsidTr="00C35CD7">
        <w:tc>
          <w:tcPr>
            <w:tcW w:w="907" w:type="dxa"/>
          </w:tcPr>
          <w:p w14:paraId="683EEB69" w14:textId="77777777" w:rsidR="00C35CD7" w:rsidRPr="00C35CD7" w:rsidRDefault="00C35CD7" w:rsidP="00C35CD7">
            <w:pPr>
              <w:pStyle w:val="LoEText"/>
              <w:framePr w:hSpace="0" w:wrap="auto" w:vAnchor="margin" w:hAnchor="text" w:xAlign="left" w:yAlign="inline"/>
              <w:suppressOverlap w:val="0"/>
            </w:pPr>
            <w:r w:rsidRPr="00C35CD7">
              <w:t>LoE:IIIb</w:t>
            </w:r>
            <w:r w:rsidRPr="00C35CD7">
              <w:rPr>
                <w:rStyle w:val="EndnoteReference8"/>
              </w:rPr>
              <w:endnoteReference w:id="12"/>
            </w:r>
          </w:p>
        </w:tc>
      </w:tr>
    </w:tbl>
    <w:p w14:paraId="568C62B7" w14:textId="77777777" w:rsidR="00C35CD7" w:rsidRPr="00C35CD7" w:rsidRDefault="00C35CD7" w:rsidP="00C35CD7">
      <w:pPr>
        <w:pStyle w:val="NoSpacing"/>
      </w:pPr>
      <w:r w:rsidRPr="00C35CD7">
        <w:t>Review treatment every 3 months. Adequate control is defined as:</w:t>
      </w:r>
    </w:p>
    <w:p w14:paraId="62B3EBB5" w14:textId="77777777" w:rsidR="00C35CD7" w:rsidRPr="00C35CD7" w:rsidRDefault="00C35CD7" w:rsidP="00C35CD7">
      <w:pPr>
        <w:pStyle w:val="ListParagraph"/>
      </w:pPr>
      <w:r w:rsidRPr="00C35CD7">
        <w:t>≤ 2 episodes of daytime cough and/or wheeze per week.</w:t>
      </w:r>
    </w:p>
    <w:p w14:paraId="2B6667CE" w14:textId="77777777" w:rsidR="00C35CD7" w:rsidRPr="00C35CD7" w:rsidRDefault="00C35CD7" w:rsidP="00C35CD7">
      <w:pPr>
        <w:pStyle w:val="ListParagraph"/>
      </w:pPr>
      <w:r w:rsidRPr="00C35CD7">
        <w:t>No night-time cough and/or wheeze.</w:t>
      </w:r>
    </w:p>
    <w:p w14:paraId="12A916A4" w14:textId="77777777" w:rsidR="00C35CD7" w:rsidRPr="00C35CD7" w:rsidRDefault="00C35CD7" w:rsidP="00C35CD7">
      <w:pPr>
        <w:pStyle w:val="ListParagraph"/>
      </w:pPr>
      <w:r w:rsidRPr="00C35CD7">
        <w:t>No recent (within the last year) admission to hospital for asthma.</w:t>
      </w:r>
    </w:p>
    <w:p w14:paraId="7BD64C05" w14:textId="77777777" w:rsidR="00C35CD7" w:rsidRPr="00C35CD7" w:rsidRDefault="00C35CD7" w:rsidP="00C35CD7">
      <w:pPr>
        <w:pStyle w:val="ListParagraph"/>
      </w:pPr>
      <w:r w:rsidRPr="00C35CD7">
        <w:t>PEFR ≥ 80% predicted between attacks.</w:t>
      </w:r>
    </w:p>
    <w:p w14:paraId="672F4FBA" w14:textId="77777777" w:rsidR="00C35CD7" w:rsidRPr="00C35CD7" w:rsidRDefault="00C35CD7" w:rsidP="00C35CD7">
      <w:pPr>
        <w:pStyle w:val="Heading6"/>
        <w:spacing w:before="0"/>
      </w:pPr>
      <w:r w:rsidRPr="00C35CD7">
        <w:t>If control is inadequate:</w:t>
      </w:r>
    </w:p>
    <w:p w14:paraId="1D1292C6" w14:textId="77777777" w:rsidR="00C35CD7" w:rsidRPr="00C35CD7" w:rsidRDefault="00C35CD7" w:rsidP="00C35CD7">
      <w:pPr>
        <w:pStyle w:val="ListParagraph"/>
      </w:pPr>
      <w:r w:rsidRPr="00C35CD7">
        <w:t xml:space="preserve">Check adherence and inhaler technique, and </w:t>
      </w:r>
    </w:p>
    <w:p w14:paraId="6C958799" w14:textId="77777777" w:rsidR="00C35CD7" w:rsidRPr="00C35CD7" w:rsidRDefault="00C35CD7" w:rsidP="00C35CD7">
      <w:pPr>
        <w:pStyle w:val="ListParagraph"/>
      </w:pPr>
      <w:r w:rsidRPr="00C35CD7">
        <w:t xml:space="preserve">Exclude ongoing exposure to irritants and allergens. </w:t>
      </w:r>
    </w:p>
    <w:p w14:paraId="3F7FF856" w14:textId="77777777" w:rsidR="00C35CD7" w:rsidRPr="00C35CD7" w:rsidRDefault="00C35CD7" w:rsidP="00C35CD7">
      <w:pPr>
        <w:pStyle w:val="NoSpacing"/>
      </w:pPr>
      <w:r w:rsidRPr="00C35CD7">
        <w:t>After excluding those causes, refer to a doctor to confirm the diagnosis of asthma, to exclude other diagnoses.</w:t>
      </w:r>
    </w:p>
    <w:p w14:paraId="2B66C98B" w14:textId="77777777" w:rsidR="00C35CD7" w:rsidRPr="00C35CD7" w:rsidRDefault="00C35CD7" w:rsidP="00C35CD7">
      <w:pPr>
        <w:pStyle w:val="NoSpacing"/>
      </w:pPr>
      <w:r w:rsidRPr="00C35CD7">
        <w:t xml:space="preserve">Once the diagnosis is confirmed, </w:t>
      </w:r>
      <w:r w:rsidRPr="00C35CD7">
        <w:rPr>
          <w:b/>
          <w:bCs/>
        </w:rPr>
        <w:t xml:space="preserve">step-up </w:t>
      </w:r>
      <w:r w:rsidRPr="00C35CD7">
        <w:t>treatment to STEP 3 as below:</w:t>
      </w:r>
    </w:p>
    <w:p w14:paraId="6835B3AF" w14:textId="77777777" w:rsidR="009C285B" w:rsidRDefault="009C285B" w:rsidP="00C35CD7">
      <w:pPr>
        <w:pStyle w:val="Heading5"/>
        <w:spacing w:before="0"/>
        <w:rPr>
          <w:sz w:val="18"/>
        </w:rPr>
      </w:pPr>
    </w:p>
    <w:p w14:paraId="214EAC38" w14:textId="77777777" w:rsidR="00C35CD7" w:rsidRPr="00C35CD7" w:rsidRDefault="00C35CD7" w:rsidP="00C35CD7">
      <w:pPr>
        <w:pStyle w:val="Heading5"/>
        <w:spacing w:before="0"/>
        <w:rPr>
          <w:sz w:val="18"/>
        </w:rPr>
      </w:pPr>
      <w:r w:rsidRPr="00C35CD7">
        <w:rPr>
          <w:sz w:val="18"/>
        </w:rPr>
        <w:t>STEP 3</w:t>
      </w:r>
    </w:p>
    <w:p w14:paraId="48C14223" w14:textId="77777777" w:rsidR="00DD69A8" w:rsidRDefault="00DD69A8" w:rsidP="00C35CD7">
      <w:pPr>
        <w:pStyle w:val="Heading7"/>
        <w:spacing w:before="0"/>
      </w:pPr>
      <w:r>
        <w:t>Children &lt; 6 years</w:t>
      </w:r>
    </w:p>
    <w:p w14:paraId="548AF296" w14:textId="73B577C4" w:rsidR="00DD69A8" w:rsidRPr="008C4800" w:rsidRDefault="00DD69A8" w:rsidP="00C35CD7">
      <w:pPr>
        <w:pStyle w:val="Heading7"/>
        <w:spacing w:before="0"/>
        <w:rPr>
          <w:u w:val="none"/>
        </w:rPr>
      </w:pPr>
      <w:r w:rsidRPr="008C4800">
        <w:rPr>
          <w:u w:val="none"/>
        </w:rPr>
        <w:t>Refer to doctor for further management.</w:t>
      </w:r>
    </w:p>
    <w:p w14:paraId="6231A833" w14:textId="635ADCCE" w:rsidR="00C35CD7" w:rsidRPr="00C35CD7" w:rsidRDefault="00C35CD7" w:rsidP="00C35CD7">
      <w:pPr>
        <w:pStyle w:val="Heading7"/>
        <w:spacing w:before="0"/>
      </w:pPr>
      <w:r w:rsidRPr="00C35CD7">
        <w:t xml:space="preserve">Children </w:t>
      </w:r>
      <w:r w:rsidR="00DD69A8">
        <w:t>6-11</w:t>
      </w:r>
      <w:r w:rsidRPr="00C35CD7">
        <w:t xml:space="preserve"> years</w:t>
      </w:r>
    </w:p>
    <w:p w14:paraId="260E8DC9" w14:textId="77777777" w:rsidR="00C35CD7" w:rsidRPr="00C35CD7" w:rsidRDefault="00C35CD7" w:rsidP="00C35CD7">
      <w:pPr>
        <w:pStyle w:val="BulletTherapeuticclass"/>
      </w:pPr>
      <w:r w:rsidRPr="00C35CD7">
        <w:t>Inhaled corticosteroids</w:t>
      </w:r>
      <w:r w:rsidRPr="00C35CD7">
        <w:fldChar w:fldCharType="begin"/>
      </w:r>
      <w:r w:rsidRPr="00C35CD7">
        <w:instrText xml:space="preserve"> XE "Inhaled corticosteroids" \f "m" </w:instrText>
      </w:r>
      <w:r w:rsidRPr="00C35CD7">
        <w:fldChar w:fldCharType="end"/>
      </w:r>
      <w:r w:rsidRPr="00C35CD7">
        <w:t>, e.g.:</w:t>
      </w:r>
    </w:p>
    <w:p w14:paraId="17622905" w14:textId="77777777" w:rsidR="00C35CD7" w:rsidRPr="00C35CD7" w:rsidRDefault="00C35CD7" w:rsidP="00C35CD7">
      <w:pPr>
        <w:pStyle w:val="BulletMedicine"/>
      </w:pPr>
      <w:r w:rsidRPr="00C35CD7">
        <w:lastRenderedPageBreak/>
        <w:t>Beclomethasone</w:t>
      </w:r>
      <w:r w:rsidRPr="00C35CD7">
        <w:fldChar w:fldCharType="begin"/>
      </w:r>
      <w:r w:rsidRPr="00C35CD7">
        <w:instrText xml:space="preserve"> XE "Beclomethasone" \f "m" </w:instrText>
      </w:r>
      <w:r w:rsidRPr="00C35CD7">
        <w:fldChar w:fldCharType="end"/>
      </w:r>
      <w:r w:rsidRPr="00C35CD7">
        <w:t>, inhalation, 200 mcg 12 hourly.</w:t>
      </w:r>
    </w:p>
    <w:p w14:paraId="6F3B3D07" w14:textId="77777777" w:rsidR="009C285B" w:rsidRDefault="009C285B" w:rsidP="00C35CD7">
      <w:pPr>
        <w:pStyle w:val="Heading6"/>
        <w:spacing w:before="0"/>
      </w:pPr>
    </w:p>
    <w:p w14:paraId="2BCC65DB" w14:textId="77777777" w:rsidR="00C35CD7" w:rsidRPr="00C35CD7" w:rsidRDefault="00C35CD7" w:rsidP="00C35CD7">
      <w:pPr>
        <w:pStyle w:val="Heading6"/>
        <w:spacing w:before="0"/>
      </w:pPr>
      <w:r w:rsidRPr="00C35CD7">
        <w:t>Stepping down treatment:</w:t>
      </w:r>
    </w:p>
    <w:p w14:paraId="5B6C4F82" w14:textId="77777777" w:rsidR="00C35CD7" w:rsidRPr="00C35CD7" w:rsidRDefault="00C35CD7" w:rsidP="00C35CD7">
      <w:pPr>
        <w:pStyle w:val="NoSpacing"/>
      </w:pPr>
      <w:r w:rsidRPr="00C35CD7">
        <w:t>Attempt a reduction in therapy if the patient has not had any acute exacerbation of asthma in the preceding 6 months, and day-time and night-time symptoms are well controlled.</w:t>
      </w:r>
    </w:p>
    <w:p w14:paraId="65331CF8" w14:textId="77777777" w:rsidR="00C35CD7" w:rsidRPr="00C35CD7" w:rsidRDefault="00C35CD7" w:rsidP="00C35CD7">
      <w:pPr>
        <w:pStyle w:val="NoSpacing"/>
      </w:pPr>
      <w:r w:rsidRPr="00C35CD7">
        <w:t>Gradually reduce the dose of inhaled corticosteroid therapy.</w:t>
      </w:r>
    </w:p>
    <w:p w14:paraId="74EB41C3" w14:textId="77777777" w:rsidR="00C35CD7" w:rsidRPr="00C35CD7" w:rsidRDefault="00C35CD7" w:rsidP="00C35CD7">
      <w:pPr>
        <w:pStyle w:val="NoSpacing"/>
      </w:pPr>
      <w:r w:rsidRPr="00C35CD7">
        <w:t>If the symptoms are seasonal, corticosteroids may be stopped until the next season.</w:t>
      </w:r>
    </w:p>
    <w:p w14:paraId="0046D6B9" w14:textId="77777777" w:rsidR="00C35CD7" w:rsidRPr="00C35CD7" w:rsidRDefault="00C35CD7" w:rsidP="00C35CD7">
      <w:pPr>
        <w:pStyle w:val="NoSpacing"/>
      </w:pPr>
      <w:r w:rsidRPr="00C35CD7">
        <w:t>If symptoms re-appear, increase therapy to the level at which the patient was previously controlled.</w:t>
      </w:r>
    </w:p>
    <w:p w14:paraId="595A8B1A" w14:textId="77777777" w:rsidR="004A1212" w:rsidRPr="00A604AA" w:rsidRDefault="004A1212" w:rsidP="004A1212">
      <w:pPr>
        <w:pStyle w:val="Heading5"/>
      </w:pPr>
      <w:r w:rsidRPr="00A604AA">
        <w:t>REFERRAL TO DOCTOR</w:t>
      </w:r>
    </w:p>
    <w:p w14:paraId="01974D0D" w14:textId="77777777" w:rsidR="004A1212" w:rsidRPr="00A604AA" w:rsidRDefault="004A1212" w:rsidP="004A1212">
      <w:pPr>
        <w:pStyle w:val="ListParagraph"/>
      </w:pPr>
      <w:r w:rsidRPr="00A604AA">
        <w:t xml:space="preserve">All children </w:t>
      </w:r>
      <w:r>
        <w:t>&lt;</w:t>
      </w:r>
      <w:r w:rsidRPr="00A604AA">
        <w:t>6 years of age for assessment and confirmation of diagnosis.</w:t>
      </w:r>
    </w:p>
    <w:p w14:paraId="24738EB7" w14:textId="77777777" w:rsidR="004A1212" w:rsidRPr="00A604AA" w:rsidRDefault="004A1212" w:rsidP="004A1212">
      <w:pPr>
        <w:pStyle w:val="ListParagraph"/>
      </w:pPr>
      <w:r w:rsidRPr="00A604AA">
        <w:t xml:space="preserve">Any patient who has received </w:t>
      </w:r>
      <w:r>
        <w:t>&gt;</w:t>
      </w:r>
      <w:r w:rsidRPr="00A604AA">
        <w:t>2 courses of oral prednisone within 6 months.</w:t>
      </w:r>
    </w:p>
    <w:p w14:paraId="0036D5A8" w14:textId="77777777" w:rsidR="004A1212" w:rsidRPr="00A604AA" w:rsidRDefault="004A1212" w:rsidP="004A1212">
      <w:pPr>
        <w:pStyle w:val="ListParagraph"/>
      </w:pPr>
      <w:r w:rsidRPr="00A604AA">
        <w:t>Brittle asthma (very sudden, very severe attacks).</w:t>
      </w:r>
    </w:p>
    <w:p w14:paraId="52AF3E79" w14:textId="77777777" w:rsidR="004A1212" w:rsidRPr="00DD69A8" w:rsidRDefault="004A1212" w:rsidP="004A1212">
      <w:pPr>
        <w:pStyle w:val="ListParagraph"/>
      </w:pPr>
      <w:r w:rsidRPr="00A604AA">
        <w:t xml:space="preserve">All patients without adequate control </w:t>
      </w:r>
      <w:r w:rsidRPr="00A604AA">
        <w:rPr>
          <w:rFonts w:eastAsia="Calibri" w:cs="Times New Roman"/>
        </w:rPr>
        <w:t xml:space="preserve">on </w:t>
      </w:r>
      <w:r>
        <w:rPr>
          <w:rFonts w:eastAsia="Calibri" w:cs="Times New Roman"/>
        </w:rPr>
        <w:t>s</w:t>
      </w:r>
      <w:r w:rsidRPr="00A604AA">
        <w:rPr>
          <w:rFonts w:eastAsia="Calibri" w:cs="Times New Roman"/>
        </w:rPr>
        <w:t>tep 2 or 3 of treatment.</w:t>
      </w:r>
    </w:p>
    <w:p w14:paraId="5F5E139F" w14:textId="459DCD7F" w:rsidR="00DD69A8" w:rsidRPr="00A604AA" w:rsidRDefault="00DD69A8" w:rsidP="008E318E">
      <w:pPr>
        <w:pStyle w:val="ListParagraph"/>
        <w:numPr>
          <w:ilvl w:val="0"/>
          <w:numId w:val="0"/>
        </w:numPr>
        <w:ind w:left="284"/>
      </w:pPr>
    </w:p>
    <w:p w14:paraId="5F714573" w14:textId="77777777" w:rsidR="00FF01A9" w:rsidRPr="00A604AA" w:rsidRDefault="00FF01A9" w:rsidP="00247748">
      <w:pPr>
        <w:pStyle w:val="Heading5"/>
      </w:pPr>
      <w:bookmarkStart w:id="19" w:name="_GoBack"/>
      <w:bookmarkEnd w:id="19"/>
      <w:r w:rsidRPr="00A604AA">
        <w:t>REFERRAL TO HOSPITAL</w:t>
      </w:r>
    </w:p>
    <w:p w14:paraId="17824125" w14:textId="77777777" w:rsidR="00FF01A9" w:rsidRPr="00A604AA" w:rsidRDefault="00FF01A9" w:rsidP="00FF01A9">
      <w:pPr>
        <w:pStyle w:val="NoSpacing"/>
      </w:pPr>
      <w:r w:rsidRPr="00A604AA">
        <w:t xml:space="preserve">Uncontrolled </w:t>
      </w:r>
      <w:r w:rsidRPr="00A604AA">
        <w:t>asthma.</w:t>
      </w:r>
    </w:p>
    <w:p w14:paraId="7B09DF49" w14:textId="2E273DDE" w:rsidR="00FF01A9" w:rsidRPr="001F4BAA" w:rsidRDefault="00FF01A9" w:rsidP="00FF01A9">
      <w:pPr>
        <w:pStyle w:val="NoSpacing"/>
      </w:pPr>
      <w:r w:rsidRPr="00A604AA">
        <w:rPr>
          <w:rStyle w:val="Strong"/>
        </w:rPr>
        <w:t>Note:</w:t>
      </w:r>
      <w:r w:rsidRPr="00A604AA">
        <w:t xml:space="preserve"> In patients with new onset of exercise-related symptoms, consider other diagnoses, particularly if no response to pre-treatment with SABA</w:t>
      </w:r>
      <w:r w:rsidR="00812598" w:rsidRPr="00A604AA">
        <w:fldChar w:fldCharType="begin"/>
      </w:r>
      <w:r w:rsidR="00812598" w:rsidRPr="00A604AA">
        <w:instrText xml:space="preserve"> XE "Short acting beta2 agonist, inhaler" \F "M" </w:instrText>
      </w:r>
      <w:r w:rsidR="00812598" w:rsidRPr="00A604AA">
        <w:fldChar w:fldCharType="end"/>
      </w:r>
      <w:r w:rsidR="00273BF0">
        <w:t xml:space="preserve"> is noted</w:t>
      </w:r>
      <w:r w:rsidRPr="00A604AA">
        <w:t>.</w:t>
      </w:r>
    </w:p>
    <w:p w14:paraId="44C7F239" w14:textId="77777777" w:rsidR="00FF01A9" w:rsidRPr="001F4BAA" w:rsidRDefault="00FF01A9" w:rsidP="00FF01A9">
      <w:pPr>
        <w:pStyle w:val="NoSpacing"/>
      </w:pPr>
    </w:p>
    <w:p w14:paraId="45A4548A" w14:textId="4B9711B4" w:rsidR="00FF01A9" w:rsidRPr="00C32328" w:rsidRDefault="005671A8" w:rsidP="006C5447">
      <w:pPr>
        <w:pStyle w:val="Heading3"/>
        <w:numPr>
          <w:ilvl w:val="0"/>
          <w:numId w:val="0"/>
        </w:numPr>
        <w:ind w:left="720" w:hanging="720"/>
      </w:pPr>
      <w:bookmarkStart w:id="20" w:name="_Toc57838376"/>
      <w:bookmarkStart w:id="21" w:name="_Toc57838472"/>
      <w:bookmarkStart w:id="22" w:name="_Toc57839889"/>
      <w:bookmarkStart w:id="23" w:name="_Toc57840026"/>
      <w:bookmarkStart w:id="24" w:name="_Toc177054024"/>
      <w:r>
        <w:t xml:space="preserve">17.1.4 </w:t>
      </w:r>
      <w:r w:rsidR="00247748" w:rsidRPr="00C32328">
        <w:t>Acute bronchiolitis in children</w:t>
      </w:r>
      <w:bookmarkEnd w:id="20"/>
      <w:bookmarkEnd w:id="21"/>
      <w:bookmarkEnd w:id="22"/>
      <w:bookmarkEnd w:id="23"/>
      <w:bookmarkEnd w:id="24"/>
      <w:r w:rsidR="001132AD">
        <w:fldChar w:fldCharType="begin"/>
      </w:r>
      <w:r w:rsidR="001132AD">
        <w:instrText xml:space="preserve"> XE "</w:instrText>
      </w:r>
      <w:r w:rsidR="001132AD" w:rsidRPr="004A0AEB">
        <w:instrText>Acute bronchiolitis in children</w:instrText>
      </w:r>
      <w:r w:rsidR="001132AD">
        <w:instrText xml:space="preserve">" </w:instrText>
      </w:r>
      <w:r w:rsidR="001132AD" w:rsidRPr="001132AD">
        <w:instrText xml:space="preserve">\f “c” </w:instrText>
      </w:r>
      <w:r w:rsidR="001132AD">
        <w:fldChar w:fldCharType="end"/>
      </w:r>
      <w:r w:rsidR="00247748" w:rsidRPr="00C32328">
        <w:t xml:space="preserve"> </w:t>
      </w:r>
    </w:p>
    <w:p w14:paraId="4C4C182F" w14:textId="76D64A1F" w:rsidR="00FF01A9" w:rsidRPr="001F4BAA" w:rsidRDefault="005D1BA8" w:rsidP="002344FD">
      <w:pPr>
        <w:pStyle w:val="ICD10"/>
        <w:shd w:val="clear" w:color="auto" w:fill="F2F2F2" w:themeFill="background1" w:themeFillShade="F2"/>
        <w:tabs>
          <w:tab w:val="left" w:pos="2753"/>
        </w:tabs>
      </w:pPr>
      <w:r>
        <w:t>J20.0-9/</w:t>
      </w:r>
      <w:r w:rsidR="00FF01A9" w:rsidRPr="001F4BAA">
        <w:t>J21.0-1/J21.8-9</w:t>
      </w:r>
    </w:p>
    <w:p w14:paraId="64FD348E" w14:textId="77777777" w:rsidR="00FF01A9" w:rsidRPr="001F4BAA" w:rsidRDefault="00FF01A9" w:rsidP="00C32328">
      <w:pPr>
        <w:pStyle w:val="Heading5"/>
      </w:pPr>
      <w:r w:rsidRPr="001F4BAA">
        <w:t>DESCRIPTION</w:t>
      </w:r>
    </w:p>
    <w:p w14:paraId="60D61083" w14:textId="77777777" w:rsidR="00FF01A9" w:rsidRPr="001F4BAA" w:rsidRDefault="00FF01A9" w:rsidP="00FF01A9">
      <w:pPr>
        <w:pStyle w:val="NoSpacing"/>
      </w:pPr>
      <w:r w:rsidRPr="001F4BAA">
        <w:t xml:space="preserve">Acute bronchiolitis is a common cause of wheezing and cough in the first two years of life. </w:t>
      </w:r>
    </w:p>
    <w:p w14:paraId="0F446522" w14:textId="16A64F9D" w:rsidR="00FF01A9" w:rsidRPr="001F4BAA" w:rsidRDefault="00FF01A9" w:rsidP="00FF01A9">
      <w:pPr>
        <w:pStyle w:val="NoSpacing"/>
      </w:pPr>
      <w:r w:rsidRPr="001F4BAA">
        <w:t xml:space="preserve">It is caused by viral infections and presents with lower airway obstruction due to inflammation and plugging of the small airways. Recurrent episodes can occur, usually during winter. </w:t>
      </w:r>
    </w:p>
    <w:p w14:paraId="4DE88046" w14:textId="0BC9E55C" w:rsidR="00FF01A9" w:rsidRPr="001F4BAA" w:rsidRDefault="00FF01A9" w:rsidP="00FF01A9">
      <w:pPr>
        <w:pStyle w:val="NoSpacing"/>
      </w:pPr>
      <w:r w:rsidRPr="001F4BAA">
        <w:t>It can be difficult to distinguish between bronchiolitis and asthma. Bronchiolitis does not respond to salbutamol. If there is a good response to a single dose of salbutamol, asthma is the likely diagnosis. See Section 17.1.</w:t>
      </w:r>
      <w:r w:rsidR="00E868E3">
        <w:t>2</w:t>
      </w:r>
      <w:r w:rsidRPr="001F4BAA">
        <w:t xml:space="preserve">: </w:t>
      </w:r>
      <w:r w:rsidR="00296C13" w:rsidRPr="00296C13">
        <w:t>Acute asthma, children</w:t>
      </w:r>
      <w:r w:rsidR="00296C13">
        <w:t>.</w:t>
      </w:r>
    </w:p>
    <w:p w14:paraId="6B8DDCBC" w14:textId="5D737AC3" w:rsidR="00FF01A9" w:rsidRPr="001F4BAA" w:rsidRDefault="00FF01A9" w:rsidP="00FF01A9">
      <w:pPr>
        <w:pStyle w:val="NoSpacing"/>
      </w:pPr>
      <w:r w:rsidRPr="001F4BAA">
        <w:t xml:space="preserve">Bronchiolitis is extremely rare in children </w:t>
      </w:r>
      <w:r w:rsidR="007277E7">
        <w:t>&gt;</w:t>
      </w:r>
      <w:r w:rsidRPr="001F4BAA">
        <w:t xml:space="preserve">2 years of age. Consider other causes of wheeze in children </w:t>
      </w:r>
      <w:r w:rsidR="007277E7">
        <w:t>&gt;</w:t>
      </w:r>
      <w:r w:rsidRPr="001F4BAA">
        <w:t>2 years of age. See Section 17.1.</w:t>
      </w:r>
      <w:r w:rsidR="00573BB3">
        <w:t>2</w:t>
      </w:r>
      <w:r w:rsidRPr="001F4BAA">
        <w:t xml:space="preserve">: </w:t>
      </w:r>
      <w:r w:rsidR="00573BB3" w:rsidRPr="00573BB3">
        <w:t>Acute asthma, children</w:t>
      </w:r>
      <w:r w:rsidR="00DE608B">
        <w:t>;</w:t>
      </w:r>
      <w:r w:rsidR="00EF5299">
        <w:t xml:space="preserve"> </w:t>
      </w:r>
      <w:r w:rsidRPr="001F4BAA">
        <w:t xml:space="preserve"> and Section 17.3.4.1: Pneumonia in children.</w:t>
      </w:r>
    </w:p>
    <w:p w14:paraId="67AFB524" w14:textId="77777777" w:rsidR="00FF01A9" w:rsidRPr="001F4BAA" w:rsidRDefault="00FF01A9" w:rsidP="00AC1853">
      <w:pPr>
        <w:pStyle w:val="Heading6"/>
      </w:pPr>
      <w:r w:rsidRPr="001F4BAA">
        <w:t>Child presents with:</w:t>
      </w:r>
    </w:p>
    <w:tbl>
      <w:tblPr>
        <w:tblW w:w="5000" w:type="pct"/>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33"/>
        <w:gridCol w:w="3346"/>
      </w:tblGrid>
      <w:tr w:rsidR="00FF01A9" w:rsidRPr="001F4BAA" w14:paraId="181E5042" w14:textId="77777777" w:rsidTr="00AC1853">
        <w:tc>
          <w:tcPr>
            <w:tcW w:w="2495" w:type="pct"/>
          </w:tcPr>
          <w:p w14:paraId="5AC5169E" w14:textId="77777777" w:rsidR="00FF01A9" w:rsidRPr="001F4BAA" w:rsidRDefault="00FF01A9" w:rsidP="00AC1853">
            <w:pPr>
              <w:pStyle w:val="ListParagraph"/>
            </w:pPr>
            <w:r w:rsidRPr="001F4BAA">
              <w:t>rapid breathing</w:t>
            </w:r>
          </w:p>
        </w:tc>
        <w:tc>
          <w:tcPr>
            <w:tcW w:w="2505" w:type="pct"/>
          </w:tcPr>
          <w:p w14:paraId="5601A4DB" w14:textId="77777777" w:rsidR="00FF01A9" w:rsidRPr="001F4BAA" w:rsidRDefault="00FF01A9" w:rsidP="00AC1853">
            <w:pPr>
              <w:pStyle w:val="ListParagraph"/>
            </w:pPr>
            <w:r w:rsidRPr="001F4BAA">
              <w:t>decreased breath sounds</w:t>
            </w:r>
          </w:p>
        </w:tc>
      </w:tr>
      <w:tr w:rsidR="00FF01A9" w:rsidRPr="001F4BAA" w14:paraId="5F70A637" w14:textId="77777777" w:rsidTr="00AC1853">
        <w:tc>
          <w:tcPr>
            <w:tcW w:w="2495" w:type="pct"/>
          </w:tcPr>
          <w:p w14:paraId="5DF9C0A0" w14:textId="77777777" w:rsidR="00FF01A9" w:rsidRPr="001F4BAA" w:rsidRDefault="00FF01A9" w:rsidP="00AC1853">
            <w:pPr>
              <w:pStyle w:val="ListParagraph"/>
            </w:pPr>
            <w:r w:rsidRPr="001F4BAA">
              <w:t>chest indrawing</w:t>
            </w:r>
          </w:p>
        </w:tc>
        <w:tc>
          <w:tcPr>
            <w:tcW w:w="2505" w:type="pct"/>
          </w:tcPr>
          <w:p w14:paraId="515FB35C" w14:textId="3A5B4700" w:rsidR="00FF01A9" w:rsidRPr="001F4BAA" w:rsidRDefault="00FF01A9" w:rsidP="00AC1853">
            <w:pPr>
              <w:pStyle w:val="ListParagraph"/>
            </w:pPr>
            <w:r w:rsidRPr="001F4BAA">
              <w:t>an audible wheeze</w:t>
            </w:r>
            <w:r w:rsidR="00600C0B">
              <w:t xml:space="preserve"> or crackles</w:t>
            </w:r>
          </w:p>
        </w:tc>
      </w:tr>
    </w:tbl>
    <w:p w14:paraId="07205C63" w14:textId="77777777" w:rsidR="00FF01A9" w:rsidRPr="001F4BAA" w:rsidRDefault="00FF01A9" w:rsidP="00AC1853">
      <w:pPr>
        <w:pStyle w:val="Heading6"/>
      </w:pPr>
      <w:r w:rsidRPr="001F4BAA">
        <w:t>Risk factors for severe bronchiolitis:</w:t>
      </w:r>
    </w:p>
    <w:tbl>
      <w:tblPr>
        <w:tblW w:w="5000" w:type="pct"/>
        <w:tblInd w:w="-113" w:type="dxa"/>
        <w:tblLook w:val="04A0" w:firstRow="1" w:lastRow="0" w:firstColumn="1" w:lastColumn="0" w:noHBand="0" w:noVBand="1"/>
      </w:tblPr>
      <w:tblGrid>
        <w:gridCol w:w="3339"/>
        <w:gridCol w:w="3350"/>
      </w:tblGrid>
      <w:tr w:rsidR="00FF01A9" w:rsidRPr="001F4BAA" w14:paraId="5AF11620" w14:textId="77777777" w:rsidTr="00AC1853">
        <w:tc>
          <w:tcPr>
            <w:tcW w:w="2496" w:type="pct"/>
          </w:tcPr>
          <w:p w14:paraId="7F84FC08" w14:textId="77D765B0" w:rsidR="00FF01A9" w:rsidRPr="001F4BAA" w:rsidRDefault="00FF01A9" w:rsidP="00AC1853">
            <w:pPr>
              <w:pStyle w:val="ListParagraph"/>
            </w:pPr>
            <w:r w:rsidRPr="001F4BAA">
              <w:t xml:space="preserve">Infants </w:t>
            </w:r>
            <w:r w:rsidR="007277E7">
              <w:t>&lt;</w:t>
            </w:r>
            <w:r w:rsidRPr="001F4BAA">
              <w:t>3 months of age</w:t>
            </w:r>
          </w:p>
        </w:tc>
        <w:tc>
          <w:tcPr>
            <w:tcW w:w="2504" w:type="pct"/>
          </w:tcPr>
          <w:p w14:paraId="2BC5B658" w14:textId="4D4C2C0A" w:rsidR="00FF01A9" w:rsidRPr="001F4BAA" w:rsidRDefault="00FF01A9" w:rsidP="00AC1853">
            <w:pPr>
              <w:pStyle w:val="ListParagraph"/>
            </w:pPr>
            <w:r w:rsidRPr="001F4BAA">
              <w:t>Ex-premature babies</w:t>
            </w:r>
          </w:p>
        </w:tc>
      </w:tr>
      <w:tr w:rsidR="00FF01A9" w:rsidRPr="001F4BAA" w14:paraId="7D3FCADD" w14:textId="77777777" w:rsidTr="00AC1853">
        <w:tc>
          <w:tcPr>
            <w:tcW w:w="2496" w:type="pct"/>
          </w:tcPr>
          <w:p w14:paraId="6DEAA064" w14:textId="7E42613B" w:rsidR="00FF01A9" w:rsidRPr="001F4BAA" w:rsidRDefault="00FF01A9" w:rsidP="00AC1853">
            <w:pPr>
              <w:pStyle w:val="ListParagraph"/>
            </w:pPr>
            <w:r w:rsidRPr="001F4BAA">
              <w:t>Chronic lung disease</w:t>
            </w:r>
          </w:p>
        </w:tc>
        <w:tc>
          <w:tcPr>
            <w:tcW w:w="2504" w:type="pct"/>
          </w:tcPr>
          <w:p w14:paraId="5D180334" w14:textId="53992053" w:rsidR="00FF01A9" w:rsidRPr="001F4BAA" w:rsidRDefault="00FF01A9" w:rsidP="00AC1853">
            <w:pPr>
              <w:pStyle w:val="ListParagraph"/>
            </w:pPr>
            <w:r w:rsidRPr="001F4BAA">
              <w:t>Congenital heart disease</w:t>
            </w:r>
          </w:p>
        </w:tc>
      </w:tr>
    </w:tbl>
    <w:p w14:paraId="758C8F9C" w14:textId="77777777" w:rsidR="00FF01A9" w:rsidRPr="001F4BAA" w:rsidRDefault="00FF01A9" w:rsidP="00AC1853">
      <w:pPr>
        <w:pStyle w:val="Heading6"/>
      </w:pPr>
      <w:r w:rsidRPr="001F4BAA">
        <w:t>Signs of severe disease:</w:t>
      </w:r>
    </w:p>
    <w:p w14:paraId="2C6E4736" w14:textId="77777777" w:rsidR="00FF01A9" w:rsidRPr="001F4BAA" w:rsidRDefault="00FF01A9" w:rsidP="00AC1853">
      <w:pPr>
        <w:pStyle w:val="ListParagraph"/>
      </w:pPr>
      <w:r w:rsidRPr="001F4BAA">
        <w:t>Increased respiratory effort: tachypnoea, nasal flaring, severe lower chest wall indrawing, accessory muscle use, grunting.</w:t>
      </w:r>
    </w:p>
    <w:p w14:paraId="1DAEC00E" w14:textId="1D6508C0" w:rsidR="00FF01A9" w:rsidRPr="001F4BAA" w:rsidRDefault="00FF01A9" w:rsidP="00AC1853">
      <w:pPr>
        <w:pStyle w:val="ListParagraph"/>
      </w:pPr>
      <w:r w:rsidRPr="001F4BAA">
        <w:t xml:space="preserve">Central cyanosis or hypoxia (oxygen saturation </w:t>
      </w:r>
      <w:r w:rsidR="007277E7">
        <w:t>&lt;</w:t>
      </w:r>
      <w:r w:rsidRPr="001F4BAA">
        <w:t>90% in room air)</w:t>
      </w:r>
      <w:r w:rsidR="00313872">
        <w:t>.</w:t>
      </w:r>
    </w:p>
    <w:p w14:paraId="540A9FF8" w14:textId="77777777" w:rsidR="00FF01A9" w:rsidRPr="001F4BAA" w:rsidRDefault="00FF01A9" w:rsidP="00AC1853">
      <w:pPr>
        <w:pStyle w:val="ListParagraph"/>
      </w:pPr>
      <w:r w:rsidRPr="001F4BAA">
        <w:lastRenderedPageBreak/>
        <w:t>Apnoea.</w:t>
      </w:r>
    </w:p>
    <w:p w14:paraId="36A7C07D" w14:textId="77777777" w:rsidR="00FF01A9" w:rsidRPr="001F4BAA" w:rsidRDefault="00FF01A9" w:rsidP="00AC1853">
      <w:pPr>
        <w:pStyle w:val="ListParagraph"/>
      </w:pPr>
      <w:r w:rsidRPr="001F4BAA">
        <w:t>Inability to feed.</w:t>
      </w:r>
    </w:p>
    <w:p w14:paraId="5C905B9E" w14:textId="77777777" w:rsidR="00FF01A9" w:rsidRPr="001F4BAA" w:rsidRDefault="00FF01A9" w:rsidP="009B227B">
      <w:pPr>
        <w:pStyle w:val="ListParagraph"/>
        <w:spacing w:after="120"/>
        <w:ind w:left="288" w:hanging="288"/>
      </w:pPr>
      <w:r w:rsidRPr="001F4BAA">
        <w:t>Lethargy or decreased level of consciousness.</w:t>
      </w:r>
    </w:p>
    <w:p w14:paraId="29179EEE" w14:textId="77777777" w:rsidR="00FF01A9" w:rsidRPr="001F4BAA" w:rsidRDefault="00FF01A9" w:rsidP="00C32328">
      <w:pPr>
        <w:pStyle w:val="Heading5"/>
      </w:pPr>
      <w:r w:rsidRPr="001F4BAA">
        <w:t>DIAGNOSTIC CRITERIA</w:t>
      </w:r>
    </w:p>
    <w:p w14:paraId="0A38E4D5" w14:textId="77777777" w:rsidR="00FF01A9" w:rsidRPr="001F4BAA" w:rsidRDefault="00FF01A9" w:rsidP="00F27919">
      <w:pPr>
        <w:pStyle w:val="ListParagraph"/>
      </w:pPr>
      <w:r w:rsidRPr="001F4BAA">
        <w:t>Prodrome of viral infection: irritability and rhinorrhoea.</w:t>
      </w:r>
    </w:p>
    <w:p w14:paraId="43AF8716" w14:textId="77777777" w:rsidR="00FF01A9" w:rsidRPr="001F4BAA" w:rsidRDefault="00FF01A9" w:rsidP="00F27919">
      <w:pPr>
        <w:pStyle w:val="ListParagraph"/>
      </w:pPr>
      <w:r w:rsidRPr="001F4BAA">
        <w:t>A wheeze that is slowly responsive or non-responsive to bronchodilators.</w:t>
      </w:r>
    </w:p>
    <w:p w14:paraId="3FDE2A50" w14:textId="77777777" w:rsidR="00FF01A9" w:rsidRPr="001F4BAA" w:rsidRDefault="00FF01A9" w:rsidP="00F27919">
      <w:pPr>
        <w:pStyle w:val="ListParagraph"/>
      </w:pPr>
      <w:r w:rsidRPr="001F4BAA">
        <w:t xml:space="preserve">Tachypnoea: age dependent: </w:t>
      </w:r>
    </w:p>
    <w:tbl>
      <w:tblPr>
        <w:tblStyle w:val="SamplePHCTable"/>
        <w:tblW w:w="5000" w:type="pct"/>
        <w:tblLook w:val="0020" w:firstRow="1" w:lastRow="0" w:firstColumn="0" w:lastColumn="0" w:noHBand="0" w:noVBand="0"/>
      </w:tblPr>
      <w:tblGrid>
        <w:gridCol w:w="3339"/>
        <w:gridCol w:w="3340"/>
      </w:tblGrid>
      <w:tr w:rsidR="00FF01A9" w:rsidRPr="001F4BAA" w14:paraId="484A561F" w14:textId="77777777" w:rsidTr="00F27919">
        <w:trPr>
          <w:cnfStyle w:val="100000000000" w:firstRow="1" w:lastRow="0" w:firstColumn="0" w:lastColumn="0" w:oddVBand="0" w:evenVBand="0" w:oddHBand="0" w:evenHBand="0" w:firstRowFirstColumn="0" w:firstRowLastColumn="0" w:lastRowFirstColumn="0" w:lastRowLastColumn="0"/>
        </w:trPr>
        <w:tc>
          <w:tcPr>
            <w:tcW w:w="2500" w:type="pct"/>
          </w:tcPr>
          <w:p w14:paraId="490A184D" w14:textId="77777777" w:rsidR="00FF01A9" w:rsidRPr="001F4BAA" w:rsidRDefault="00FF01A9" w:rsidP="004A7096">
            <w:pPr>
              <w:pStyle w:val="NoSpacing"/>
            </w:pPr>
            <w:r w:rsidRPr="001F4BAA">
              <w:t>Age</w:t>
            </w:r>
          </w:p>
        </w:tc>
        <w:tc>
          <w:tcPr>
            <w:tcW w:w="2500" w:type="pct"/>
          </w:tcPr>
          <w:p w14:paraId="235328A0" w14:textId="77777777" w:rsidR="00FF01A9" w:rsidRPr="001F4BAA" w:rsidRDefault="00FF01A9" w:rsidP="004A7096">
            <w:pPr>
              <w:pStyle w:val="NoSpacing"/>
            </w:pPr>
            <w:r w:rsidRPr="001F4BAA">
              <w:t>Respiratory rate</w:t>
            </w:r>
          </w:p>
        </w:tc>
      </w:tr>
      <w:tr w:rsidR="00FF01A9" w:rsidRPr="001F4BAA" w14:paraId="36CE8F9C" w14:textId="77777777" w:rsidTr="00F27919">
        <w:tc>
          <w:tcPr>
            <w:tcW w:w="2500" w:type="pct"/>
          </w:tcPr>
          <w:p w14:paraId="66D6AE7D" w14:textId="480D724F" w:rsidR="00FF01A9" w:rsidRPr="001F4BAA" w:rsidRDefault="00FF01A9" w:rsidP="004A7096">
            <w:pPr>
              <w:pStyle w:val="NoSpacing"/>
            </w:pPr>
            <w:r w:rsidRPr="001F4BAA">
              <w:t xml:space="preserve">Birth </w:t>
            </w:r>
            <w:r w:rsidR="00801F2D">
              <w:t>to</w:t>
            </w:r>
            <w:r w:rsidRPr="001F4BAA">
              <w:t xml:space="preserve"> 2 months</w:t>
            </w:r>
          </w:p>
        </w:tc>
        <w:tc>
          <w:tcPr>
            <w:tcW w:w="2500" w:type="pct"/>
          </w:tcPr>
          <w:p w14:paraId="54F0D956" w14:textId="46E72241" w:rsidR="00FF01A9" w:rsidRPr="001F4BAA" w:rsidRDefault="00FF01A9" w:rsidP="004A7096">
            <w:pPr>
              <w:pStyle w:val="NoSpacing"/>
            </w:pPr>
            <w:r w:rsidRPr="001F4BAA">
              <w:t>≥60 breaths/minute</w:t>
            </w:r>
          </w:p>
        </w:tc>
      </w:tr>
      <w:tr w:rsidR="00FF01A9" w:rsidRPr="001F4BAA" w14:paraId="40CF2752" w14:textId="77777777" w:rsidTr="00F27919">
        <w:tc>
          <w:tcPr>
            <w:tcW w:w="2500" w:type="pct"/>
          </w:tcPr>
          <w:p w14:paraId="2D682592" w14:textId="2C1A047C" w:rsidR="00FF01A9" w:rsidRPr="001F4BAA" w:rsidRDefault="00FF01A9" w:rsidP="004A7096">
            <w:pPr>
              <w:pStyle w:val="NoSpacing"/>
            </w:pPr>
            <w:r w:rsidRPr="001F4BAA">
              <w:t>2</w:t>
            </w:r>
            <w:r w:rsidR="00801F2D">
              <w:t xml:space="preserve">o to </w:t>
            </w:r>
            <w:r w:rsidRPr="001F4BAA">
              <w:t xml:space="preserve">12 months </w:t>
            </w:r>
          </w:p>
        </w:tc>
        <w:tc>
          <w:tcPr>
            <w:tcW w:w="2500" w:type="pct"/>
          </w:tcPr>
          <w:p w14:paraId="0F7619F9" w14:textId="7D2ADFF6" w:rsidR="00FF01A9" w:rsidRPr="001F4BAA" w:rsidRDefault="00FF01A9" w:rsidP="004A7096">
            <w:pPr>
              <w:pStyle w:val="NoSpacing"/>
            </w:pPr>
            <w:r w:rsidRPr="001F4BAA">
              <w:t>≥50 breaths/minute</w:t>
            </w:r>
          </w:p>
        </w:tc>
      </w:tr>
      <w:tr w:rsidR="00FF01A9" w:rsidRPr="001F4BAA" w14:paraId="1FEC9734" w14:textId="77777777" w:rsidTr="00F27919">
        <w:tc>
          <w:tcPr>
            <w:tcW w:w="2500" w:type="pct"/>
          </w:tcPr>
          <w:p w14:paraId="662441AA" w14:textId="70DED52E" w:rsidR="00FF01A9" w:rsidRPr="001F4BAA" w:rsidRDefault="00FF01A9" w:rsidP="004A7096">
            <w:pPr>
              <w:pStyle w:val="NoSpacing"/>
            </w:pPr>
            <w:r w:rsidRPr="001F4BAA">
              <w:t>1</w:t>
            </w:r>
            <w:r w:rsidR="00801F2D">
              <w:t xml:space="preserve"> to </w:t>
            </w:r>
            <w:r w:rsidRPr="001F4BAA">
              <w:t>5 years</w:t>
            </w:r>
          </w:p>
        </w:tc>
        <w:tc>
          <w:tcPr>
            <w:tcW w:w="2500" w:type="pct"/>
          </w:tcPr>
          <w:p w14:paraId="17F7FE89" w14:textId="2FA52672" w:rsidR="00FF01A9" w:rsidRPr="001F4BAA" w:rsidRDefault="00FF01A9" w:rsidP="004A7096">
            <w:pPr>
              <w:pStyle w:val="NoSpacing"/>
            </w:pPr>
            <w:r w:rsidRPr="001F4BAA">
              <w:t>≥40 breaths/minute</w:t>
            </w:r>
          </w:p>
        </w:tc>
      </w:tr>
    </w:tbl>
    <w:p w14:paraId="527159AA" w14:textId="77777777" w:rsidR="00FF01A9" w:rsidRPr="001F4BAA" w:rsidRDefault="00FF01A9" w:rsidP="00C32328">
      <w:pPr>
        <w:pStyle w:val="Heading5"/>
      </w:pPr>
      <w:r w:rsidRPr="001F4BAA">
        <w:t>GENERAL MEASURES</w:t>
      </w:r>
    </w:p>
    <w:p w14:paraId="6189BC4D" w14:textId="77777777" w:rsidR="00FF01A9" w:rsidRPr="001F4BAA" w:rsidRDefault="00FF01A9" w:rsidP="00F27919">
      <w:pPr>
        <w:pStyle w:val="ListParagraph"/>
      </w:pPr>
      <w:r w:rsidRPr="001F4BAA">
        <w:t>Minimise contact with other children.</w:t>
      </w:r>
    </w:p>
    <w:p w14:paraId="7C09C53D" w14:textId="77777777" w:rsidR="00FF01A9" w:rsidRPr="001F4BAA" w:rsidRDefault="00FF01A9" w:rsidP="00F27919">
      <w:pPr>
        <w:pStyle w:val="ListParagraph"/>
      </w:pPr>
      <w:r w:rsidRPr="001F4BAA">
        <w:t>Avoid routine use of antibiotics and corticosteroids.</w:t>
      </w:r>
    </w:p>
    <w:p w14:paraId="1DE0AB40" w14:textId="77777777" w:rsidR="00FF01A9" w:rsidRPr="001F4BAA" w:rsidRDefault="00FF01A9" w:rsidP="00F27919">
      <w:pPr>
        <w:pStyle w:val="ListParagraph"/>
      </w:pPr>
      <w:r w:rsidRPr="001F4BAA">
        <w:t>Do not sedate child.</w:t>
      </w:r>
    </w:p>
    <w:p w14:paraId="2B69C4A8" w14:textId="77777777" w:rsidR="00FF01A9" w:rsidRPr="001F4BAA" w:rsidRDefault="00FF01A9" w:rsidP="00C32328">
      <w:pPr>
        <w:pStyle w:val="Heading5"/>
      </w:pPr>
      <w:r w:rsidRPr="001F4BAA">
        <w:t>MEDICINE TREATMENT</w:t>
      </w:r>
    </w:p>
    <w:p w14:paraId="13AA230C" w14:textId="77777777" w:rsidR="00FF01A9" w:rsidRPr="001F4BAA" w:rsidRDefault="00FF01A9" w:rsidP="00FF01A9">
      <w:pPr>
        <w:pStyle w:val="NoSpacing"/>
      </w:pPr>
      <w:r w:rsidRPr="001F4BAA">
        <w:t>Mild cases, without risk factors may be managed as an outpatient.</w:t>
      </w:r>
    </w:p>
    <w:p w14:paraId="3FDCDFBC" w14:textId="77777777" w:rsidR="00FF01A9" w:rsidRPr="00336DB7" w:rsidRDefault="00FF01A9" w:rsidP="00336DB7">
      <w:pPr>
        <w:rPr>
          <w:rStyle w:val="Strong"/>
        </w:rPr>
      </w:pPr>
      <w:r w:rsidRPr="00336DB7">
        <w:rPr>
          <w:rStyle w:val="Strong"/>
        </w:rPr>
        <w:t>Refer severe bronchiolitis or those with risk factors:</w:t>
      </w:r>
    </w:p>
    <w:p w14:paraId="177FF97B" w14:textId="6DC0AA12" w:rsidR="00FF01A9" w:rsidRPr="001F4BAA" w:rsidRDefault="00FF01A9" w:rsidP="008542CC">
      <w:pPr>
        <w:pStyle w:val="BulletMedicine"/>
        <w:numPr>
          <w:ilvl w:val="0"/>
          <w:numId w:val="13"/>
        </w:numPr>
      </w:pPr>
      <w:r w:rsidRPr="001F4BAA">
        <w:t>Oxygen</w:t>
      </w:r>
      <w:r w:rsidR="00812598">
        <w:fldChar w:fldCharType="begin"/>
      </w:r>
      <w:r w:rsidR="00812598">
        <w:instrText xml:space="preserve"> XE "Oxygen" \f "m" </w:instrText>
      </w:r>
      <w:r w:rsidR="00812598">
        <w:fldChar w:fldCharType="end"/>
      </w:r>
      <w:r w:rsidRPr="001F4BAA">
        <w:t>, humidified, using nasal prongs or nasal cannula, at 1</w:t>
      </w:r>
      <w:r w:rsidR="00C56238" w:rsidRPr="00C56238">
        <w:t xml:space="preserve"> </w:t>
      </w:r>
      <w:r w:rsidR="00C56238">
        <w:t xml:space="preserve">to </w:t>
      </w:r>
      <w:r w:rsidRPr="001F4BAA">
        <w:t>2 L/minute.</w:t>
      </w:r>
    </w:p>
    <w:p w14:paraId="4A72E96B" w14:textId="77777777" w:rsidR="00FF01A9" w:rsidRPr="001F4BAA" w:rsidRDefault="00FF01A9" w:rsidP="00C32328">
      <w:pPr>
        <w:pStyle w:val="Heading5"/>
      </w:pPr>
      <w:r w:rsidRPr="001F4BAA">
        <w:t>REFERRAL</w:t>
      </w:r>
    </w:p>
    <w:p w14:paraId="3571902E" w14:textId="77777777" w:rsidR="00FF01A9" w:rsidRPr="001F4BAA" w:rsidRDefault="00FF01A9" w:rsidP="00336DB7">
      <w:pPr>
        <w:pStyle w:val="ListParagraph"/>
      </w:pPr>
      <w:r w:rsidRPr="001F4BAA">
        <w:t>Signs of severe bronchiolitis (respiratory distress, hypoxia, apnoea, inability to feed, lethargy/decreased level of consciousness).</w:t>
      </w:r>
    </w:p>
    <w:p w14:paraId="60B4F42C" w14:textId="77777777" w:rsidR="00FF01A9" w:rsidRPr="001F4BAA" w:rsidRDefault="00FF01A9" w:rsidP="00336DB7">
      <w:pPr>
        <w:pStyle w:val="ListParagraph"/>
      </w:pPr>
      <w:r w:rsidRPr="001F4BAA">
        <w:t>Bronchiolitis with risk factors for severe disease.</w:t>
      </w:r>
    </w:p>
    <w:p w14:paraId="1908366B" w14:textId="77777777" w:rsidR="00FF01A9" w:rsidRPr="001F4BAA" w:rsidRDefault="00FF01A9" w:rsidP="00336DB7">
      <w:pPr>
        <w:pStyle w:val="ListParagraph"/>
      </w:pPr>
      <w:r w:rsidRPr="001F4BAA">
        <w:t>Previous admission for same problem.</w:t>
      </w:r>
    </w:p>
    <w:p w14:paraId="6B1C7911" w14:textId="77777777" w:rsidR="00FF01A9" w:rsidRDefault="00FF01A9" w:rsidP="00FF01A9">
      <w:pPr>
        <w:pStyle w:val="NoSpacing"/>
      </w:pPr>
    </w:p>
    <w:p w14:paraId="3E5D64FB" w14:textId="0B80FE1F" w:rsidR="00FF01A9" w:rsidRPr="00C32328" w:rsidRDefault="005671A8" w:rsidP="006C5447">
      <w:pPr>
        <w:pStyle w:val="Heading3"/>
        <w:numPr>
          <w:ilvl w:val="0"/>
          <w:numId w:val="0"/>
        </w:numPr>
        <w:ind w:left="720" w:hanging="720"/>
      </w:pPr>
      <w:bookmarkStart w:id="25" w:name="_Toc57838377"/>
      <w:bookmarkStart w:id="26" w:name="_Toc57838473"/>
      <w:bookmarkStart w:id="27" w:name="_Toc57839890"/>
      <w:bookmarkStart w:id="28" w:name="_Toc57840027"/>
      <w:bookmarkStart w:id="29" w:name="_Toc177054025"/>
      <w:r>
        <w:t>17.1.5</w:t>
      </w:r>
      <w:r w:rsidR="006C5447">
        <w:t xml:space="preserve"> </w:t>
      </w:r>
      <w:r w:rsidR="00C32328" w:rsidRPr="00C32328">
        <w:t>Chronic obstructive pulmonary disease (COPD)</w:t>
      </w:r>
      <w:bookmarkEnd w:id="25"/>
      <w:bookmarkEnd w:id="26"/>
      <w:bookmarkEnd w:id="27"/>
      <w:bookmarkEnd w:id="28"/>
      <w:bookmarkEnd w:id="29"/>
      <w:r w:rsidR="001132AD">
        <w:fldChar w:fldCharType="begin"/>
      </w:r>
      <w:r w:rsidR="001132AD">
        <w:instrText xml:space="preserve"> XE "</w:instrText>
      </w:r>
      <w:r w:rsidR="001132AD" w:rsidRPr="004A0AEB">
        <w:instrText>Chronic obstructive pulmonary disease (COPD)</w:instrText>
      </w:r>
      <w:r w:rsidR="001132AD">
        <w:instrText xml:space="preserve">" </w:instrText>
      </w:r>
      <w:r w:rsidR="001132AD" w:rsidRPr="001132AD">
        <w:instrText xml:space="preserve">\f “c” </w:instrText>
      </w:r>
      <w:r w:rsidR="001132AD">
        <w:fldChar w:fldCharType="end"/>
      </w:r>
    </w:p>
    <w:p w14:paraId="1FF7C8ED" w14:textId="44CA7EAB" w:rsidR="00FF01A9" w:rsidRPr="001F4BAA" w:rsidRDefault="00F856F6" w:rsidP="002344FD">
      <w:pPr>
        <w:pStyle w:val="ICD10"/>
        <w:shd w:val="clear" w:color="auto" w:fill="F2F2F2" w:themeFill="background1" w:themeFillShade="F2"/>
        <w:tabs>
          <w:tab w:val="left" w:pos="2753"/>
        </w:tabs>
      </w:pPr>
      <w:r w:rsidRPr="001F4BAA">
        <w:t>J43.0-2/J43.8-9</w:t>
      </w:r>
      <w:r>
        <w:t>/</w:t>
      </w:r>
      <w:r w:rsidR="00FF01A9" w:rsidRPr="001F4BAA">
        <w:t>J44.0-1/J44.8-9</w:t>
      </w:r>
    </w:p>
    <w:p w14:paraId="680CCDA5" w14:textId="77777777" w:rsidR="00FF01A9" w:rsidRPr="001F4BAA" w:rsidRDefault="00FF01A9" w:rsidP="00C32328">
      <w:pPr>
        <w:pStyle w:val="Heading5"/>
      </w:pPr>
      <w:r w:rsidRPr="001F4BAA">
        <w:t>DESCRIPTION</w:t>
      </w:r>
    </w:p>
    <w:p w14:paraId="4E3A1D1D" w14:textId="77777777" w:rsidR="00FF01A9" w:rsidRPr="001F4BAA" w:rsidRDefault="00FF01A9" w:rsidP="00FF01A9">
      <w:pPr>
        <w:pStyle w:val="NoSpacing"/>
      </w:pPr>
      <w:r w:rsidRPr="001F4BAA">
        <w:t>Also referred to as chronic obstructive airways disease (COAD), and comprises chronic bronchitis and emphysema which are characterised by:</w:t>
      </w:r>
    </w:p>
    <w:p w14:paraId="267BCA23" w14:textId="7FF73E0C" w:rsidR="00FF01A9" w:rsidRPr="001F4BAA" w:rsidRDefault="00FF01A9" w:rsidP="00336DB7">
      <w:pPr>
        <w:pStyle w:val="ListParagraph"/>
      </w:pPr>
      <w:r w:rsidRPr="001F4BAA">
        <w:t>chronic cough with/without sputum production on most days of ≥3 months for ≥2 consecutive years;</w:t>
      </w:r>
    </w:p>
    <w:p w14:paraId="76066A11" w14:textId="77777777" w:rsidR="00FF01A9" w:rsidRPr="001F4BAA" w:rsidRDefault="00FF01A9" w:rsidP="00336DB7">
      <w:pPr>
        <w:pStyle w:val="ListParagraph"/>
      </w:pPr>
      <w:r w:rsidRPr="001F4BAA">
        <w:t>dyspnoea or shortness of breath; and</w:t>
      </w:r>
    </w:p>
    <w:p w14:paraId="6F2007B5" w14:textId="77777777" w:rsidR="00FF01A9" w:rsidRPr="001F4BAA" w:rsidRDefault="00FF01A9" w:rsidP="00336DB7">
      <w:pPr>
        <w:pStyle w:val="ListParagraph"/>
      </w:pPr>
      <w:r w:rsidRPr="001F4BAA">
        <w:t>wheezing.</w:t>
      </w:r>
    </w:p>
    <w:p w14:paraId="09876396" w14:textId="77777777" w:rsidR="00FF01A9" w:rsidRPr="001F4BAA" w:rsidRDefault="00FF01A9" w:rsidP="00FF01A9">
      <w:pPr>
        <w:pStyle w:val="NoSpacing"/>
      </w:pPr>
      <w:r w:rsidRPr="001F4BAA">
        <w:t>The onset is very gradual with progressively worsening symptoms. Due to the large reserve capacity of the lungs, patients often present when there is considerable permanent damage to the lungs. In addition to the symptoms listed above, patients may present with symptoms or signs of right heart failure. The airways obstruction is not fully reversible (in contrast to asthma).</w:t>
      </w:r>
    </w:p>
    <w:p w14:paraId="2A041D1A" w14:textId="77777777" w:rsidR="00FF01A9" w:rsidRPr="001F4BAA" w:rsidRDefault="00FF01A9" w:rsidP="00FF01A9">
      <w:pPr>
        <w:pStyle w:val="NoSpacing"/>
      </w:pPr>
      <w:r w:rsidRPr="001F4BAA">
        <w:t>The main causes of COPD are chronic irritation of the airways caused by smoking, air pollution, previous TB, and previous cannabis (dagga) smoking, although there are many other causes.</w:t>
      </w:r>
    </w:p>
    <w:p w14:paraId="7ADD3D57" w14:textId="4B1441B4" w:rsidR="00FF01A9" w:rsidRPr="001F4BAA" w:rsidRDefault="00FF01A9" w:rsidP="00FF01A9">
      <w:pPr>
        <w:pStyle w:val="NoSpacing"/>
      </w:pPr>
      <w:r w:rsidRPr="001F4BAA">
        <w:lastRenderedPageBreak/>
        <w:t>If symptoms suggest TB (e.g. weight loss, night sweats, etc.), investigate and manage accordingly</w:t>
      </w:r>
      <w:r w:rsidR="00C56238">
        <w:t>.</w:t>
      </w:r>
      <w:r w:rsidR="00755C5A">
        <w:t xml:space="preserve"> (See Section 17.4: Pulmonary Tuberculosis</w:t>
      </w:r>
      <w:r w:rsidR="00DE608B">
        <w:t xml:space="preserve"> (TB)</w:t>
      </w:r>
      <w:r w:rsidR="00C56238">
        <w:t>.</w:t>
      </w:r>
      <w:r w:rsidR="00755C5A">
        <w:t>)</w:t>
      </w:r>
    </w:p>
    <w:p w14:paraId="233ECF28" w14:textId="77777777" w:rsidR="00FF01A9" w:rsidRPr="001F4BAA" w:rsidRDefault="00FF01A9" w:rsidP="00C32328">
      <w:pPr>
        <w:pStyle w:val="Heading5"/>
      </w:pPr>
      <w:r w:rsidRPr="001F4BAA">
        <w:t>GENERAL MEASURES</w:t>
      </w:r>
    </w:p>
    <w:p w14:paraId="3B9DEF6C" w14:textId="77777777" w:rsidR="00FF01A9" w:rsidRPr="001F4BAA" w:rsidRDefault="00FF01A9" w:rsidP="00336DB7">
      <w:pPr>
        <w:pStyle w:val="ListParagraph"/>
      </w:pPr>
      <w:r w:rsidRPr="001F4BAA">
        <w:t>Smoking cessation, including cannabis (dagga), is the mainstay of therapy.</w:t>
      </w:r>
    </w:p>
    <w:p w14:paraId="34F6DD6C" w14:textId="77777777" w:rsidR="00FF01A9" w:rsidRPr="001F4BAA" w:rsidRDefault="00FF01A9" w:rsidP="00336DB7">
      <w:pPr>
        <w:pStyle w:val="ListParagraph"/>
      </w:pPr>
      <w:r w:rsidRPr="001F4BAA">
        <w:t>Chest physiotherapy where available.</w:t>
      </w:r>
    </w:p>
    <w:p w14:paraId="7D99543E" w14:textId="77777777" w:rsidR="00FF01A9" w:rsidRPr="001F4BAA" w:rsidRDefault="00FF01A9" w:rsidP="00336DB7">
      <w:pPr>
        <w:pStyle w:val="ListParagraph"/>
      </w:pPr>
      <w:r w:rsidRPr="001F4BAA">
        <w:t>Exercise.</w:t>
      </w:r>
    </w:p>
    <w:p w14:paraId="3DF503B2" w14:textId="77777777" w:rsidR="00FF01A9" w:rsidRPr="001F4BAA" w:rsidRDefault="00FF01A9" w:rsidP="00C32328">
      <w:pPr>
        <w:pStyle w:val="Heading5"/>
      </w:pPr>
      <w:r w:rsidRPr="001F4BAA">
        <w:t>MEDICINE TREATMENT</w:t>
      </w:r>
    </w:p>
    <w:p w14:paraId="05029C8A" w14:textId="77777777" w:rsidR="007B3A5B" w:rsidRPr="00A604AA" w:rsidRDefault="007B3A5B" w:rsidP="007B3A5B">
      <w:pPr>
        <w:pStyle w:val="NoSpacing"/>
      </w:pPr>
      <w:r>
        <w:t>See Appendix II: Devices for Respiratory Conditions for guidance on inhaler, spacer and nebuliser device techniques.</w:t>
      </w:r>
    </w:p>
    <w:p w14:paraId="39E10B3C" w14:textId="77777777" w:rsidR="00C263B8" w:rsidRDefault="00FF01A9" w:rsidP="00377E13">
      <w:pPr>
        <w:pStyle w:val="Heading6"/>
      </w:pPr>
      <w:r w:rsidRPr="001F4BAA">
        <w:t xml:space="preserve">Acute lower airways obstruction: </w:t>
      </w:r>
    </w:p>
    <w:p w14:paraId="38FEB255" w14:textId="17C45065" w:rsidR="00C263B8" w:rsidRPr="00C263B8" w:rsidRDefault="00FF01A9" w:rsidP="009B227B">
      <w:pPr>
        <w:pStyle w:val="ep4"/>
        <w:numPr>
          <w:ilvl w:val="0"/>
          <w:numId w:val="0"/>
        </w:numPr>
      </w:pPr>
      <w:r w:rsidRPr="00377E13">
        <w:t>Treat as for acute asthma</w:t>
      </w:r>
      <w:r w:rsidR="00C263B8">
        <w:rPr>
          <w:b/>
          <w:bCs/>
        </w:rPr>
        <w:t xml:space="preserve"> </w:t>
      </w:r>
      <w:r w:rsidR="00C263B8" w:rsidRPr="00FF59B3">
        <w:t xml:space="preserve">but in addition, add antibiotics if </w:t>
      </w:r>
      <w:r w:rsidR="00C263B8">
        <w:rPr>
          <w:rFonts w:cs="Arial"/>
        </w:rPr>
        <w:t>p</w:t>
      </w:r>
      <w:r w:rsidR="00C263B8" w:rsidRPr="00C263B8">
        <w:rPr>
          <w:rFonts w:cs="Arial"/>
        </w:rPr>
        <w:t>atients</w:t>
      </w:r>
      <w:r w:rsidR="00C263B8">
        <w:rPr>
          <w:rFonts w:cs="Arial"/>
          <w:b/>
        </w:rPr>
        <w:t xml:space="preserve"> </w:t>
      </w:r>
      <w:r w:rsidR="00C263B8">
        <w:rPr>
          <w:rFonts w:cs="Arial"/>
          <w:bCs/>
        </w:rPr>
        <w:t>have increased sputum purulence AND either increased sputum volume or increased dyspnoea.</w:t>
      </w:r>
    </w:p>
    <w:tbl>
      <w:tblPr>
        <w:tblpPr w:leftFromText="180" w:rightFromText="180" w:vertAnchor="text" w:horzAnchor="margin" w:tblpXSpec="right" w:tblpY="9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712934" w:rsidRPr="001F4BAA" w14:paraId="45DA8B38" w14:textId="77777777" w:rsidTr="00712934">
        <w:tc>
          <w:tcPr>
            <w:tcW w:w="907" w:type="dxa"/>
          </w:tcPr>
          <w:p w14:paraId="06AA1454" w14:textId="2D85087C" w:rsidR="00712934" w:rsidRPr="002344FD" w:rsidRDefault="00B5324C" w:rsidP="00712934">
            <w:pPr>
              <w:pStyle w:val="LoEText"/>
              <w:framePr w:hSpace="0" w:wrap="auto" w:vAnchor="margin" w:hAnchor="text" w:xAlign="left" w:yAlign="inline"/>
              <w:suppressOverlap w:val="0"/>
              <w:rPr>
                <w:sz w:val="14"/>
                <w:szCs w:val="14"/>
              </w:rPr>
            </w:pPr>
            <w:r w:rsidRPr="002344FD">
              <w:rPr>
                <w:sz w:val="14"/>
                <w:szCs w:val="14"/>
              </w:rPr>
              <w:t>LoE:I</w:t>
            </w:r>
            <w:r w:rsidR="00712934" w:rsidRPr="002344FD">
              <w:rPr>
                <w:sz w:val="14"/>
                <w:szCs w:val="14"/>
              </w:rPr>
              <w:t>I</w:t>
            </w:r>
            <w:r w:rsidRPr="002344FD">
              <w:rPr>
                <w:sz w:val="14"/>
                <w:szCs w:val="14"/>
              </w:rPr>
              <w:t>b</w:t>
            </w:r>
            <w:r w:rsidR="00712934" w:rsidRPr="002344FD">
              <w:rPr>
                <w:rStyle w:val="EndnoteReference8"/>
                <w:sz w:val="14"/>
                <w:szCs w:val="14"/>
              </w:rPr>
              <w:endnoteReference w:id="13"/>
            </w:r>
          </w:p>
        </w:tc>
      </w:tr>
    </w:tbl>
    <w:p w14:paraId="0889EBFD" w14:textId="5D5FA205" w:rsidR="00C263B8" w:rsidRPr="001F4BAA" w:rsidRDefault="00C263B8" w:rsidP="008542CC">
      <w:pPr>
        <w:pStyle w:val="BulletMedicine"/>
        <w:numPr>
          <w:ilvl w:val="0"/>
          <w:numId w:val="16"/>
        </w:numPr>
      </w:pPr>
      <w:r w:rsidRPr="001F4BAA">
        <w:t>Amoxicillin, oral</w:t>
      </w:r>
      <w:r>
        <w:fldChar w:fldCharType="begin"/>
      </w:r>
      <w:r>
        <w:instrText xml:space="preserve"> XE “Amoxicillin, oral” \f “m” </w:instrText>
      </w:r>
      <w:r>
        <w:fldChar w:fldCharType="end"/>
      </w:r>
      <w:r w:rsidRPr="001F4BAA">
        <w:t>, 500 mg 8 hourly for 5 days.</w:t>
      </w:r>
      <w:r w:rsidR="00801F2D" w:rsidRPr="00801F2D">
        <w:rPr>
          <w:b/>
          <w:noProof/>
        </w:rPr>
        <w:t xml:space="preserve"> </w:t>
      </w:r>
      <w:r w:rsidR="00801F2D" w:rsidRPr="00804EB1">
        <w:rPr>
          <w:b/>
          <w:noProof/>
          <w:lang w:eastAsia="en-ZA"/>
        </w:rPr>
        <w:drawing>
          <wp:inline distT="0" distB="0" distL="0" distR="0" wp14:anchorId="53183005" wp14:editId="37067748">
            <wp:extent cx="145966" cy="143197"/>
            <wp:effectExtent l="0" t="0" r="6985" b="0"/>
            <wp:docPr id="396081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81" cy="145665"/>
                    </a:xfrm>
                    <a:prstGeom prst="rect">
                      <a:avLst/>
                    </a:prstGeom>
                    <a:noFill/>
                    <a:ln>
                      <a:noFill/>
                    </a:ln>
                  </pic:spPr>
                </pic:pic>
              </a:graphicData>
            </a:graphic>
          </wp:inline>
        </w:drawing>
      </w:r>
    </w:p>
    <w:p w14:paraId="2E2EFEA3" w14:textId="77777777" w:rsidR="00C263B8" w:rsidRDefault="00C263B8" w:rsidP="00C263B8">
      <w:pPr>
        <w:pStyle w:val="Heading6"/>
      </w:pPr>
      <w:r w:rsidRPr="001F4BAA">
        <w:t xml:space="preserve">Severe penicillin allergy: </w:t>
      </w:r>
    </w:p>
    <w:p w14:paraId="5BEB6FC1" w14:textId="77777777" w:rsidR="00C263B8" w:rsidRPr="001F4BAA" w:rsidRDefault="00C263B8" w:rsidP="002344FD">
      <w:pPr>
        <w:pStyle w:val="ICD10"/>
        <w:shd w:val="clear" w:color="auto" w:fill="F2F2F2" w:themeFill="background1" w:themeFillShade="F2"/>
        <w:tabs>
          <w:tab w:val="left" w:pos="2753"/>
        </w:tabs>
      </w:pPr>
      <w:r w:rsidRPr="001F4BAA">
        <w:t>Z88.0</w:t>
      </w:r>
    </w:p>
    <w:p w14:paraId="405B4B13" w14:textId="61895AD4" w:rsidR="00C263B8" w:rsidRPr="00C263B8" w:rsidRDefault="00522227" w:rsidP="00712934">
      <w:pPr>
        <w:pStyle w:val="BulletMedicine"/>
        <w:numPr>
          <w:ilvl w:val="0"/>
          <w:numId w:val="0"/>
        </w:numPr>
        <w:ind w:left="284"/>
      </w:pPr>
      <w:r w:rsidRPr="00984FB2">
        <w:rPr>
          <w:rFonts w:cs="Arial"/>
        </w:rPr>
        <w:t>Azithromycin, oral, 500 mg daily for 3 days</w:t>
      </w:r>
      <w:r>
        <w:rPr>
          <w:rFonts w:cs="Arial"/>
        </w:rPr>
        <w:t>.</w:t>
      </w:r>
      <w:r w:rsidR="00801F2D" w:rsidRPr="00801F2D">
        <w:t xml:space="preserve"> </w:t>
      </w:r>
      <w:r w:rsidR="00801F2D">
        <w:rPr>
          <w:noProof/>
          <w:lang w:eastAsia="en-ZA"/>
        </w:rPr>
        <w:drawing>
          <wp:inline distT="0" distB="0" distL="0" distR="0" wp14:anchorId="1A662B10" wp14:editId="789404CE">
            <wp:extent cx="142240" cy="152400"/>
            <wp:effectExtent l="0" t="0" r="0" b="0"/>
            <wp:docPr id="98194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p>
    <w:p w14:paraId="1CE7A4AD" w14:textId="68B2DA0E" w:rsidR="00FF01A9" w:rsidRPr="001F4BAA" w:rsidRDefault="00FF01A9" w:rsidP="00377E13">
      <w:pPr>
        <w:pStyle w:val="Heading6"/>
      </w:pPr>
      <w:r w:rsidRPr="001F4BAA">
        <w:t>Chronic management:</w:t>
      </w:r>
    </w:p>
    <w:p w14:paraId="7DA5331F" w14:textId="77777777" w:rsidR="00FF01A9" w:rsidRPr="001F4BAA" w:rsidRDefault="00FF01A9" w:rsidP="00377E13">
      <w:pPr>
        <w:pStyle w:val="ListParagraph"/>
      </w:pPr>
      <w:r w:rsidRPr="001F4BAA">
        <w:t>In a stable patient, check PEFR.</w:t>
      </w:r>
    </w:p>
    <w:p w14:paraId="45A727E5" w14:textId="77777777" w:rsidR="00FF01A9" w:rsidRPr="001F4BAA" w:rsidRDefault="00FF01A9" w:rsidP="00377E13">
      <w:pPr>
        <w:pStyle w:val="ListParagraph"/>
      </w:pPr>
      <w:r w:rsidRPr="001F4BAA">
        <w:t>Then give a test dose of salbutamol, i.e. 2 puffs.</w:t>
      </w:r>
    </w:p>
    <w:p w14:paraId="38B24AF1" w14:textId="77777777" w:rsidR="00FF01A9" w:rsidRPr="001F4BAA" w:rsidRDefault="00FF01A9" w:rsidP="00377E13">
      <w:pPr>
        <w:pStyle w:val="ListParagraph"/>
      </w:pPr>
      <w:r w:rsidRPr="001F4BAA">
        <w:t>Repeat PEFR 15 minutes later.</w:t>
      </w:r>
    </w:p>
    <w:p w14:paraId="2AF1D5B8" w14:textId="63296D3B" w:rsidR="00FF01A9" w:rsidRPr="001F4BAA" w:rsidRDefault="00FF01A9" w:rsidP="00377E13">
      <w:pPr>
        <w:pStyle w:val="ListParagraph"/>
      </w:pPr>
      <w:r w:rsidRPr="001F4BAA">
        <w:t>If there is ≥20% improvement in peak flow, diagnose asthma and manage patient accordingly. See Section 17.1.</w:t>
      </w:r>
      <w:r w:rsidR="00D80230">
        <w:t>3</w:t>
      </w:r>
      <w:r w:rsidRPr="001F4BAA">
        <w:t>: Chronic asthma.</w:t>
      </w:r>
    </w:p>
    <w:p w14:paraId="1AA0C957" w14:textId="47505E47" w:rsidR="00FF01A9" w:rsidRPr="001F4BAA" w:rsidRDefault="00FF01A9" w:rsidP="00377E13">
      <w:pPr>
        <w:pStyle w:val="ListParagraph"/>
      </w:pPr>
      <w:r w:rsidRPr="001F4BAA">
        <w:t xml:space="preserve">Perform spirometry if available. Diagnose COPD if </w:t>
      </w:r>
      <w:r w:rsidR="00F9770B">
        <w:t xml:space="preserve">post-bronchodilator </w:t>
      </w:r>
      <w:r w:rsidRPr="001F4BAA">
        <w:t>FEV</w:t>
      </w:r>
      <w:r w:rsidRPr="000708B9">
        <w:rPr>
          <w:vertAlign w:val="subscript"/>
        </w:rPr>
        <w:t>1</w:t>
      </w:r>
      <w:r w:rsidRPr="001F4BAA">
        <w:t xml:space="preserve">/FVC </w:t>
      </w:r>
      <w:r w:rsidR="007277E7">
        <w:t>&lt;</w:t>
      </w:r>
      <w:r w:rsidRPr="001F4BAA">
        <w:t>70%.</w:t>
      </w:r>
    </w:p>
    <w:p w14:paraId="5A8D409E" w14:textId="79BCE95C" w:rsidR="00FF01A9" w:rsidRPr="001F4BAA" w:rsidRDefault="00FF01A9" w:rsidP="00377E13">
      <w:pPr>
        <w:pStyle w:val="BulletTherapeuticclass"/>
      </w:pPr>
      <w:r w:rsidRPr="001F4BAA">
        <w:t>S</w:t>
      </w:r>
      <w:r w:rsidR="00260F68">
        <w:t>hort acting beta</w:t>
      </w:r>
      <w:r w:rsidR="00260F68" w:rsidRPr="000708B9">
        <w:rPr>
          <w:vertAlign w:val="subscript"/>
        </w:rPr>
        <w:t>2</w:t>
      </w:r>
      <w:r w:rsidR="00260F68">
        <w:t xml:space="preserve"> agonist</w:t>
      </w:r>
      <w:r w:rsidR="00812598">
        <w:fldChar w:fldCharType="begin"/>
      </w:r>
      <w:r w:rsidR="00812598">
        <w:instrText xml:space="preserve"> XE </w:instrText>
      </w:r>
      <w:r w:rsidR="00C263B8">
        <w:instrText>“</w:instrText>
      </w:r>
      <w:r w:rsidR="00812598">
        <w:instrText xml:space="preserve">Short acting </w:instrText>
      </w:r>
      <w:r w:rsidR="00993EB6">
        <w:rPr>
          <w:rFonts w:eastAsia="Times New Roman" w:cs="Arial"/>
          <w:bCs/>
          <w:spacing w:val="0"/>
        </w:rPr>
        <w:instrText>Beta</w:instrText>
      </w:r>
      <w:r w:rsidR="00812598" w:rsidRPr="00E510F9">
        <w:rPr>
          <w:vertAlign w:val="subscript"/>
        </w:rPr>
        <w:instrText>2</w:instrText>
      </w:r>
      <w:r w:rsidR="00812598">
        <w:instrText xml:space="preserve"> agonist, inhaler</w:instrText>
      </w:r>
      <w:r w:rsidR="00C263B8">
        <w:instrText>”</w:instrText>
      </w:r>
      <w:r w:rsidR="00812598">
        <w:instrText xml:space="preserve"> \F </w:instrText>
      </w:r>
      <w:r w:rsidR="00C263B8">
        <w:instrText>“</w:instrText>
      </w:r>
      <w:r w:rsidR="00812598">
        <w:instrText>M</w:instrText>
      </w:r>
      <w:r w:rsidR="00C263B8">
        <w:instrText>”</w:instrText>
      </w:r>
      <w:r w:rsidR="00812598">
        <w:instrText xml:space="preserve"> </w:instrText>
      </w:r>
      <w:r w:rsidR="00812598">
        <w:fldChar w:fldCharType="end"/>
      </w:r>
      <w:r w:rsidR="00260F68">
        <w:t>,</w:t>
      </w:r>
      <w:r w:rsidRPr="001F4BAA">
        <w:t xml:space="preserve"> e.g.:</w:t>
      </w:r>
    </w:p>
    <w:p w14:paraId="77F4CC41" w14:textId="650F051B" w:rsidR="00FF01A9" w:rsidRPr="006909A6" w:rsidRDefault="00FF01A9" w:rsidP="008542CC">
      <w:pPr>
        <w:pStyle w:val="BulletMedicine"/>
        <w:numPr>
          <w:ilvl w:val="0"/>
          <w:numId w:val="16"/>
        </w:numPr>
      </w:pPr>
      <w:r w:rsidRPr="006909A6">
        <w:t>Salbutamol, inhalation</w:t>
      </w:r>
      <w:r w:rsidR="00812598" w:rsidRPr="006909A6">
        <w:fldChar w:fldCharType="begin"/>
      </w:r>
      <w:r w:rsidR="00812598" w:rsidRPr="006909A6">
        <w:instrText xml:space="preserve"> XE </w:instrText>
      </w:r>
      <w:r w:rsidR="00C263B8" w:rsidRPr="006909A6">
        <w:instrText>“</w:instrText>
      </w:r>
      <w:r w:rsidR="00812598" w:rsidRPr="006909A6">
        <w:instrText>Salbutamol, inhaler</w:instrText>
      </w:r>
      <w:r w:rsidR="00C263B8" w:rsidRPr="006909A6">
        <w:instrText>”</w:instrText>
      </w:r>
      <w:r w:rsidR="00812598" w:rsidRPr="006909A6">
        <w:instrText xml:space="preserve"> \f </w:instrText>
      </w:r>
      <w:r w:rsidR="00C263B8" w:rsidRPr="006909A6">
        <w:instrText>“</w:instrText>
      </w:r>
      <w:r w:rsidR="00812598" w:rsidRPr="006909A6">
        <w:instrText>m</w:instrText>
      </w:r>
      <w:r w:rsidR="00C263B8" w:rsidRPr="006909A6">
        <w:instrText>”</w:instrText>
      </w:r>
      <w:r w:rsidR="00812598" w:rsidRPr="006909A6">
        <w:instrText xml:space="preserve"> </w:instrText>
      </w:r>
      <w:r w:rsidR="00812598" w:rsidRPr="006909A6">
        <w:fldChar w:fldCharType="end"/>
      </w:r>
      <w:r w:rsidRPr="006909A6">
        <w:t>, 100</w:t>
      </w:r>
      <w:r w:rsidR="00C56238" w:rsidRPr="00C56238">
        <w:t xml:space="preserve"> </w:t>
      </w:r>
      <w:r w:rsidR="00C56238">
        <w:t xml:space="preserve">to </w:t>
      </w:r>
      <w:r w:rsidRPr="006909A6">
        <w:t>200 mcg (1</w:t>
      </w:r>
      <w:r w:rsidR="00C56238" w:rsidRPr="00C56238">
        <w:t xml:space="preserve"> </w:t>
      </w:r>
      <w:r w:rsidR="00C56238">
        <w:t xml:space="preserve">to </w:t>
      </w:r>
      <w:r w:rsidRPr="006909A6">
        <w:t>2 puffs), 3</w:t>
      </w:r>
      <w:r w:rsidR="00C56238" w:rsidRPr="00C56238">
        <w:t xml:space="preserve"> </w:t>
      </w:r>
      <w:r w:rsidR="00C56238">
        <w:t xml:space="preserve">to </w:t>
      </w:r>
      <w:r w:rsidRPr="006909A6">
        <w:t xml:space="preserve">4 times daily </w:t>
      </w:r>
      <w:r w:rsidR="00A531BB">
        <w:t xml:space="preserve">via a spacer </w:t>
      </w:r>
      <w:r w:rsidRPr="006909A6">
        <w:t>as needed for relief of wheeze.</w:t>
      </w:r>
    </w:p>
    <w:p w14:paraId="700DBB84" w14:textId="0C43BB5F" w:rsidR="00FF01A9" w:rsidRPr="006909A6" w:rsidRDefault="00FF01A9" w:rsidP="004E4F92">
      <w:pPr>
        <w:pStyle w:val="Heading6"/>
      </w:pPr>
      <w:r w:rsidRPr="001F4BAA">
        <w:t xml:space="preserve">If </w:t>
      </w:r>
      <w:r w:rsidRPr="006909A6">
        <w:t xml:space="preserve">not controlled on SABA alone and diagnosis was confirmed by spirometry (with </w:t>
      </w:r>
      <w:r w:rsidR="007277E7">
        <w:t>&lt;</w:t>
      </w:r>
      <w:r w:rsidRPr="006909A6">
        <w:t>2 exacerbations per year):</w:t>
      </w:r>
    </w:p>
    <w:p w14:paraId="59DFA53F" w14:textId="3BF760AE" w:rsidR="00FF01A9" w:rsidRPr="006909A6" w:rsidRDefault="00FF01A9" w:rsidP="004E4F92">
      <w:pPr>
        <w:pStyle w:val="BulletTherapeuticclass"/>
      </w:pPr>
      <w:r w:rsidRPr="006909A6">
        <w:t xml:space="preserve">Long-acting </w:t>
      </w:r>
      <w:r w:rsidR="00260F68">
        <w:t>beta</w:t>
      </w:r>
      <w:r w:rsidR="00260F68" w:rsidRPr="006161B2">
        <w:rPr>
          <w:vertAlign w:val="subscript"/>
        </w:rPr>
        <w:t>2</w:t>
      </w:r>
      <w:r w:rsidR="00260F68">
        <w:t xml:space="preserve"> </w:t>
      </w:r>
      <w:r w:rsidRPr="006909A6">
        <w:t>agonist (LABA)</w:t>
      </w:r>
      <w:r w:rsidR="00812598" w:rsidRPr="006909A6">
        <w:fldChar w:fldCharType="begin"/>
      </w:r>
      <w:r w:rsidR="00812598" w:rsidRPr="006909A6">
        <w:instrText xml:space="preserve"> XE “Long-acting beta2-agonist (LABA)” \f “m” </w:instrText>
      </w:r>
      <w:r w:rsidR="00812598" w:rsidRPr="006909A6">
        <w:fldChar w:fldCharType="end"/>
      </w:r>
      <w:r w:rsidRPr="006909A6">
        <w:t>, e.g.:</w:t>
      </w:r>
    </w:p>
    <w:tbl>
      <w:tblPr>
        <w:tblpPr w:leftFromText="180" w:rightFromText="180" w:vertAnchor="text" w:tblpXSpec="right" w:tblpY="1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4E4F92" w:rsidRPr="00600C0B" w14:paraId="7D0D9844" w14:textId="77777777" w:rsidTr="004E4F92">
        <w:tc>
          <w:tcPr>
            <w:tcW w:w="907" w:type="dxa"/>
          </w:tcPr>
          <w:p w14:paraId="3853AC81" w14:textId="187D768D" w:rsidR="004E4F92" w:rsidRPr="002344FD" w:rsidRDefault="00B5324C" w:rsidP="004E4F92">
            <w:pPr>
              <w:pStyle w:val="LoEText"/>
              <w:framePr w:hSpace="0" w:wrap="auto" w:vAnchor="margin" w:hAnchor="text" w:xAlign="left" w:yAlign="inline"/>
              <w:suppressOverlap w:val="0"/>
              <w:rPr>
                <w:sz w:val="14"/>
                <w:szCs w:val="14"/>
              </w:rPr>
            </w:pPr>
            <w:r w:rsidRPr="002344FD">
              <w:rPr>
                <w:sz w:val="14"/>
                <w:szCs w:val="14"/>
              </w:rPr>
              <w:t>LoE:IVb</w:t>
            </w:r>
            <w:r w:rsidR="004E4F92" w:rsidRPr="002344FD">
              <w:rPr>
                <w:rStyle w:val="EndnoteReference8"/>
                <w:sz w:val="14"/>
                <w:szCs w:val="14"/>
              </w:rPr>
              <w:endnoteReference w:id="14"/>
            </w:r>
          </w:p>
        </w:tc>
      </w:tr>
    </w:tbl>
    <w:p w14:paraId="73D34A1C" w14:textId="1D77E7D5" w:rsidR="00FF01A9" w:rsidRPr="006909A6" w:rsidRDefault="00FF01A9" w:rsidP="008542CC">
      <w:pPr>
        <w:pStyle w:val="BulletMedicine"/>
        <w:numPr>
          <w:ilvl w:val="0"/>
          <w:numId w:val="17"/>
        </w:numPr>
      </w:pPr>
      <w:r w:rsidRPr="006909A6">
        <w:t>Formoterol, inhaled</w:t>
      </w:r>
      <w:r w:rsidR="00812598" w:rsidRPr="006909A6">
        <w:fldChar w:fldCharType="begin"/>
      </w:r>
      <w:r w:rsidR="00812598" w:rsidRPr="006909A6">
        <w:instrText xml:space="preserve"> XE “Formoterol, inhaler” \f “m” </w:instrText>
      </w:r>
      <w:r w:rsidR="00812598" w:rsidRPr="006909A6">
        <w:fldChar w:fldCharType="end"/>
      </w:r>
      <w:r w:rsidRPr="006909A6">
        <w:t xml:space="preserve"> 12 mcg (1 puff) 12 hourly</w:t>
      </w:r>
      <w:r w:rsidR="00C56238">
        <w:t>.</w:t>
      </w:r>
      <w:r w:rsidRPr="006909A6">
        <w:t xml:space="preserve"> (Doctor initiated</w:t>
      </w:r>
      <w:r w:rsidR="00C56238">
        <w:t>.</w:t>
      </w:r>
      <w:r w:rsidRPr="006909A6">
        <w:t>)</w:t>
      </w:r>
    </w:p>
    <w:p w14:paraId="463E422E" w14:textId="3016ED1D" w:rsidR="00FF01A9" w:rsidRPr="006909A6" w:rsidRDefault="00FF01A9" w:rsidP="004E4F92">
      <w:pPr>
        <w:pStyle w:val="Heading6"/>
      </w:pPr>
      <w:r w:rsidRPr="006909A6">
        <w:t>If not controlled on SABA</w:t>
      </w:r>
      <w:r w:rsidR="00812598" w:rsidRPr="006909A6">
        <w:fldChar w:fldCharType="begin"/>
      </w:r>
      <w:r w:rsidR="00812598" w:rsidRPr="006909A6">
        <w:instrText xml:space="preserve"> XE </w:instrText>
      </w:r>
      <w:r w:rsidR="00C263B8" w:rsidRPr="006909A6">
        <w:instrText>“</w:instrText>
      </w:r>
      <w:r w:rsidR="00812598" w:rsidRPr="006909A6">
        <w:instrText>Short acting beta2 agonist, inhaler</w:instrText>
      </w:r>
      <w:r w:rsidR="00C263B8" w:rsidRPr="006909A6">
        <w:instrText>”</w:instrText>
      </w:r>
      <w:r w:rsidR="00812598" w:rsidRPr="006909A6">
        <w:instrText xml:space="preserve"> \F </w:instrText>
      </w:r>
      <w:r w:rsidR="00C263B8" w:rsidRPr="006909A6">
        <w:instrText>“</w:instrText>
      </w:r>
      <w:r w:rsidR="00812598" w:rsidRPr="006909A6">
        <w:instrText>M</w:instrText>
      </w:r>
      <w:r w:rsidR="00C263B8" w:rsidRPr="006909A6">
        <w:instrText>”</w:instrText>
      </w:r>
      <w:r w:rsidR="00812598" w:rsidRPr="006909A6">
        <w:instrText xml:space="preserve"> </w:instrText>
      </w:r>
      <w:r w:rsidR="00812598" w:rsidRPr="006909A6">
        <w:fldChar w:fldCharType="end"/>
      </w:r>
      <w:r w:rsidRPr="006909A6">
        <w:t xml:space="preserve"> alone and spirometry not available:</w:t>
      </w:r>
    </w:p>
    <w:p w14:paraId="5D7DA6A4" w14:textId="191773DF" w:rsidR="00FF01A9" w:rsidRPr="006909A6" w:rsidRDefault="00FF01A9" w:rsidP="00812598">
      <w:pPr>
        <w:pStyle w:val="BulletTherapeuticclass"/>
      </w:pPr>
      <w:r w:rsidRPr="006909A6">
        <w:t>Inhaled LABA/corticosteroid</w:t>
      </w:r>
      <w:r w:rsidR="00812598" w:rsidRPr="006909A6">
        <w:fldChar w:fldCharType="begin"/>
      </w:r>
      <w:r w:rsidR="00812598" w:rsidRPr="006909A6">
        <w:instrText xml:space="preserve"> XE “LABA/corticosteroid, inhaler” \f “m” </w:instrText>
      </w:r>
      <w:r w:rsidR="00812598" w:rsidRPr="006909A6">
        <w:fldChar w:fldCharType="end"/>
      </w:r>
      <w:r w:rsidRPr="006909A6">
        <w:t xml:space="preserve"> combination e.g.:</w:t>
      </w:r>
    </w:p>
    <w:p w14:paraId="386EC9CE" w14:textId="1C059253" w:rsidR="00FF01A9" w:rsidRPr="006909A6" w:rsidRDefault="00FF01A9" w:rsidP="008542CC">
      <w:pPr>
        <w:pStyle w:val="BulletMedicine"/>
        <w:numPr>
          <w:ilvl w:val="0"/>
          <w:numId w:val="18"/>
        </w:numPr>
      </w:pPr>
      <w:r w:rsidRPr="006909A6">
        <w:t>Salmeterol/fluticasone, inhalation</w:t>
      </w:r>
      <w:r w:rsidR="00812598" w:rsidRPr="006909A6">
        <w:fldChar w:fldCharType="begin"/>
      </w:r>
      <w:r w:rsidR="00812598" w:rsidRPr="006909A6">
        <w:instrText xml:space="preserve"> XE “Salmeterol/fluticasone, inhaler” \f “m” </w:instrText>
      </w:r>
      <w:r w:rsidR="00812598" w:rsidRPr="006909A6">
        <w:fldChar w:fldCharType="end"/>
      </w:r>
      <w:r w:rsidRPr="006909A6">
        <w:t>, 50/250 mcg (1 puff) 12 hourly</w:t>
      </w:r>
      <w:r w:rsidR="00C56238">
        <w:t>.</w:t>
      </w:r>
      <w:r w:rsidRPr="006909A6">
        <w:t xml:space="preserve"> (Doctor initiated</w:t>
      </w:r>
      <w:r w:rsidR="00C56238">
        <w:t>.</w:t>
      </w:r>
      <w:r w:rsidRPr="006909A6">
        <w:t>)</w:t>
      </w:r>
    </w:p>
    <w:p w14:paraId="2F87944A" w14:textId="77777777" w:rsidR="00182F1E" w:rsidRDefault="00182F1E" w:rsidP="004C3E6D">
      <w:pPr>
        <w:pStyle w:val="Heading6"/>
        <w:spacing w:before="0"/>
      </w:pPr>
    </w:p>
    <w:p w14:paraId="187A7ED0" w14:textId="1CCB399E" w:rsidR="001E54AC" w:rsidRDefault="00FF01A9" w:rsidP="004C3E6D">
      <w:pPr>
        <w:pStyle w:val="Heading6"/>
        <w:spacing w:before="0"/>
        <w:rPr>
          <w:b w:val="0"/>
          <w:bCs w:val="0"/>
        </w:rPr>
      </w:pPr>
      <w:r w:rsidRPr="001F4BAA">
        <w:t>If not controlled on a LABA alone or frequent exacerbations (≥2 per year):</w:t>
      </w:r>
      <w:r w:rsidR="008C5BB7">
        <w:br/>
      </w:r>
      <w:r w:rsidR="005E25A0">
        <w:rPr>
          <w:b w:val="0"/>
          <w:bCs w:val="0"/>
        </w:rPr>
        <w:t>Measure</w:t>
      </w:r>
      <w:r w:rsidR="00A2283F">
        <w:rPr>
          <w:b w:val="0"/>
          <w:bCs w:val="0"/>
        </w:rPr>
        <w:t xml:space="preserve"> </w:t>
      </w:r>
      <w:r w:rsidR="001E54AC" w:rsidRPr="006048B3">
        <w:rPr>
          <w:b w:val="0"/>
          <w:bCs w:val="0"/>
        </w:rPr>
        <w:t>blo</w:t>
      </w:r>
      <w:r w:rsidR="001E54AC">
        <w:rPr>
          <w:b w:val="0"/>
          <w:bCs w:val="0"/>
        </w:rPr>
        <w:t>od eosinophil levels</w:t>
      </w:r>
      <w:r w:rsidR="00A2283F">
        <w:rPr>
          <w:b w:val="0"/>
          <w:bCs w:val="0"/>
        </w:rPr>
        <w:t>.</w:t>
      </w:r>
    </w:p>
    <w:p w14:paraId="692FA39E" w14:textId="0E2C6BCB" w:rsidR="00FF01A9" w:rsidRPr="004C3E6D" w:rsidRDefault="001E54AC" w:rsidP="004C3E6D">
      <w:pPr>
        <w:pStyle w:val="Heading6"/>
        <w:spacing w:before="0"/>
        <w:rPr>
          <w:b w:val="0"/>
        </w:rPr>
      </w:pPr>
      <w:r w:rsidRPr="004C3E6D">
        <w:rPr>
          <w:b w:val="0"/>
        </w:rPr>
        <w:t xml:space="preserve">If eosinophils </w:t>
      </w:r>
      <w:r w:rsidR="007277E7">
        <w:rPr>
          <w:b w:val="0"/>
        </w:rPr>
        <w:t>&gt;</w:t>
      </w:r>
      <w:r w:rsidRPr="004C3E6D">
        <w:rPr>
          <w:b w:val="0"/>
        </w:rPr>
        <w:t>0.1 x10</w:t>
      </w:r>
      <w:r w:rsidRPr="004C3E6D">
        <w:rPr>
          <w:b w:val="0"/>
          <w:vertAlign w:val="superscript"/>
        </w:rPr>
        <w:t>9</w:t>
      </w:r>
      <w:r w:rsidRPr="004C3E6D">
        <w:rPr>
          <w:b w:val="0"/>
        </w:rPr>
        <w:t xml:space="preserve"> cells/L, r</w:t>
      </w:r>
      <w:r w:rsidR="00FF01A9" w:rsidRPr="004C3E6D">
        <w:rPr>
          <w:b w:val="0"/>
        </w:rPr>
        <w:t>eplace with:</w:t>
      </w:r>
    </w:p>
    <w:p w14:paraId="63A4E4E6" w14:textId="239AFECE" w:rsidR="00FF01A9" w:rsidRPr="001F4BAA" w:rsidRDefault="00FF01A9" w:rsidP="008C5BB7">
      <w:pPr>
        <w:pStyle w:val="BulletTherapeuticclass"/>
      </w:pPr>
      <w:r w:rsidRPr="001F4BAA">
        <w:t>Inhaled LABA/corticosteroid</w:t>
      </w:r>
      <w:r w:rsidR="00812598">
        <w:fldChar w:fldCharType="begin"/>
      </w:r>
      <w:r w:rsidR="00812598">
        <w:instrText xml:space="preserve"> XE “LABA/corticosteroid, inhaler” \f “m” </w:instrText>
      </w:r>
      <w:r w:rsidR="00812598">
        <w:fldChar w:fldCharType="end"/>
      </w:r>
      <w:r w:rsidRPr="001F4BAA">
        <w:t xml:space="preserve"> combination e.g.:</w:t>
      </w:r>
    </w:p>
    <w:tbl>
      <w:tblPr>
        <w:tblpPr w:leftFromText="180" w:rightFromText="180" w:vertAnchor="text" w:horzAnchor="margin" w:tblpXSpec="right" w:tblpY="16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187C01" w:rsidRPr="001F4BAA" w14:paraId="0960AD0C" w14:textId="77777777" w:rsidTr="00187C01">
        <w:tc>
          <w:tcPr>
            <w:tcW w:w="907" w:type="dxa"/>
          </w:tcPr>
          <w:p w14:paraId="7480B9B1" w14:textId="4AA5912C" w:rsidR="00187C01" w:rsidRPr="002344FD" w:rsidRDefault="00B5324C" w:rsidP="00187C01">
            <w:pPr>
              <w:pStyle w:val="LoEText"/>
              <w:framePr w:hSpace="0" w:wrap="auto" w:vAnchor="margin" w:hAnchor="text" w:xAlign="left" w:yAlign="inline"/>
              <w:suppressOverlap w:val="0"/>
              <w:rPr>
                <w:sz w:val="14"/>
                <w:szCs w:val="14"/>
              </w:rPr>
            </w:pPr>
            <w:r w:rsidRPr="002344FD">
              <w:rPr>
                <w:sz w:val="14"/>
                <w:szCs w:val="14"/>
              </w:rPr>
              <w:t>LoE:IVb</w:t>
            </w:r>
            <w:r w:rsidR="00187C01" w:rsidRPr="002344FD">
              <w:rPr>
                <w:rStyle w:val="EndnoteReference8"/>
                <w:sz w:val="14"/>
                <w:szCs w:val="14"/>
              </w:rPr>
              <w:endnoteReference w:id="15"/>
            </w:r>
          </w:p>
        </w:tc>
      </w:tr>
    </w:tbl>
    <w:p w14:paraId="47EE391A" w14:textId="59300830" w:rsidR="00FF01A9" w:rsidRPr="001F4BAA" w:rsidRDefault="00FF01A9" w:rsidP="008C5BB7">
      <w:pPr>
        <w:pStyle w:val="BulletMedicine"/>
      </w:pPr>
      <w:r w:rsidRPr="001F4BAA">
        <w:t>Salmeterol/fluticasone, inhalation</w:t>
      </w:r>
      <w:r w:rsidR="00812598">
        <w:fldChar w:fldCharType="begin"/>
      </w:r>
      <w:r w:rsidR="00812598">
        <w:instrText xml:space="preserve"> XE “Salmeterol/fluticasone, inhaler” \f “m” </w:instrText>
      </w:r>
      <w:r w:rsidR="00812598">
        <w:fldChar w:fldCharType="end"/>
      </w:r>
      <w:r w:rsidRPr="001F4BAA">
        <w:t>, 50/250 mcg (1 puff) 12 hourly</w:t>
      </w:r>
      <w:r w:rsidR="00C56238">
        <w:t>.</w:t>
      </w:r>
      <w:r w:rsidRPr="001F4BAA">
        <w:t xml:space="preserve"> (Doctor initiated</w:t>
      </w:r>
      <w:r w:rsidR="00C56238">
        <w:t>.</w:t>
      </w:r>
      <w:r w:rsidRPr="001F4BAA">
        <w:t>)</w:t>
      </w:r>
    </w:p>
    <w:tbl>
      <w:tblPr>
        <w:tblpPr w:leftFromText="180" w:rightFromText="180" w:vertAnchor="text" w:horzAnchor="margin" w:tblpXSpec="right" w:tblpY="36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187C01" w:rsidRPr="001F4BAA" w14:paraId="53D81364" w14:textId="77777777" w:rsidTr="00187C01">
        <w:tc>
          <w:tcPr>
            <w:tcW w:w="907" w:type="dxa"/>
          </w:tcPr>
          <w:p w14:paraId="768E802C" w14:textId="4CBF1070" w:rsidR="00187C01" w:rsidRPr="002344FD" w:rsidRDefault="00187C01" w:rsidP="00187C01">
            <w:pPr>
              <w:pStyle w:val="LoEText"/>
              <w:framePr w:hSpace="0" w:wrap="auto" w:vAnchor="margin" w:hAnchor="text" w:xAlign="left" w:yAlign="inline"/>
              <w:suppressOverlap w:val="0"/>
              <w:rPr>
                <w:sz w:val="14"/>
                <w:szCs w:val="14"/>
              </w:rPr>
            </w:pPr>
            <w:r w:rsidRPr="002344FD">
              <w:rPr>
                <w:sz w:val="14"/>
                <w:szCs w:val="14"/>
              </w:rPr>
              <w:lastRenderedPageBreak/>
              <w:t>LoE:III</w:t>
            </w:r>
            <w:r w:rsidR="00B5324C" w:rsidRPr="002344FD">
              <w:rPr>
                <w:sz w:val="14"/>
                <w:szCs w:val="14"/>
              </w:rPr>
              <w:t>b</w:t>
            </w:r>
            <w:r w:rsidRPr="002344FD">
              <w:rPr>
                <w:rStyle w:val="EndnoteReference8"/>
                <w:sz w:val="14"/>
                <w:szCs w:val="14"/>
              </w:rPr>
              <w:endnoteReference w:id="16"/>
            </w:r>
          </w:p>
        </w:tc>
      </w:tr>
    </w:tbl>
    <w:p w14:paraId="3143BD13" w14:textId="77777777" w:rsidR="006C5447" w:rsidRDefault="00FF01A9" w:rsidP="00187C01">
      <w:r w:rsidRPr="00187C01">
        <w:rPr>
          <w:rStyle w:val="Strong"/>
        </w:rPr>
        <w:t>Note:</w:t>
      </w:r>
      <w:r w:rsidRPr="001F4BAA">
        <w:t xml:space="preserve"> </w:t>
      </w:r>
    </w:p>
    <w:p w14:paraId="5129BB33" w14:textId="1C44D72B" w:rsidR="00FF01A9" w:rsidRPr="001F4BAA" w:rsidRDefault="00FF01A9" w:rsidP="006C5447">
      <w:pPr>
        <w:pStyle w:val="ListParagraph"/>
      </w:pPr>
      <w:r w:rsidRPr="001F4BAA">
        <w:lastRenderedPageBreak/>
        <w:t>Fluticasone and budesonide interact with protease inhibitors. Refer all patients on protease inhibitors requiring inhaled corticosteroids for further management.</w:t>
      </w:r>
    </w:p>
    <w:p w14:paraId="4FE17FCE" w14:textId="5A2A2992" w:rsidR="00FF01A9" w:rsidRPr="001F4BAA" w:rsidRDefault="00FF01A9" w:rsidP="006C5447">
      <w:pPr>
        <w:pStyle w:val="ListParagraph"/>
      </w:pPr>
      <w:r w:rsidRPr="001F4BAA">
        <w:t xml:space="preserve">Oral corticosteroids may be required for acute exacerbations, but these have severe long-term complications and should only be used long-term if </w:t>
      </w:r>
      <w:r w:rsidR="00C263B8">
        <w:t>advised by a specialist</w:t>
      </w:r>
      <w:r w:rsidRPr="001F4BAA">
        <w:t>.</w:t>
      </w:r>
    </w:p>
    <w:p w14:paraId="3D743F03" w14:textId="16BC5943" w:rsidR="001E54AC" w:rsidRPr="006C5447" w:rsidRDefault="001E54AC" w:rsidP="006C5447">
      <w:pPr>
        <w:pStyle w:val="ListParagraph"/>
      </w:pPr>
      <w:r w:rsidRPr="006C5447">
        <w:t xml:space="preserve">Do not </w:t>
      </w:r>
      <w:r w:rsidR="005E25A0">
        <w:t>measure</w:t>
      </w:r>
      <w:r w:rsidR="005E25A0" w:rsidRPr="006C5447">
        <w:t xml:space="preserve"> </w:t>
      </w:r>
      <w:r w:rsidRPr="006C5447">
        <w:t>blood eosinophil</w:t>
      </w:r>
      <w:r w:rsidR="005E25A0">
        <w:t xml:space="preserve"> levels </w:t>
      </w:r>
      <w:r w:rsidRPr="006C5447">
        <w:t>while taking oral corticosteroids, as this may temporarily lower the eosinophil count.</w:t>
      </w:r>
    </w:p>
    <w:p w14:paraId="524A0D53" w14:textId="77777777" w:rsidR="00010049" w:rsidRDefault="00FF01A9" w:rsidP="00010049">
      <w:pPr>
        <w:pStyle w:val="Heading6"/>
      </w:pPr>
      <w:r w:rsidRPr="001F4BAA">
        <w:t xml:space="preserve">Prophylaxis against respiratory tract infections: </w:t>
      </w:r>
    </w:p>
    <w:p w14:paraId="69F1DB7C" w14:textId="0D996F28" w:rsidR="00FF01A9" w:rsidRPr="001F4BAA" w:rsidRDefault="00FF01A9" w:rsidP="002344FD">
      <w:pPr>
        <w:pStyle w:val="ICD10"/>
        <w:shd w:val="clear" w:color="auto" w:fill="F2F2F2" w:themeFill="background1" w:themeFillShade="F2"/>
        <w:tabs>
          <w:tab w:val="left" w:pos="2753"/>
        </w:tabs>
      </w:pPr>
      <w:r w:rsidRPr="001F4BAA">
        <w:t>Z25.1</w:t>
      </w:r>
    </w:p>
    <w:p w14:paraId="7E7E1483" w14:textId="1828CE38" w:rsidR="00FF01A9" w:rsidRPr="001F4BAA" w:rsidRDefault="00FF01A9" w:rsidP="008542CC">
      <w:pPr>
        <w:pStyle w:val="BulletMedicine"/>
        <w:numPr>
          <w:ilvl w:val="0"/>
          <w:numId w:val="19"/>
        </w:numPr>
      </w:pPr>
      <w:r w:rsidRPr="001F4BAA">
        <w:t>Influenza vaccination</w:t>
      </w:r>
      <w:r w:rsidR="00812598">
        <w:fldChar w:fldCharType="begin"/>
      </w:r>
      <w:r w:rsidR="00812598">
        <w:instrText xml:space="preserve"> XE "</w:instrText>
      </w:r>
      <w:r w:rsidR="00812598" w:rsidRPr="004A0AEB">
        <w:instrText>Influenza vacci</w:instrText>
      </w:r>
      <w:r w:rsidR="00812598">
        <w:instrText>ne" \f “m”</w:instrText>
      </w:r>
      <w:r w:rsidR="00812598">
        <w:fldChar w:fldCharType="end"/>
      </w:r>
      <w:r w:rsidRPr="001F4BAA">
        <w:t>, annually.</w:t>
      </w:r>
    </w:p>
    <w:p w14:paraId="45E5D815" w14:textId="77777777" w:rsidR="00FF01A9" w:rsidRPr="001F4BAA" w:rsidRDefault="00FF01A9" w:rsidP="00C32328">
      <w:pPr>
        <w:pStyle w:val="Heading5"/>
      </w:pPr>
      <w:r w:rsidRPr="001F4BAA">
        <w:t>REFERRAL</w:t>
      </w:r>
    </w:p>
    <w:p w14:paraId="1D9F6616" w14:textId="77777777" w:rsidR="00FF01A9" w:rsidRPr="001F4BAA" w:rsidRDefault="00FF01A9" w:rsidP="00010049">
      <w:pPr>
        <w:pStyle w:val="ListParagraph"/>
      </w:pPr>
      <w:r w:rsidRPr="001F4BAA">
        <w:t>Poor response to above therapy, for further investigations and adjustment of treatment.</w:t>
      </w:r>
    </w:p>
    <w:p w14:paraId="071C2646" w14:textId="77777777" w:rsidR="00FF01A9" w:rsidRPr="001F4BAA" w:rsidRDefault="00FF01A9" w:rsidP="00010049">
      <w:pPr>
        <w:pStyle w:val="ListParagraph"/>
      </w:pPr>
      <w:r w:rsidRPr="001F4BAA">
        <w:t>Patients on protease inhibitors, requiring inhaled corticosteroids.</w:t>
      </w:r>
    </w:p>
    <w:p w14:paraId="5DF4FB75" w14:textId="634A19D1" w:rsidR="00010049" w:rsidRDefault="00010049">
      <w:pPr>
        <w:spacing w:before="0" w:after="0"/>
        <w:jc w:val="left"/>
        <w:rPr>
          <w:lang w:val="en-ZA"/>
        </w:rPr>
      </w:pPr>
    </w:p>
    <w:p w14:paraId="1A5FA1E8" w14:textId="487D6536" w:rsidR="00FF01A9" w:rsidRPr="006B5635" w:rsidRDefault="006B5635" w:rsidP="006B5635">
      <w:pPr>
        <w:pStyle w:val="Heading2"/>
      </w:pPr>
      <w:bookmarkStart w:id="30" w:name="_Toc57837002"/>
      <w:bookmarkStart w:id="31" w:name="_Toc57838378"/>
      <w:bookmarkStart w:id="32" w:name="_Toc57838474"/>
      <w:bookmarkStart w:id="33" w:name="_Toc57839891"/>
      <w:bookmarkStart w:id="34" w:name="_Toc57840028"/>
      <w:bookmarkStart w:id="35" w:name="_Toc177054026"/>
      <w:r w:rsidRPr="006B5635">
        <w:t>Stridor (upper airways obstruction</w:t>
      </w:r>
      <w:r w:rsidR="00FF01A9" w:rsidRPr="006B5635">
        <w:t>)</w:t>
      </w:r>
      <w:bookmarkEnd w:id="30"/>
      <w:bookmarkEnd w:id="31"/>
      <w:bookmarkEnd w:id="32"/>
      <w:bookmarkEnd w:id="33"/>
      <w:bookmarkEnd w:id="34"/>
      <w:bookmarkEnd w:id="35"/>
      <w:r w:rsidR="001132AD">
        <w:fldChar w:fldCharType="begin"/>
      </w:r>
      <w:r w:rsidR="001132AD">
        <w:instrText xml:space="preserve"> XE "</w:instrText>
      </w:r>
      <w:r w:rsidR="001132AD" w:rsidRPr="004A0AEB">
        <w:instrText>Stridor (upper airways obstruction)</w:instrText>
      </w:r>
      <w:r w:rsidR="001132AD">
        <w:instrText xml:space="preserve">" </w:instrText>
      </w:r>
      <w:r w:rsidR="001132AD" w:rsidRPr="001132AD">
        <w:instrText xml:space="preserve">\f “c” </w:instrText>
      </w:r>
      <w:r w:rsidR="001132AD">
        <w:fldChar w:fldCharType="end"/>
      </w:r>
    </w:p>
    <w:p w14:paraId="61D2F20F" w14:textId="77777777" w:rsidR="00FF01A9" w:rsidRPr="00010049" w:rsidRDefault="00FF01A9" w:rsidP="00FF01A9">
      <w:pPr>
        <w:pStyle w:val="NoSpacing"/>
        <w:rPr>
          <w:sz w:val="8"/>
          <w:szCs w:val="8"/>
        </w:rPr>
      </w:pPr>
    </w:p>
    <w:p w14:paraId="749D0CCD" w14:textId="2E788DB6" w:rsidR="00FF01A9" w:rsidRPr="00A907C2" w:rsidRDefault="006B5635" w:rsidP="00A907C2">
      <w:pPr>
        <w:pStyle w:val="Heading3"/>
      </w:pPr>
      <w:bookmarkStart w:id="36" w:name="_Toc57838379"/>
      <w:bookmarkStart w:id="37" w:name="_Toc57838475"/>
      <w:bookmarkStart w:id="38" w:name="_Toc57839892"/>
      <w:bookmarkStart w:id="39" w:name="_Toc57840029"/>
      <w:bookmarkStart w:id="40" w:name="_Toc177054027"/>
      <w:r w:rsidRPr="00A907C2">
        <w:t>Croup (laryngotracheo</w:t>
      </w:r>
      <w:r w:rsidR="00A907C2" w:rsidRPr="00A907C2">
        <w:t xml:space="preserve"> </w:t>
      </w:r>
      <w:r w:rsidRPr="00A907C2">
        <w:t>bronchitis) in children</w:t>
      </w:r>
      <w:bookmarkEnd w:id="36"/>
      <w:bookmarkEnd w:id="37"/>
      <w:bookmarkEnd w:id="38"/>
      <w:bookmarkEnd w:id="39"/>
      <w:bookmarkEnd w:id="40"/>
      <w:r w:rsidR="001132AD">
        <w:fldChar w:fldCharType="begin"/>
      </w:r>
      <w:r w:rsidR="001132AD">
        <w:instrText xml:space="preserve"> XE "</w:instrText>
      </w:r>
      <w:r w:rsidR="001132AD" w:rsidRPr="004A0AEB">
        <w:instrText>Croup (laryngotracheo bronchitis) in children</w:instrText>
      </w:r>
      <w:r w:rsidR="001132AD">
        <w:instrText xml:space="preserve">" </w:instrText>
      </w:r>
      <w:r w:rsidR="001132AD" w:rsidRPr="001132AD">
        <w:instrText xml:space="preserve">\f “c” </w:instrText>
      </w:r>
      <w:r w:rsidR="001132AD">
        <w:fldChar w:fldCharType="end"/>
      </w:r>
    </w:p>
    <w:p w14:paraId="48010F21" w14:textId="77777777" w:rsidR="00FF01A9" w:rsidRPr="001F4BAA" w:rsidRDefault="00FF01A9" w:rsidP="002344FD">
      <w:pPr>
        <w:pStyle w:val="ICD10"/>
        <w:shd w:val="clear" w:color="auto" w:fill="F2F2F2" w:themeFill="background1" w:themeFillShade="F2"/>
        <w:tabs>
          <w:tab w:val="left" w:pos="2753"/>
        </w:tabs>
      </w:pPr>
      <w:r w:rsidRPr="001F4BAA">
        <w:t>J05.0-1</w:t>
      </w:r>
    </w:p>
    <w:p w14:paraId="18ACC5AC" w14:textId="77777777" w:rsidR="00FF01A9" w:rsidRPr="001F4BAA" w:rsidRDefault="00FF01A9" w:rsidP="00EB6F7C">
      <w:pPr>
        <w:pStyle w:val="Heading5"/>
      </w:pPr>
      <w:r w:rsidRPr="001F4BAA">
        <w:t xml:space="preserve">DESCRIPTION </w:t>
      </w:r>
    </w:p>
    <w:p w14:paraId="372805DE" w14:textId="77777777" w:rsidR="00FF01A9" w:rsidRPr="001F4BAA" w:rsidRDefault="00FF01A9" w:rsidP="00FF01A9">
      <w:pPr>
        <w:pStyle w:val="NoSpacing"/>
      </w:pPr>
      <w:r w:rsidRPr="001F4BAA">
        <w:t>Croup is a common cause of potentially life-threatening airway obstruction in childhood. It is characterised by inflammation of the larynx, trachea and bronchi. Most common causative pathogens are viruses, including measles.</w:t>
      </w:r>
    </w:p>
    <w:p w14:paraId="1575D9D6" w14:textId="22B6F12E" w:rsidR="00FF01A9" w:rsidRPr="001F4BAA" w:rsidRDefault="00FF01A9" w:rsidP="00FF01A9">
      <w:pPr>
        <w:pStyle w:val="NoSpacing"/>
      </w:pPr>
      <w:r w:rsidRPr="001F4BAA">
        <w:t>A clinical diagnosis of viral croup can be made if a previously healthy child develops progressive</w:t>
      </w:r>
      <w:r w:rsidR="00361029">
        <w:t>,</w:t>
      </w:r>
      <w:r w:rsidRPr="001F4BAA">
        <w:t xml:space="preserve"> inspiratory airway obstruction with stridor and a barking cough, 1</w:t>
      </w:r>
      <w:r w:rsidR="00C56238" w:rsidRPr="00C56238">
        <w:t xml:space="preserve"> </w:t>
      </w:r>
      <w:r w:rsidR="00C56238">
        <w:t xml:space="preserve">to </w:t>
      </w:r>
      <w:r w:rsidRPr="001F4BAA">
        <w:t>2 days after the onset of an upper respiratory tract infection. A mild fever may be present.</w:t>
      </w:r>
    </w:p>
    <w:p w14:paraId="6532A575" w14:textId="77777777" w:rsidR="00FF01A9" w:rsidRPr="001F4BAA" w:rsidRDefault="00FF01A9" w:rsidP="00FF01A9">
      <w:pPr>
        <w:pStyle w:val="NoSpacing"/>
      </w:pPr>
      <w:r w:rsidRPr="001F4BAA">
        <w:t>Suspect foreign body aspiration if there is a sudden onset of stridor in an otherwise healthy child.</w:t>
      </w:r>
    </w:p>
    <w:p w14:paraId="6B750671" w14:textId="77777777" w:rsidR="00FF01A9" w:rsidRPr="001F4BAA" w:rsidRDefault="00FF01A9" w:rsidP="00FF01A9">
      <w:pPr>
        <w:pStyle w:val="NoSpacing"/>
      </w:pPr>
      <w:r w:rsidRPr="001F4BAA">
        <w:t>Suspect epiglottitis if the following are present in addition to stridor:</w:t>
      </w:r>
    </w:p>
    <w:tbl>
      <w:tblPr>
        <w:tblW w:w="0" w:type="auto"/>
        <w:tblInd w:w="-113" w:type="dxa"/>
        <w:tblLook w:val="04A0" w:firstRow="1" w:lastRow="0" w:firstColumn="1" w:lastColumn="0" w:noHBand="0" w:noVBand="1"/>
      </w:tblPr>
      <w:tblGrid>
        <w:gridCol w:w="3400"/>
        <w:gridCol w:w="3402"/>
      </w:tblGrid>
      <w:tr w:rsidR="00FF01A9" w:rsidRPr="001F4BAA" w14:paraId="2C76CE8F" w14:textId="77777777" w:rsidTr="00010049">
        <w:tc>
          <w:tcPr>
            <w:tcW w:w="3453" w:type="dxa"/>
          </w:tcPr>
          <w:p w14:paraId="0384FD1D" w14:textId="77777777" w:rsidR="00FF01A9" w:rsidRPr="001F4BAA" w:rsidRDefault="00FF01A9" w:rsidP="00010049">
            <w:pPr>
              <w:pStyle w:val="ListParagraph"/>
            </w:pPr>
            <w:r w:rsidRPr="001F4BAA">
              <w:t>very ill child</w:t>
            </w:r>
          </w:p>
        </w:tc>
        <w:tc>
          <w:tcPr>
            <w:tcW w:w="3453" w:type="dxa"/>
          </w:tcPr>
          <w:p w14:paraId="1FEEEFEB" w14:textId="77777777" w:rsidR="00FF01A9" w:rsidRPr="001F4BAA" w:rsidRDefault="00FF01A9" w:rsidP="00010049">
            <w:pPr>
              <w:pStyle w:val="ListParagraph"/>
            </w:pPr>
            <w:r w:rsidRPr="001F4BAA">
              <w:t>drooling saliva</w:t>
            </w:r>
          </w:p>
        </w:tc>
      </w:tr>
      <w:tr w:rsidR="00FF01A9" w:rsidRPr="001F4BAA" w14:paraId="7E25560D" w14:textId="77777777" w:rsidTr="00010049">
        <w:tc>
          <w:tcPr>
            <w:tcW w:w="3453" w:type="dxa"/>
          </w:tcPr>
          <w:p w14:paraId="64DF02AA" w14:textId="77777777" w:rsidR="00FF01A9" w:rsidRPr="001F4BAA" w:rsidRDefault="00FF01A9" w:rsidP="00010049">
            <w:pPr>
              <w:pStyle w:val="ListParagraph"/>
            </w:pPr>
            <w:r w:rsidRPr="001F4BAA">
              <w:t>high fever</w:t>
            </w:r>
          </w:p>
        </w:tc>
        <w:tc>
          <w:tcPr>
            <w:tcW w:w="3453" w:type="dxa"/>
          </w:tcPr>
          <w:p w14:paraId="5A760EDF" w14:textId="77777777" w:rsidR="00FF01A9" w:rsidRPr="001F4BAA" w:rsidRDefault="00FF01A9" w:rsidP="00010049">
            <w:pPr>
              <w:pStyle w:val="ListParagraph"/>
            </w:pPr>
            <w:r w:rsidRPr="001F4BAA">
              <w:t>unable to swallow</w:t>
            </w:r>
          </w:p>
        </w:tc>
      </w:tr>
      <w:tr w:rsidR="00FF01A9" w:rsidRPr="001F4BAA" w14:paraId="428204B3" w14:textId="77777777" w:rsidTr="00010049">
        <w:tc>
          <w:tcPr>
            <w:tcW w:w="3453" w:type="dxa"/>
          </w:tcPr>
          <w:p w14:paraId="79633724" w14:textId="77777777" w:rsidR="00FF01A9" w:rsidRPr="001F4BAA" w:rsidRDefault="00FF01A9" w:rsidP="00010049">
            <w:pPr>
              <w:pStyle w:val="ListParagraph"/>
            </w:pPr>
            <w:r w:rsidRPr="001F4BAA">
              <w:t>sitting upright with head held erect</w:t>
            </w:r>
          </w:p>
        </w:tc>
        <w:tc>
          <w:tcPr>
            <w:tcW w:w="3453" w:type="dxa"/>
          </w:tcPr>
          <w:p w14:paraId="6E475B2F" w14:textId="77777777" w:rsidR="00FF01A9" w:rsidRPr="001F4BAA" w:rsidRDefault="00FF01A9" w:rsidP="00010049">
            <w:pPr>
              <w:pStyle w:val="NoSpacing"/>
            </w:pPr>
          </w:p>
        </w:tc>
      </w:tr>
    </w:tbl>
    <w:p w14:paraId="0A2658FC" w14:textId="77777777" w:rsidR="00FF01A9" w:rsidRPr="001F4BAA" w:rsidRDefault="00FF01A9" w:rsidP="00010049">
      <w:pPr>
        <w:pStyle w:val="Heading6"/>
      </w:pPr>
      <w:r w:rsidRPr="001F4BAA">
        <w:t>Assessment of the severity of airway obstruction and management in croup</w:t>
      </w:r>
    </w:p>
    <w:tbl>
      <w:tblPr>
        <w:tblStyle w:val="SamplePHCTable"/>
        <w:tblW w:w="0" w:type="auto"/>
        <w:tblLook w:val="0000" w:firstRow="0" w:lastRow="0" w:firstColumn="0" w:lastColumn="0" w:noHBand="0" w:noVBand="0"/>
      </w:tblPr>
      <w:tblGrid>
        <w:gridCol w:w="2572"/>
        <w:gridCol w:w="4107"/>
      </w:tblGrid>
      <w:tr w:rsidR="00FF01A9" w:rsidRPr="001F4BAA" w14:paraId="722C8D55" w14:textId="77777777" w:rsidTr="00010049">
        <w:tc>
          <w:tcPr>
            <w:tcW w:w="2660" w:type="dxa"/>
          </w:tcPr>
          <w:p w14:paraId="7C30667A" w14:textId="1F79DD7F" w:rsidR="00FF01A9" w:rsidRPr="00766FC0" w:rsidRDefault="00FF01A9" w:rsidP="004A7096">
            <w:pPr>
              <w:pStyle w:val="NoSpacing"/>
              <w:rPr>
                <w:rStyle w:val="Strong"/>
              </w:rPr>
            </w:pPr>
            <w:r w:rsidRPr="00766FC0">
              <w:rPr>
                <w:rStyle w:val="Strong"/>
              </w:rPr>
              <w:t xml:space="preserve">Grade 1 </w:t>
            </w:r>
          </w:p>
          <w:p w14:paraId="67D85998" w14:textId="77777777" w:rsidR="00FF01A9" w:rsidRPr="001F4BAA" w:rsidRDefault="00FF01A9" w:rsidP="004A7096">
            <w:pPr>
              <w:pStyle w:val="NoSpacing"/>
            </w:pPr>
            <w:r w:rsidRPr="001F4BAA">
              <w:t>Inspiratory stridor only</w:t>
            </w:r>
          </w:p>
        </w:tc>
        <w:tc>
          <w:tcPr>
            <w:tcW w:w="4246" w:type="dxa"/>
          </w:tcPr>
          <w:p w14:paraId="71F1FF0C" w14:textId="236C7B5A" w:rsidR="00FF01A9" w:rsidRPr="001F4BAA" w:rsidRDefault="00FF01A9" w:rsidP="00766FC0">
            <w:pPr>
              <w:pStyle w:val="BulletTherapeuticclass"/>
            </w:pPr>
            <w:r w:rsidRPr="001F4BAA">
              <w:t>Corticosteroids (intermediate-acting)</w:t>
            </w:r>
            <w:r w:rsidR="00812598">
              <w:fldChar w:fldCharType="begin"/>
            </w:r>
            <w:r w:rsidR="00812598">
              <w:instrText xml:space="preserve"> XE "Corticosteroids (intermediate-acting)" \f "m" </w:instrText>
            </w:r>
            <w:r w:rsidR="00812598">
              <w:fldChar w:fldCharType="end"/>
            </w:r>
            <w:r w:rsidRPr="001F4BAA">
              <w:t xml:space="preserve"> e.g.:</w:t>
            </w:r>
          </w:p>
          <w:p w14:paraId="6BD25F9A" w14:textId="5F4F4016" w:rsidR="00FF01A9" w:rsidRPr="001F4BAA" w:rsidRDefault="00FF01A9" w:rsidP="00C024DD">
            <w:pPr>
              <w:pStyle w:val="BulletMedicine"/>
            </w:pPr>
            <w:r w:rsidRPr="001F4BAA">
              <w:t>Prednisone, oral</w:t>
            </w:r>
            <w:r w:rsidR="00812598">
              <w:fldChar w:fldCharType="begin"/>
            </w:r>
            <w:r w:rsidR="00812598">
              <w:instrText xml:space="preserve"> XE "Prednisone, oral" \f "m" </w:instrText>
            </w:r>
            <w:r w:rsidR="00812598">
              <w:fldChar w:fldCharType="end"/>
            </w:r>
            <w:r w:rsidRPr="001F4BAA">
              <w:t>, 1</w:t>
            </w:r>
            <w:r w:rsidR="00C56238">
              <w:t xml:space="preserve"> to </w:t>
            </w:r>
            <w:r w:rsidRPr="001F4BAA">
              <w:t>2</w:t>
            </w:r>
            <w:r w:rsidR="005352BC">
              <w:t xml:space="preserve"> </w:t>
            </w:r>
            <w:r w:rsidRPr="001F4BAA">
              <w:t>mg/kg, single dose.</w:t>
            </w:r>
          </w:p>
          <w:p w14:paraId="00AA74AF" w14:textId="77777777" w:rsidR="00FF01A9" w:rsidRPr="001F4BAA" w:rsidRDefault="00FF01A9" w:rsidP="00C024DD">
            <w:pPr>
              <w:pStyle w:val="BulletDirectionsInstructions"/>
            </w:pPr>
            <w:r w:rsidRPr="001F4BAA">
              <w:t>Do not give if measles or herpes infection present.</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FF01A9" w:rsidRPr="001F4BAA" w14:paraId="2A32E1E1" w14:textId="77777777" w:rsidTr="00C024DD">
              <w:tc>
                <w:tcPr>
                  <w:tcW w:w="907" w:type="dxa"/>
                </w:tcPr>
                <w:p w14:paraId="264B1A0B" w14:textId="77777777" w:rsidR="00FF01A9" w:rsidRPr="002344FD" w:rsidRDefault="00FF01A9" w:rsidP="00C024DD">
                  <w:pPr>
                    <w:pStyle w:val="LoEText"/>
                    <w:framePr w:hSpace="0" w:wrap="auto" w:vAnchor="margin" w:hAnchor="text" w:xAlign="left" w:yAlign="inline"/>
                    <w:suppressOverlap w:val="0"/>
                    <w:rPr>
                      <w:sz w:val="14"/>
                      <w:szCs w:val="14"/>
                    </w:rPr>
                  </w:pPr>
                  <w:r w:rsidRPr="002344FD">
                    <w:rPr>
                      <w:sz w:val="14"/>
                      <w:szCs w:val="14"/>
                    </w:rPr>
                    <w:t>LoE:III</w:t>
                  </w:r>
                  <w:r w:rsidRPr="002344FD">
                    <w:rPr>
                      <w:rStyle w:val="EndnoteReference8"/>
                      <w:sz w:val="14"/>
                      <w:szCs w:val="14"/>
                    </w:rPr>
                    <w:endnoteReference w:id="17"/>
                  </w:r>
                </w:p>
              </w:tc>
            </w:tr>
          </w:tbl>
          <w:p w14:paraId="7D103775" w14:textId="77777777" w:rsidR="00FF01A9" w:rsidRPr="001F4BAA" w:rsidRDefault="00FF01A9" w:rsidP="00C024DD">
            <w:pPr>
              <w:pStyle w:val="ListParagraph"/>
            </w:pPr>
            <w:r w:rsidRPr="001F4BAA">
              <w:t>Refer.</w:t>
            </w:r>
          </w:p>
        </w:tc>
      </w:tr>
      <w:tr w:rsidR="00FF01A9" w:rsidRPr="001F4BAA" w14:paraId="284461CB" w14:textId="77777777" w:rsidTr="00010049">
        <w:tc>
          <w:tcPr>
            <w:tcW w:w="2660" w:type="dxa"/>
          </w:tcPr>
          <w:p w14:paraId="3236E7D9" w14:textId="2133134D" w:rsidR="00FF01A9" w:rsidRPr="00766FC0" w:rsidRDefault="00FF01A9" w:rsidP="004A7096">
            <w:pPr>
              <w:pStyle w:val="NoSpacing"/>
              <w:rPr>
                <w:rStyle w:val="Strong"/>
              </w:rPr>
            </w:pPr>
            <w:r w:rsidRPr="00766FC0">
              <w:rPr>
                <w:rStyle w:val="Strong"/>
              </w:rPr>
              <w:t xml:space="preserve">Grade 2 </w:t>
            </w:r>
          </w:p>
          <w:p w14:paraId="7F692DF2" w14:textId="77777777" w:rsidR="00FF01A9" w:rsidRPr="001F4BAA" w:rsidRDefault="00FF01A9" w:rsidP="004A7096">
            <w:pPr>
              <w:pStyle w:val="NoSpacing"/>
            </w:pPr>
            <w:r w:rsidRPr="001F4BAA">
              <w:t>Inspiratory and expiratory stridor</w:t>
            </w:r>
          </w:p>
        </w:tc>
        <w:tc>
          <w:tcPr>
            <w:tcW w:w="4246" w:type="dxa"/>
          </w:tcPr>
          <w:p w14:paraId="01148D03" w14:textId="062AA4B3" w:rsidR="00FF01A9" w:rsidRPr="001F4BAA" w:rsidRDefault="00FF01A9" w:rsidP="00766FC0">
            <w:pPr>
              <w:pStyle w:val="BulletTherapeuticclass"/>
            </w:pPr>
            <w:r w:rsidRPr="001F4BAA">
              <w:t>Corticosteroids (intermediate-acting)</w:t>
            </w:r>
            <w:r w:rsidR="00812598">
              <w:fldChar w:fldCharType="begin"/>
            </w:r>
            <w:r w:rsidR="00812598">
              <w:instrText xml:space="preserve"> XE "Corticosteroids (intermediate-acting)" \f "m" </w:instrText>
            </w:r>
            <w:r w:rsidR="00812598">
              <w:fldChar w:fldCharType="end"/>
            </w:r>
            <w:r w:rsidRPr="001F4BAA">
              <w:t xml:space="preserve"> e.g.:</w:t>
            </w:r>
          </w:p>
          <w:tbl>
            <w:tblPr>
              <w:tblpPr w:leftFromText="180" w:rightFromText="180" w:vertAnchor="text" w:tblpXSpec="right" w:tblpY="9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5260B5" w:rsidRPr="001F4BAA" w14:paraId="53315D3A" w14:textId="77777777" w:rsidTr="005260B5">
              <w:tc>
                <w:tcPr>
                  <w:tcW w:w="907" w:type="dxa"/>
                </w:tcPr>
                <w:p w14:paraId="5E39319E" w14:textId="77777777" w:rsidR="005260B5" w:rsidRPr="002344FD" w:rsidRDefault="005260B5" w:rsidP="005260B5">
                  <w:pPr>
                    <w:pStyle w:val="LoEText"/>
                    <w:framePr w:hSpace="0" w:wrap="auto" w:vAnchor="margin" w:hAnchor="text" w:xAlign="left" w:yAlign="inline"/>
                    <w:suppressOverlap w:val="0"/>
                    <w:rPr>
                      <w:sz w:val="14"/>
                      <w:szCs w:val="14"/>
                    </w:rPr>
                  </w:pPr>
                  <w:r w:rsidRPr="002344FD">
                    <w:rPr>
                      <w:sz w:val="14"/>
                      <w:szCs w:val="14"/>
                    </w:rPr>
                    <w:t>LoE:III</w:t>
                  </w:r>
                  <w:r w:rsidRPr="002344FD">
                    <w:rPr>
                      <w:rStyle w:val="EndnoteReference8"/>
                      <w:sz w:val="14"/>
                      <w:szCs w:val="14"/>
                    </w:rPr>
                    <w:endnoteReference w:id="18"/>
                  </w:r>
                </w:p>
              </w:tc>
            </w:tr>
          </w:tbl>
          <w:p w14:paraId="40C40201" w14:textId="7E5A65AE" w:rsidR="00FF01A9" w:rsidRPr="001F4BAA" w:rsidRDefault="00FF01A9" w:rsidP="00C024DD">
            <w:pPr>
              <w:pStyle w:val="BulletMedicine"/>
            </w:pPr>
            <w:r w:rsidRPr="001F4BAA">
              <w:t>Prednisone, oral</w:t>
            </w:r>
            <w:r w:rsidR="00812598">
              <w:fldChar w:fldCharType="begin"/>
            </w:r>
            <w:r w:rsidR="00812598">
              <w:instrText xml:space="preserve"> XE "Prednisone, oral" \f "m" </w:instrText>
            </w:r>
            <w:r w:rsidR="00812598">
              <w:fldChar w:fldCharType="end"/>
            </w:r>
            <w:r w:rsidRPr="001F4BAA">
              <w:t>, 1</w:t>
            </w:r>
            <w:r w:rsidR="00C56238">
              <w:t xml:space="preserve"> to </w:t>
            </w:r>
            <w:r w:rsidRPr="001F4BAA">
              <w:t>2 mg/kg, immediately as a single dose.</w:t>
            </w:r>
          </w:p>
          <w:p w14:paraId="3A8DBF1C" w14:textId="2E1E5029" w:rsidR="00FF01A9" w:rsidRPr="001F4BAA" w:rsidRDefault="00746546" w:rsidP="008072EC">
            <w:pPr>
              <w:pStyle w:val="BulletMedicine"/>
            </w:pPr>
            <w:r>
              <w:t>Adrenaline</w:t>
            </w:r>
            <w:r w:rsidR="008072EC">
              <w:t xml:space="preserve"> </w:t>
            </w:r>
            <w:r w:rsidR="008072EC" w:rsidRPr="008072EC">
              <w:t>(epinephrine)</w:t>
            </w:r>
            <w:r w:rsidR="00FF01A9" w:rsidRPr="001F4BAA">
              <w:t>, 1:1000 diluted in sodium chloride 0.9%, nebulised, immediately.</w:t>
            </w:r>
          </w:p>
          <w:p w14:paraId="6AE97620" w14:textId="4B73868D" w:rsidR="00FF01A9" w:rsidRPr="001F4BAA" w:rsidRDefault="00FF01A9" w:rsidP="005260B5">
            <w:pPr>
              <w:pStyle w:val="BulletDirectionsInstructions"/>
            </w:pPr>
            <w:r w:rsidRPr="001F4BAA">
              <w:t xml:space="preserve">Dilute 1 mL of 1:1000 </w:t>
            </w:r>
            <w:r w:rsidR="00746546">
              <w:t>adrenaline</w:t>
            </w:r>
            <w:r w:rsidR="00746546" w:rsidRPr="001F4BAA">
              <w:t xml:space="preserve"> </w:t>
            </w:r>
            <w:r w:rsidRPr="001F4BAA">
              <w:t>with 1 mL sodium chloride 0.9%.</w:t>
            </w:r>
          </w:p>
          <w:p w14:paraId="1965AB7A" w14:textId="6CFBAE4F" w:rsidR="00FF01A9" w:rsidRPr="001F4BAA" w:rsidRDefault="00FF01A9" w:rsidP="005260B5">
            <w:pPr>
              <w:pStyle w:val="BulletDirectionsInstructions"/>
            </w:pPr>
            <w:r w:rsidRPr="001F4BAA">
              <w:lastRenderedPageBreak/>
              <w:t>Repeat every 15</w:t>
            </w:r>
            <w:r w:rsidR="00C56238">
              <w:t xml:space="preserve"> to </w:t>
            </w:r>
            <w:r w:rsidRPr="001F4BAA">
              <w:t>30 minutes until expiratory stridor disappears.</w:t>
            </w:r>
          </w:p>
          <w:p w14:paraId="6C7038EA" w14:textId="77777777" w:rsidR="00FF01A9" w:rsidRPr="001F4BAA" w:rsidRDefault="00FF01A9" w:rsidP="005260B5">
            <w:pPr>
              <w:pStyle w:val="ListParagraph"/>
            </w:pPr>
            <w:r w:rsidRPr="001F4BAA">
              <w:t>Refer.</w:t>
            </w:r>
          </w:p>
        </w:tc>
      </w:tr>
      <w:tr w:rsidR="00FF01A9" w:rsidRPr="001F4BAA" w14:paraId="1B1D2443" w14:textId="77777777" w:rsidTr="00010049">
        <w:tc>
          <w:tcPr>
            <w:tcW w:w="2660" w:type="dxa"/>
          </w:tcPr>
          <w:p w14:paraId="62687B17" w14:textId="0D296C47" w:rsidR="00FF01A9" w:rsidRPr="00766FC0" w:rsidRDefault="00FF01A9" w:rsidP="002344FD">
            <w:pPr>
              <w:pStyle w:val="NoSpacing"/>
              <w:jc w:val="left"/>
              <w:rPr>
                <w:rStyle w:val="Strong"/>
                <w:sz w:val="18"/>
                <w:lang w:val="en-GB"/>
              </w:rPr>
            </w:pPr>
            <w:r w:rsidRPr="00766FC0">
              <w:rPr>
                <w:rStyle w:val="Strong"/>
              </w:rPr>
              <w:lastRenderedPageBreak/>
              <w:t>Grade 3</w:t>
            </w:r>
          </w:p>
          <w:p w14:paraId="5D471318" w14:textId="77777777" w:rsidR="00FF01A9" w:rsidRPr="001F4BAA" w:rsidRDefault="00FF01A9" w:rsidP="002344FD">
            <w:pPr>
              <w:pStyle w:val="NoSpacing"/>
              <w:jc w:val="left"/>
            </w:pPr>
            <w:r w:rsidRPr="001F4BAA">
              <w:t>Inspiratory and expiratory stridor with active expiration, using abdominal muscles</w:t>
            </w:r>
          </w:p>
        </w:tc>
        <w:tc>
          <w:tcPr>
            <w:tcW w:w="4246" w:type="dxa"/>
          </w:tcPr>
          <w:p w14:paraId="0AB47596" w14:textId="77777777" w:rsidR="00FF01A9" w:rsidRPr="001F4BAA" w:rsidRDefault="00FF01A9" w:rsidP="005260B5">
            <w:pPr>
              <w:pStyle w:val="ListParagraph"/>
            </w:pPr>
            <w:r w:rsidRPr="001F4BAA">
              <w:t>Treat as above.</w:t>
            </w:r>
          </w:p>
          <w:p w14:paraId="480FA441" w14:textId="77777777" w:rsidR="00FF01A9" w:rsidRPr="001F4BAA" w:rsidRDefault="00FF01A9" w:rsidP="005260B5">
            <w:pPr>
              <w:pStyle w:val="ListParagraph"/>
            </w:pPr>
            <w:r w:rsidRPr="001F4BAA">
              <w:t xml:space="preserve">If no improvement within one hour, refer </w:t>
            </w:r>
            <w:r w:rsidRPr="00766FC0">
              <w:rPr>
                <w:rStyle w:val="Strong"/>
              </w:rPr>
              <w:t>urgently</w:t>
            </w:r>
            <w:r w:rsidRPr="001F4BAA">
              <w:t xml:space="preserve"> (intubate before referral if possible).</w:t>
            </w:r>
          </w:p>
        </w:tc>
      </w:tr>
      <w:tr w:rsidR="00FF01A9" w:rsidRPr="001F4BAA" w14:paraId="39C54861" w14:textId="77777777" w:rsidTr="00010049">
        <w:tc>
          <w:tcPr>
            <w:tcW w:w="2660" w:type="dxa"/>
          </w:tcPr>
          <w:p w14:paraId="4804DF3A" w14:textId="092B9B37" w:rsidR="00FF01A9" w:rsidRPr="00766FC0" w:rsidRDefault="00FF01A9" w:rsidP="002344FD">
            <w:pPr>
              <w:pStyle w:val="NoSpacing"/>
              <w:jc w:val="left"/>
              <w:rPr>
                <w:rStyle w:val="Strong"/>
                <w:sz w:val="18"/>
                <w:lang w:val="en-GB"/>
              </w:rPr>
            </w:pPr>
            <w:r w:rsidRPr="00766FC0">
              <w:rPr>
                <w:rStyle w:val="Strong"/>
              </w:rPr>
              <w:t>Grade 4</w:t>
            </w:r>
          </w:p>
          <w:p w14:paraId="7DF49972" w14:textId="77777777" w:rsidR="00FF01A9" w:rsidRPr="001F4BAA" w:rsidRDefault="00FF01A9" w:rsidP="002344FD">
            <w:pPr>
              <w:pStyle w:val="NoSpacing"/>
              <w:jc w:val="left"/>
            </w:pPr>
            <w:r w:rsidRPr="001F4BAA">
              <w:t>Cyanosis, apathy, marked retractions, impending apnoea</w:t>
            </w:r>
          </w:p>
        </w:tc>
        <w:tc>
          <w:tcPr>
            <w:tcW w:w="4246" w:type="dxa"/>
          </w:tcPr>
          <w:p w14:paraId="2BAFA167" w14:textId="77777777" w:rsidR="00FF01A9" w:rsidRPr="001F4BAA" w:rsidRDefault="00FF01A9" w:rsidP="005260B5">
            <w:pPr>
              <w:pStyle w:val="ListParagraph"/>
            </w:pPr>
            <w:r w:rsidRPr="001F4BAA">
              <w:t>Intubate (if not possible give treatment as above).</w:t>
            </w:r>
          </w:p>
          <w:p w14:paraId="0BCFB0FB" w14:textId="77777777" w:rsidR="00FF01A9" w:rsidRPr="001F4BAA" w:rsidRDefault="00FF01A9" w:rsidP="005260B5">
            <w:pPr>
              <w:pStyle w:val="ListParagraph"/>
            </w:pPr>
            <w:r w:rsidRPr="001F4BAA">
              <w:t xml:space="preserve">Refer </w:t>
            </w:r>
            <w:r w:rsidRPr="00766FC0">
              <w:rPr>
                <w:rStyle w:val="Strong"/>
              </w:rPr>
              <w:t>urgently</w:t>
            </w:r>
            <w:r w:rsidRPr="001F4BAA">
              <w:t>.</w:t>
            </w:r>
          </w:p>
        </w:tc>
      </w:tr>
    </w:tbl>
    <w:p w14:paraId="607677BF" w14:textId="77777777" w:rsidR="00FF01A9" w:rsidRPr="001F4BAA" w:rsidRDefault="00FF01A9" w:rsidP="00EB6F7C">
      <w:pPr>
        <w:pStyle w:val="Heading5"/>
      </w:pPr>
      <w:r w:rsidRPr="001F4BAA">
        <w:t>GENERAL MEASURES</w:t>
      </w:r>
    </w:p>
    <w:p w14:paraId="3BDCB14E" w14:textId="77777777" w:rsidR="00FF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agraph"/>
      </w:pPr>
      <w:r w:rsidRPr="001F4BAA">
        <w:t>Continue oral fluids</w:t>
      </w:r>
      <w:r w:rsidR="00947D22">
        <w:t xml:space="preserve"> </w:t>
      </w:r>
      <w:r w:rsidR="001C2BB0">
        <w:t xml:space="preserve">provided </w:t>
      </w:r>
      <w:r w:rsidR="00947D22">
        <w:t xml:space="preserve">that </w:t>
      </w:r>
      <w:r w:rsidR="001C2BB0">
        <w:t>patient is able to swallow</w:t>
      </w:r>
      <w:r w:rsidRPr="001F4BAA">
        <w:t>.</w:t>
      </w:r>
    </w:p>
    <w:p w14:paraId="13B8BEAE" w14:textId="77777777" w:rsidR="00FF01A9" w:rsidRPr="001F4BAA" w:rsidRDefault="00FF01A9" w:rsidP="005260B5">
      <w:pPr>
        <w:pStyle w:val="ListParagraph"/>
      </w:pPr>
      <w:r w:rsidRPr="001F4BAA">
        <w:t>Encourage parent or caregiver to remain with the child.</w:t>
      </w:r>
    </w:p>
    <w:p w14:paraId="5479EBAF" w14:textId="2CCD4B7B" w:rsidR="005260B5" w:rsidRDefault="005260B5">
      <w:pPr>
        <w:spacing w:before="0" w:after="0"/>
        <w:jc w:val="left"/>
        <w:rPr>
          <w:b/>
          <w:bCs/>
          <w:caps/>
          <w:sz w:val="20"/>
        </w:rPr>
      </w:pPr>
    </w:p>
    <w:p w14:paraId="0EE1355A" w14:textId="5252FB27" w:rsidR="00FF01A9" w:rsidRPr="001F4BAA" w:rsidRDefault="00FF01A9" w:rsidP="00EB6F7C">
      <w:pPr>
        <w:pStyle w:val="Heading5"/>
      </w:pPr>
      <w:r w:rsidRPr="001F4BAA">
        <w:t>MEDICINE TREATMENT</w:t>
      </w:r>
    </w:p>
    <w:p w14:paraId="70C87BE2" w14:textId="149FC0EE" w:rsidR="00FF01A9" w:rsidRPr="001F4BAA" w:rsidRDefault="00FF01A9" w:rsidP="008542CC">
      <w:pPr>
        <w:pStyle w:val="BulletMedicine"/>
        <w:numPr>
          <w:ilvl w:val="0"/>
          <w:numId w:val="20"/>
        </w:numPr>
      </w:pPr>
      <w:r w:rsidRPr="00CD1D02">
        <w:t>Paracetamol, oral</w:t>
      </w:r>
      <w:r w:rsidR="00812598" w:rsidRPr="00CD1D02">
        <w:fldChar w:fldCharType="begin"/>
      </w:r>
      <w:r w:rsidR="00812598" w:rsidRPr="00CD1D02">
        <w:instrText xml:space="preserve"> XE “Paracetamol, oral” \f “m” </w:instrText>
      </w:r>
      <w:r w:rsidR="00812598" w:rsidRPr="00CD1D02">
        <w:fldChar w:fldCharType="end"/>
      </w:r>
      <w:r w:rsidRPr="00CD1D02">
        <w:t>, 10</w:t>
      </w:r>
      <w:r w:rsidR="00C56238" w:rsidRPr="00C56238">
        <w:t xml:space="preserve"> </w:t>
      </w:r>
      <w:r w:rsidR="00C56238">
        <w:t xml:space="preserve">to </w:t>
      </w:r>
      <w:r w:rsidRPr="00CD1D02">
        <w:t>15 mg/kg/dose 6 hourly when require</w:t>
      </w:r>
      <w:r w:rsidR="00A37AB8">
        <w:t>d</w:t>
      </w:r>
      <w:r w:rsidRPr="00CD1D02">
        <w:t>. See dosing table</w:t>
      </w:r>
      <w:r w:rsidR="000A35DB">
        <w:t>:</w:t>
      </w:r>
      <w:r w:rsidR="00645DB1">
        <w:t xml:space="preserve"> </w:t>
      </w:r>
      <w:r w:rsidR="004A56FB">
        <w:t>Chapter 23</w:t>
      </w:r>
      <w:r w:rsidR="00645DB1">
        <w:t>.</w:t>
      </w:r>
    </w:p>
    <w:p w14:paraId="43EC0ADC" w14:textId="77777777" w:rsidR="00FF01A9" w:rsidRDefault="00FF01A9" w:rsidP="005260B5">
      <w:pPr>
        <w:pStyle w:val="Heading6"/>
      </w:pPr>
      <w:r w:rsidRPr="001F4BAA">
        <w:t>Children grade 2 or more stridor- while awaiting transfer:</w:t>
      </w:r>
    </w:p>
    <w:tbl>
      <w:tblPr>
        <w:tblpPr w:leftFromText="180" w:rightFromText="180" w:vertAnchor="text" w:horzAnchor="margin" w:tblpXSpec="right" w:tblpY="-4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9B227B" w:rsidRPr="001F4BAA" w14:paraId="609E3B5B" w14:textId="77777777" w:rsidTr="009B227B">
        <w:tc>
          <w:tcPr>
            <w:tcW w:w="907" w:type="dxa"/>
          </w:tcPr>
          <w:p w14:paraId="45B234BE" w14:textId="77777777" w:rsidR="009B227B" w:rsidRPr="002344FD" w:rsidRDefault="009B227B" w:rsidP="009B227B">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19"/>
            </w:r>
          </w:p>
        </w:tc>
      </w:tr>
    </w:tbl>
    <w:p w14:paraId="6E9C732A" w14:textId="77777777" w:rsidR="00A20F09" w:rsidRPr="001F4BAA" w:rsidRDefault="00A20F09" w:rsidP="00A20F09">
      <w:pPr>
        <w:pStyle w:val="BulletTherapeuticclass"/>
      </w:pPr>
      <w:r w:rsidRPr="001F4BAA">
        <w:t>Corticosteroids (intermediate-acting)</w:t>
      </w:r>
      <w:r>
        <w:fldChar w:fldCharType="begin"/>
      </w:r>
      <w:r>
        <w:instrText xml:space="preserve"> XE "Corticosteroids (intermediate-acting)" \f "m" </w:instrText>
      </w:r>
      <w:r>
        <w:fldChar w:fldCharType="end"/>
      </w:r>
      <w:r w:rsidRPr="001F4BAA">
        <w:t xml:space="preserve"> e.g.:</w:t>
      </w:r>
    </w:p>
    <w:p w14:paraId="7F32522B" w14:textId="5176006E" w:rsidR="002B5BF9" w:rsidRPr="001F4BAA" w:rsidRDefault="002B5BF9" w:rsidP="008542CC">
      <w:pPr>
        <w:pStyle w:val="BulletMedicine"/>
        <w:numPr>
          <w:ilvl w:val="0"/>
          <w:numId w:val="21"/>
        </w:numPr>
      </w:pPr>
      <w:r w:rsidRPr="001F4BAA">
        <w:t>Prednisone, oral</w:t>
      </w:r>
      <w:r>
        <w:fldChar w:fldCharType="begin"/>
      </w:r>
      <w:r>
        <w:instrText xml:space="preserve"> XE "Prednisone, oral" \f "m" </w:instrText>
      </w:r>
      <w:r>
        <w:fldChar w:fldCharType="end"/>
      </w:r>
      <w:r w:rsidRPr="001F4BAA">
        <w:t>, 1</w:t>
      </w:r>
      <w:r w:rsidR="00C56238" w:rsidRPr="00C56238">
        <w:t xml:space="preserve"> </w:t>
      </w:r>
      <w:r w:rsidR="00C56238">
        <w:t xml:space="preserve">to </w:t>
      </w:r>
      <w:r w:rsidRPr="001F4BAA">
        <w:t>2 mg/kg immediately as a single dose.</w:t>
      </w:r>
    </w:p>
    <w:p w14:paraId="51697E53" w14:textId="63B509AB" w:rsidR="00FF01A9" w:rsidRPr="001F4BAA" w:rsidRDefault="00FF01A9" w:rsidP="008542CC">
      <w:pPr>
        <w:pStyle w:val="BulletMedicine"/>
        <w:numPr>
          <w:ilvl w:val="0"/>
          <w:numId w:val="22"/>
        </w:numPr>
      </w:pPr>
      <w:r w:rsidRPr="001F4BAA">
        <w:t>Adrenaline (epinephrine)</w:t>
      </w:r>
      <w:r w:rsidR="00812598">
        <w:fldChar w:fldCharType="begin"/>
      </w:r>
      <w:r w:rsidR="00812598">
        <w:instrText xml:space="preserve"> XE “Adrenaline (epinephrine), inhalation” \f “m” </w:instrText>
      </w:r>
      <w:r w:rsidR="00812598">
        <w:fldChar w:fldCharType="end"/>
      </w:r>
      <w:r w:rsidRPr="001F4BAA">
        <w:t>, 1:1000, nebulised, immediately using a nebuliser.</w:t>
      </w:r>
    </w:p>
    <w:p w14:paraId="57201F47" w14:textId="040953F4" w:rsidR="00FF01A9" w:rsidRPr="001F4BAA" w:rsidRDefault="00FF01A9" w:rsidP="00D849B2">
      <w:pPr>
        <w:pStyle w:val="BulletDirectionsInstructions"/>
      </w:pPr>
      <w:r w:rsidRPr="001F4BAA">
        <w:t>If there is no improvement, repeat every 15 minutes until the child is transferred.</w:t>
      </w:r>
    </w:p>
    <w:p w14:paraId="065CBA91" w14:textId="008F5878" w:rsidR="00FF01A9" w:rsidRPr="001F4BAA" w:rsidRDefault="00FF01A9" w:rsidP="00D849B2">
      <w:pPr>
        <w:pStyle w:val="BulletDirectionsInstructions"/>
      </w:pPr>
      <w:r w:rsidRPr="001F4BAA">
        <w:t xml:space="preserve">Dilute </w:t>
      </w:r>
      <w:r w:rsidR="00D84CCA">
        <w:t>2</w:t>
      </w:r>
      <w:r w:rsidRPr="001F4BAA">
        <w:t xml:space="preserve"> mL of 1:1000 adrenaline with </w:t>
      </w:r>
      <w:r w:rsidR="00D84CCA">
        <w:t>2</w:t>
      </w:r>
      <w:r w:rsidR="00D84CCA" w:rsidRPr="001F4BAA">
        <w:t xml:space="preserve"> </w:t>
      </w:r>
      <w:r w:rsidRPr="001F4BAA">
        <w:t>mL sodium chloride 0.9%.</w:t>
      </w:r>
    </w:p>
    <w:p w14:paraId="2E6E0300" w14:textId="36FB55BA" w:rsidR="00FF01A9" w:rsidRPr="001F4BAA" w:rsidRDefault="00FF01A9" w:rsidP="00D849B2">
      <w:pPr>
        <w:pStyle w:val="BulletDirectionsInstructions"/>
      </w:pPr>
      <w:r w:rsidRPr="001F4BAA">
        <w:t>Nebulise the entire volume with oxygen at a flow rate of 6</w:t>
      </w:r>
      <w:r w:rsidR="00C56238" w:rsidRPr="00C56238">
        <w:t xml:space="preserve"> </w:t>
      </w:r>
      <w:r w:rsidR="00C56238">
        <w:t xml:space="preserve">to </w:t>
      </w:r>
      <w:r w:rsidRPr="001F4BAA">
        <w:t>8 L/minute.</w:t>
      </w:r>
    </w:p>
    <w:p w14:paraId="1D111936" w14:textId="262FD9F1" w:rsidR="00076DF8" w:rsidRPr="00821956" w:rsidRDefault="00076DF8" w:rsidP="00821956">
      <w:pPr>
        <w:rPr>
          <w:b/>
          <w:bCs/>
        </w:rPr>
      </w:pPr>
      <w:r w:rsidRPr="00821956">
        <w:rPr>
          <w:b/>
          <w:bCs/>
          <w:lang w:val="en-ZA"/>
        </w:rPr>
        <w:t>Weight-based prednisone dosing</w:t>
      </w:r>
      <w:r>
        <w:rPr>
          <w:b/>
          <w:bCs/>
          <w:lang w:val="en-ZA"/>
        </w:rPr>
        <w:t xml:space="preserve"> for children </w:t>
      </w:r>
      <w:r w:rsidR="007277E7">
        <w:rPr>
          <w:b/>
          <w:bCs/>
          <w:lang w:val="en-ZA"/>
        </w:rPr>
        <w:t>&lt;</w:t>
      </w:r>
      <w:r>
        <w:rPr>
          <w:b/>
          <w:bCs/>
          <w:lang w:val="en-ZA"/>
        </w:rPr>
        <w:t>18 kg</w:t>
      </w:r>
      <w:r w:rsidRPr="00821956">
        <w:rPr>
          <w:b/>
          <w:bCs/>
          <w:lang w:val="en-ZA"/>
        </w:rPr>
        <w:t>:</w:t>
      </w:r>
    </w:p>
    <w:tbl>
      <w:tblPr>
        <w:tblStyle w:val="SamplePHCTable"/>
        <w:tblW w:w="5000" w:type="pct"/>
        <w:tblLook w:val="00A0" w:firstRow="1" w:lastRow="0" w:firstColumn="1" w:lastColumn="0" w:noHBand="0" w:noVBand="0"/>
      </w:tblPr>
      <w:tblGrid>
        <w:gridCol w:w="1979"/>
        <w:gridCol w:w="1741"/>
        <w:gridCol w:w="1077"/>
        <w:gridCol w:w="1882"/>
      </w:tblGrid>
      <w:tr w:rsidR="00FF01A9" w:rsidRPr="001F4BAA" w14:paraId="7E607148" w14:textId="77777777" w:rsidTr="00250E92">
        <w:trPr>
          <w:cnfStyle w:val="100000000000" w:firstRow="1" w:lastRow="0" w:firstColumn="0" w:lastColumn="0" w:oddVBand="0" w:evenVBand="0" w:oddHBand="0" w:evenHBand="0" w:firstRowFirstColumn="0" w:firstRowLastColumn="0" w:lastRowFirstColumn="0" w:lastRowLastColumn="0"/>
        </w:trPr>
        <w:tc>
          <w:tcPr>
            <w:tcW w:w="1482" w:type="pct"/>
          </w:tcPr>
          <w:p w14:paraId="020841ED" w14:textId="77777777" w:rsidR="00FF01A9" w:rsidRPr="001F4BAA" w:rsidRDefault="00FF01A9" w:rsidP="00821956">
            <w:pPr>
              <w:pStyle w:val="NoSpacing"/>
              <w:jc w:val="center"/>
            </w:pPr>
            <w:r w:rsidRPr="001F4BAA">
              <w:t>Weight</w:t>
            </w:r>
          </w:p>
          <w:p w14:paraId="11D5E4B0" w14:textId="012D82AF" w:rsidR="00FF01A9" w:rsidRPr="00AA5823" w:rsidRDefault="00D97141" w:rsidP="00821956">
            <w:pPr>
              <w:pStyle w:val="NoSpacing"/>
              <w:jc w:val="center"/>
              <w:rPr>
                <w:b w:val="0"/>
                <w:bCs/>
              </w:rPr>
            </w:pPr>
            <w:r>
              <w:rPr>
                <w:b w:val="0"/>
                <w:bCs/>
              </w:rPr>
              <w:t>(</w:t>
            </w:r>
            <w:r w:rsidR="00FF01A9" w:rsidRPr="00AA5823">
              <w:rPr>
                <w:b w:val="0"/>
                <w:bCs/>
              </w:rPr>
              <w:t>kg</w:t>
            </w:r>
            <w:r>
              <w:rPr>
                <w:b w:val="0"/>
                <w:bCs/>
              </w:rPr>
              <w:t>)</w:t>
            </w:r>
          </w:p>
        </w:tc>
        <w:tc>
          <w:tcPr>
            <w:tcW w:w="1303" w:type="pct"/>
          </w:tcPr>
          <w:p w14:paraId="55B2E145" w14:textId="77777777" w:rsidR="00FF01A9" w:rsidRPr="001F4BAA" w:rsidRDefault="00FF01A9" w:rsidP="00821956">
            <w:pPr>
              <w:pStyle w:val="NoSpacing"/>
              <w:jc w:val="center"/>
            </w:pPr>
            <w:r w:rsidRPr="001F4BAA">
              <w:t>Dose</w:t>
            </w:r>
          </w:p>
          <w:p w14:paraId="4A7900C9" w14:textId="12A93982" w:rsidR="00FF01A9" w:rsidRPr="00AA5823" w:rsidRDefault="00D97141" w:rsidP="00821956">
            <w:pPr>
              <w:pStyle w:val="NoSpacing"/>
              <w:jc w:val="center"/>
              <w:rPr>
                <w:b w:val="0"/>
                <w:bCs/>
              </w:rPr>
            </w:pPr>
            <w:r>
              <w:rPr>
                <w:b w:val="0"/>
                <w:bCs/>
              </w:rPr>
              <w:t>(</w:t>
            </w:r>
            <w:r w:rsidR="00FF01A9" w:rsidRPr="00AA5823">
              <w:rPr>
                <w:b w:val="0"/>
                <w:bCs/>
              </w:rPr>
              <w:t>mg</w:t>
            </w:r>
            <w:r>
              <w:rPr>
                <w:b w:val="0"/>
                <w:bCs/>
              </w:rPr>
              <w:t>)</w:t>
            </w:r>
          </w:p>
        </w:tc>
        <w:tc>
          <w:tcPr>
            <w:tcW w:w="806" w:type="pct"/>
          </w:tcPr>
          <w:p w14:paraId="1F200E5E" w14:textId="77777777" w:rsidR="00FF01A9" w:rsidRPr="001F4BAA" w:rsidRDefault="00FF01A9" w:rsidP="00821956">
            <w:pPr>
              <w:pStyle w:val="NoSpacing"/>
              <w:jc w:val="center"/>
            </w:pPr>
            <w:r w:rsidRPr="001F4BAA">
              <w:t>Tablet</w:t>
            </w:r>
          </w:p>
          <w:p w14:paraId="2BD3DC7B" w14:textId="3BD57BDC" w:rsidR="00FF01A9" w:rsidRPr="00AA5823" w:rsidRDefault="00D97141" w:rsidP="00821956">
            <w:pPr>
              <w:pStyle w:val="NoSpacing"/>
              <w:jc w:val="center"/>
              <w:rPr>
                <w:b w:val="0"/>
                <w:bCs/>
              </w:rPr>
            </w:pPr>
            <w:r>
              <w:rPr>
                <w:b w:val="0"/>
                <w:bCs/>
              </w:rPr>
              <w:t>(</w:t>
            </w:r>
            <w:r w:rsidR="00FF01A9" w:rsidRPr="00AA5823">
              <w:rPr>
                <w:b w:val="0"/>
                <w:bCs/>
              </w:rPr>
              <w:t>5 mg</w:t>
            </w:r>
            <w:r>
              <w:rPr>
                <w:b w:val="0"/>
                <w:bCs/>
              </w:rPr>
              <w:t>)</w:t>
            </w:r>
          </w:p>
        </w:tc>
        <w:tc>
          <w:tcPr>
            <w:tcW w:w="1409" w:type="pct"/>
          </w:tcPr>
          <w:p w14:paraId="79BE143A" w14:textId="77777777" w:rsidR="00FF01A9" w:rsidRPr="001F4BAA" w:rsidRDefault="00FF01A9" w:rsidP="00821956">
            <w:pPr>
              <w:pStyle w:val="NoSpacing"/>
              <w:jc w:val="center"/>
            </w:pPr>
            <w:r w:rsidRPr="001F4BAA">
              <w:t>Age</w:t>
            </w:r>
          </w:p>
          <w:p w14:paraId="0C1AE218" w14:textId="74E66738" w:rsidR="00FF01A9" w:rsidRPr="00AA5823" w:rsidRDefault="00D97141" w:rsidP="00821956">
            <w:pPr>
              <w:pStyle w:val="NoSpacing"/>
              <w:jc w:val="center"/>
              <w:rPr>
                <w:b w:val="0"/>
                <w:bCs/>
              </w:rPr>
            </w:pPr>
            <w:r>
              <w:rPr>
                <w:b w:val="0"/>
                <w:bCs/>
              </w:rPr>
              <w:t>(</w:t>
            </w:r>
            <w:r w:rsidR="00FF01A9" w:rsidRPr="00AA5823">
              <w:rPr>
                <w:b w:val="0"/>
                <w:bCs/>
              </w:rPr>
              <w:t>years</w:t>
            </w:r>
            <w:r>
              <w:rPr>
                <w:b w:val="0"/>
                <w:bCs/>
              </w:rPr>
              <w:t>)</w:t>
            </w:r>
          </w:p>
        </w:tc>
      </w:tr>
      <w:tr w:rsidR="00FF01A9" w:rsidRPr="001F4BAA" w14:paraId="315A97DB" w14:textId="77777777" w:rsidTr="00250E92">
        <w:tc>
          <w:tcPr>
            <w:tcW w:w="1482" w:type="pct"/>
          </w:tcPr>
          <w:p w14:paraId="54E6CAB2" w14:textId="77777777" w:rsidR="00FF01A9" w:rsidRPr="001F4BAA" w:rsidRDefault="00FF01A9" w:rsidP="004A7096">
            <w:pPr>
              <w:pStyle w:val="NoSpacing"/>
            </w:pPr>
            <w:r w:rsidRPr="001F4BAA">
              <w:t>&gt;11–14 kg</w:t>
            </w:r>
          </w:p>
        </w:tc>
        <w:tc>
          <w:tcPr>
            <w:tcW w:w="1303" w:type="pct"/>
          </w:tcPr>
          <w:p w14:paraId="34FAEC1A" w14:textId="77777777" w:rsidR="00FF01A9" w:rsidRPr="001F4BAA" w:rsidRDefault="00FF01A9" w:rsidP="004A7096">
            <w:pPr>
              <w:pStyle w:val="NoSpacing"/>
            </w:pPr>
            <w:r w:rsidRPr="001F4BAA">
              <w:t>20 mg</w:t>
            </w:r>
          </w:p>
        </w:tc>
        <w:tc>
          <w:tcPr>
            <w:tcW w:w="806" w:type="pct"/>
          </w:tcPr>
          <w:p w14:paraId="19406855" w14:textId="77777777" w:rsidR="00FF01A9" w:rsidRPr="001F4BAA" w:rsidRDefault="00FF01A9" w:rsidP="004A7096">
            <w:pPr>
              <w:pStyle w:val="NoSpacing"/>
            </w:pPr>
            <w:r w:rsidRPr="001F4BAA">
              <w:t>4 tablets</w:t>
            </w:r>
          </w:p>
        </w:tc>
        <w:tc>
          <w:tcPr>
            <w:tcW w:w="1409" w:type="pct"/>
          </w:tcPr>
          <w:p w14:paraId="56EF31E9" w14:textId="77777777" w:rsidR="00FF01A9" w:rsidRPr="001F4BAA" w:rsidRDefault="00FF01A9" w:rsidP="004A7096">
            <w:pPr>
              <w:pStyle w:val="NoSpacing"/>
            </w:pPr>
            <w:r w:rsidRPr="001F4BAA">
              <w:t>&gt;2–3 years</w:t>
            </w:r>
          </w:p>
        </w:tc>
      </w:tr>
      <w:tr w:rsidR="00FF01A9" w:rsidRPr="001F4BAA" w14:paraId="55D4BFA1" w14:textId="77777777" w:rsidTr="00250E92">
        <w:tc>
          <w:tcPr>
            <w:tcW w:w="1482" w:type="pct"/>
          </w:tcPr>
          <w:p w14:paraId="7B8068B9" w14:textId="77777777" w:rsidR="00FF01A9" w:rsidRPr="001F4BAA" w:rsidRDefault="00FF01A9" w:rsidP="004A7096">
            <w:pPr>
              <w:pStyle w:val="NoSpacing"/>
            </w:pPr>
            <w:r w:rsidRPr="001F4BAA">
              <w:t>&gt;14–17.5 kg</w:t>
            </w:r>
          </w:p>
        </w:tc>
        <w:tc>
          <w:tcPr>
            <w:tcW w:w="1303" w:type="pct"/>
          </w:tcPr>
          <w:p w14:paraId="083E7BF1" w14:textId="77777777" w:rsidR="00FF01A9" w:rsidRPr="001F4BAA" w:rsidRDefault="00FF01A9" w:rsidP="004A7096">
            <w:pPr>
              <w:pStyle w:val="NoSpacing"/>
            </w:pPr>
            <w:r w:rsidRPr="001F4BAA">
              <w:t>30 mg</w:t>
            </w:r>
          </w:p>
        </w:tc>
        <w:tc>
          <w:tcPr>
            <w:tcW w:w="806" w:type="pct"/>
          </w:tcPr>
          <w:p w14:paraId="60259468" w14:textId="77777777" w:rsidR="00FF01A9" w:rsidRPr="001F4BAA" w:rsidRDefault="00FF01A9" w:rsidP="004A7096">
            <w:pPr>
              <w:pStyle w:val="NoSpacing"/>
            </w:pPr>
            <w:r w:rsidRPr="001F4BAA">
              <w:t>6 tablets</w:t>
            </w:r>
          </w:p>
        </w:tc>
        <w:tc>
          <w:tcPr>
            <w:tcW w:w="1409" w:type="pct"/>
          </w:tcPr>
          <w:p w14:paraId="1CBB3B0A" w14:textId="77777777" w:rsidR="00FF01A9" w:rsidRPr="001F4BAA" w:rsidRDefault="00FF01A9" w:rsidP="004A7096">
            <w:pPr>
              <w:pStyle w:val="NoSpacing"/>
            </w:pPr>
            <w:r w:rsidRPr="001F4BAA">
              <w:t>&gt;3–5 years</w:t>
            </w:r>
          </w:p>
        </w:tc>
      </w:tr>
    </w:tbl>
    <w:p w14:paraId="6CB979C7" w14:textId="35EE5B52" w:rsidR="00FF01A9" w:rsidRPr="001F4BAA" w:rsidRDefault="00FF01A9" w:rsidP="00716B59">
      <w:pPr>
        <w:pStyle w:val="Heading7"/>
      </w:pPr>
      <w:r w:rsidRPr="001F4BAA">
        <w:t>If epiglottitis suspected</w:t>
      </w:r>
      <w:r w:rsidR="00D97141">
        <w:t>:</w:t>
      </w:r>
    </w:p>
    <w:p w14:paraId="2281B60A" w14:textId="0D4B0004" w:rsidR="00FF01A9" w:rsidRPr="001F4BAA" w:rsidRDefault="00FF01A9" w:rsidP="008542CC">
      <w:pPr>
        <w:pStyle w:val="BulletMedicine"/>
        <w:numPr>
          <w:ilvl w:val="0"/>
          <w:numId w:val="23"/>
        </w:numPr>
      </w:pPr>
      <w:r w:rsidRPr="001F4BAA">
        <w:t>Ceftriaxone</w:t>
      </w:r>
      <w:r w:rsidR="00812598">
        <w:fldChar w:fldCharType="begin"/>
      </w:r>
      <w:r w:rsidR="00812598">
        <w:instrText xml:space="preserve"> XE “Ceftriaxone” \f “m” </w:instrText>
      </w:r>
      <w:r w:rsidR="00812598">
        <w:fldChar w:fldCharType="end"/>
      </w:r>
      <w:r w:rsidRPr="001F4BAA">
        <w:t xml:space="preserve">, IM,80 mg/kg/dose immediately as a single dose and refer. </w:t>
      </w:r>
      <w:bookmarkStart w:id="41" w:name="_Hlk191473147"/>
      <w:r w:rsidR="00B75193">
        <w:rPr>
          <w:noProof/>
          <w:lang w:eastAsia="en-ZA"/>
        </w:rPr>
        <w:drawing>
          <wp:inline distT="0" distB="0" distL="0" distR="0" wp14:anchorId="264173A4" wp14:editId="68573B9B">
            <wp:extent cx="142875" cy="152400"/>
            <wp:effectExtent l="0" t="0" r="9525" b="0"/>
            <wp:docPr id="196190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bookmarkEnd w:id="41"/>
      <w:r w:rsidR="00B75193">
        <w:t xml:space="preserve"> </w:t>
      </w:r>
      <w:r w:rsidRPr="001F4BAA">
        <w:t>See dosing table</w:t>
      </w:r>
      <w:r w:rsidR="00645DB1">
        <w:t xml:space="preserve">: </w:t>
      </w:r>
      <w:r w:rsidR="004A56FB">
        <w:t>Chapter 23</w:t>
      </w:r>
      <w:r w:rsidR="00645DB1">
        <w:t>.</w:t>
      </w:r>
    </w:p>
    <w:p w14:paraId="65316317" w14:textId="77777777" w:rsidR="00FF01A9" w:rsidRPr="001F4BAA" w:rsidRDefault="00FF01A9" w:rsidP="00716B59">
      <w:pPr>
        <w:pStyle w:val="BulletDirectionsInstructions"/>
      </w:pPr>
      <w:r w:rsidRPr="001F4BAA">
        <w:t>Do not inject more than 1 g at one injection site.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59"/>
      </w:tblGrid>
      <w:tr w:rsidR="00FF01A9" w:rsidRPr="00D101EC" w14:paraId="1A9E94CC" w14:textId="77777777" w:rsidTr="004A7096">
        <w:tc>
          <w:tcPr>
            <w:tcW w:w="5000" w:type="pct"/>
            <w:tcBorders>
              <w:top w:val="double" w:sz="4" w:space="0" w:color="auto"/>
              <w:left w:val="double" w:sz="4" w:space="0" w:color="auto"/>
              <w:bottom w:val="double" w:sz="4" w:space="0" w:color="auto"/>
              <w:right w:val="double" w:sz="4" w:space="0" w:color="auto"/>
            </w:tcBorders>
          </w:tcPr>
          <w:p w14:paraId="24562D9F" w14:textId="77777777" w:rsidR="00FF01A9" w:rsidRPr="00D101EC" w:rsidRDefault="00FF01A9" w:rsidP="00D101EC">
            <w:pPr>
              <w:pStyle w:val="NoSpacing"/>
              <w:jc w:val="center"/>
              <w:rPr>
                <w:rStyle w:val="Strong"/>
                <w:sz w:val="16"/>
                <w:szCs w:val="16"/>
              </w:rPr>
            </w:pPr>
            <w:r w:rsidRPr="00D101EC">
              <w:rPr>
                <w:rStyle w:val="Strong"/>
                <w:sz w:val="16"/>
                <w:szCs w:val="16"/>
              </w:rPr>
              <w:t>CAUTION: USE OF CEFTRIAXONE IN NEONATES AND CHILDREN</w:t>
            </w:r>
          </w:p>
          <w:p w14:paraId="1920E1D0" w14:textId="77777777" w:rsidR="00FF01A9" w:rsidRPr="00D101EC" w:rsidRDefault="00FF01A9" w:rsidP="00D101EC">
            <w:pPr>
              <w:pStyle w:val="ListParagraph"/>
              <w:rPr>
                <w:sz w:val="16"/>
                <w:szCs w:val="16"/>
              </w:rPr>
            </w:pPr>
            <w:r w:rsidRPr="00D101EC">
              <w:rPr>
                <w:sz w:val="16"/>
                <w:szCs w:val="16"/>
              </w:rPr>
              <w:t xml:space="preserve">If </w:t>
            </w:r>
            <w:r w:rsidRPr="00D101EC">
              <w:rPr>
                <w:rStyle w:val="Emphasis"/>
                <w:sz w:val="16"/>
                <w:szCs w:val="16"/>
              </w:rPr>
              <w:t>SUSPECTING SERIOUS BACTERIAL INFECTION</w:t>
            </w:r>
            <w:r w:rsidRPr="00D101EC">
              <w:rPr>
                <w:sz w:val="16"/>
                <w:szCs w:val="16"/>
              </w:rPr>
              <w:t xml:space="preserve"> in neonate, give ceftriaxone, even if jaundiced. </w:t>
            </w:r>
          </w:p>
          <w:p w14:paraId="0A9F4173" w14:textId="2B294BAF" w:rsidR="00FF01A9" w:rsidRPr="00D101EC" w:rsidRDefault="00FF01A9" w:rsidP="00D101EC">
            <w:pPr>
              <w:pStyle w:val="ListParagraph"/>
              <w:rPr>
                <w:sz w:val="16"/>
                <w:szCs w:val="16"/>
              </w:rPr>
            </w:pPr>
            <w:r w:rsidRPr="00D101EC">
              <w:rPr>
                <w:sz w:val="16"/>
                <w:szCs w:val="16"/>
              </w:rPr>
              <w:t>Always include the dose and route of administration of ceftriaxone in the referral letter.</w:t>
            </w:r>
          </w:p>
        </w:tc>
      </w:tr>
    </w:tbl>
    <w:p w14:paraId="4EB6D072" w14:textId="77777777" w:rsidR="00FF01A9" w:rsidRPr="001F4BAA" w:rsidRDefault="00FF01A9" w:rsidP="00D101EC">
      <w:pPr>
        <w:pStyle w:val="Heading7"/>
      </w:pPr>
      <w:r w:rsidRPr="001F4BAA">
        <w:t>Management during transfer:</w:t>
      </w:r>
    </w:p>
    <w:p w14:paraId="566777FC" w14:textId="14C8C067" w:rsidR="00FF01A9" w:rsidRPr="001F4BAA" w:rsidRDefault="00FF01A9" w:rsidP="00D101EC">
      <w:pPr>
        <w:pStyle w:val="ListParagraph"/>
      </w:pPr>
      <w:r w:rsidRPr="001F4BAA">
        <w:t>Give the child oxygen</w:t>
      </w:r>
      <w:r w:rsidR="006B6E75">
        <w:t xml:space="preserve"> to keep oxygen saturation levels at 93</w:t>
      </w:r>
      <w:r w:rsidR="00B75193">
        <w:t xml:space="preserve"> to </w:t>
      </w:r>
      <w:r w:rsidR="006B6E75">
        <w:t>95%</w:t>
      </w:r>
      <w:r w:rsidRPr="001F4BAA">
        <w:t>.</w:t>
      </w:r>
    </w:p>
    <w:p w14:paraId="5A72DED4" w14:textId="1FDF562E" w:rsidR="00FF01A9" w:rsidRPr="001F4BAA" w:rsidRDefault="00FF01A9" w:rsidP="00D101EC">
      <w:pPr>
        <w:pStyle w:val="ListParagraph"/>
      </w:pPr>
      <w:r w:rsidRPr="001F4BAA">
        <w:t>Continue nebulisations with adrenaline</w:t>
      </w:r>
      <w:r w:rsidR="00C404D3">
        <w:t xml:space="preserve"> </w:t>
      </w:r>
      <w:r w:rsidR="00C404D3" w:rsidRPr="001F4BAA">
        <w:t>(epinephrine)</w:t>
      </w:r>
      <w:r w:rsidRPr="001F4BAA">
        <w:t>.</w:t>
      </w:r>
    </w:p>
    <w:p w14:paraId="03DB5485" w14:textId="7489FEB0" w:rsidR="00FF01A9" w:rsidRPr="001F4BAA" w:rsidRDefault="00FF01A9" w:rsidP="00D101EC">
      <w:pPr>
        <w:pStyle w:val="ListParagraph"/>
      </w:pPr>
      <w:r w:rsidRPr="001F4BAA">
        <w:t xml:space="preserve">If grade </w:t>
      </w:r>
      <w:r w:rsidR="00600C0B">
        <w:t>2</w:t>
      </w:r>
      <w:r w:rsidR="00B75193">
        <w:t xml:space="preserve"> to </w:t>
      </w:r>
      <w:r w:rsidRPr="001F4BAA">
        <w:t>3, contact ambulance or nearest doctor.</w:t>
      </w:r>
    </w:p>
    <w:p w14:paraId="10461C34" w14:textId="77777777" w:rsidR="00FF01A9" w:rsidRPr="001F4BAA" w:rsidRDefault="00FF01A9" w:rsidP="00D101EC">
      <w:pPr>
        <w:pStyle w:val="ListParagraph"/>
      </w:pPr>
      <w:r w:rsidRPr="001F4BAA">
        <w:t>If grade 4, intubate and transfer.</w:t>
      </w:r>
    </w:p>
    <w:p w14:paraId="6D0F2641" w14:textId="77777777" w:rsidR="00FF01A9" w:rsidRPr="001F4BAA" w:rsidRDefault="00FF01A9" w:rsidP="00EB6F7C">
      <w:pPr>
        <w:pStyle w:val="Heading5"/>
      </w:pPr>
      <w:r w:rsidRPr="001F4BAA">
        <w:lastRenderedPageBreak/>
        <w:t>REFERRAL</w:t>
      </w:r>
    </w:p>
    <w:p w14:paraId="793B76AF" w14:textId="77777777" w:rsidR="00FF01A9" w:rsidRPr="0068532F" w:rsidRDefault="00FF01A9" w:rsidP="00FF01A9">
      <w:pPr>
        <w:pStyle w:val="NoSpacing"/>
        <w:rPr>
          <w:rStyle w:val="Strong"/>
        </w:rPr>
      </w:pPr>
      <w:r w:rsidRPr="0068532F">
        <w:rPr>
          <w:rStyle w:val="Strong"/>
        </w:rPr>
        <w:t>Urgent</w:t>
      </w:r>
    </w:p>
    <w:p w14:paraId="79450724" w14:textId="77777777" w:rsidR="00FF01A9" w:rsidRPr="001F4BAA" w:rsidRDefault="00FF01A9" w:rsidP="0068532F">
      <w:pPr>
        <w:pStyle w:val="ListParagraph"/>
      </w:pPr>
      <w:r w:rsidRPr="001F4BAA">
        <w:t>Children with:</w:t>
      </w:r>
    </w:p>
    <w:p w14:paraId="07462490" w14:textId="7216772A" w:rsidR="00600C0B" w:rsidRDefault="00600C0B" w:rsidP="0068532F">
      <w:pPr>
        <w:pStyle w:val="ListParagraph"/>
        <w:numPr>
          <w:ilvl w:val="1"/>
          <w:numId w:val="4"/>
        </w:numPr>
      </w:pPr>
      <w:r>
        <w:t>Grade 2-4</w:t>
      </w:r>
      <w:r w:rsidR="0027235E">
        <w:t xml:space="preserve"> stridor</w:t>
      </w:r>
      <w:r w:rsidR="00B75193">
        <w:t>,</w:t>
      </w:r>
    </w:p>
    <w:p w14:paraId="682FDBBF" w14:textId="04584901" w:rsidR="00FF01A9" w:rsidRPr="001F4BAA" w:rsidRDefault="00FF01A9" w:rsidP="0068532F">
      <w:pPr>
        <w:pStyle w:val="ListParagraph"/>
        <w:numPr>
          <w:ilvl w:val="1"/>
          <w:numId w:val="4"/>
        </w:numPr>
      </w:pPr>
      <w:r w:rsidRPr="001F4BAA">
        <w:t>chest indrawing</w:t>
      </w:r>
      <w:r w:rsidR="00B75193">
        <w:t>,</w:t>
      </w:r>
    </w:p>
    <w:p w14:paraId="0F0E2F57" w14:textId="05BA4BB3" w:rsidR="00FF01A9" w:rsidRPr="001F4BAA" w:rsidRDefault="00FF01A9" w:rsidP="0068532F">
      <w:pPr>
        <w:pStyle w:val="ListParagraph"/>
        <w:numPr>
          <w:ilvl w:val="1"/>
          <w:numId w:val="4"/>
        </w:numPr>
      </w:pPr>
      <w:r w:rsidRPr="001F4BAA">
        <w:t>rapid breathing</w:t>
      </w:r>
      <w:r w:rsidR="00B75193">
        <w:t>,</w:t>
      </w:r>
    </w:p>
    <w:p w14:paraId="2E3AE73C" w14:textId="07ABF17A" w:rsidR="00FF01A9" w:rsidRPr="001F4BAA" w:rsidRDefault="00FF01A9" w:rsidP="0068532F">
      <w:pPr>
        <w:pStyle w:val="ListParagraph"/>
        <w:numPr>
          <w:ilvl w:val="1"/>
          <w:numId w:val="4"/>
        </w:numPr>
      </w:pPr>
      <w:r w:rsidRPr="001F4BAA">
        <w:t>altered consciousness</w:t>
      </w:r>
      <w:r w:rsidR="00B75193">
        <w:t>,</w:t>
      </w:r>
    </w:p>
    <w:p w14:paraId="24C5BF57" w14:textId="78AC812F" w:rsidR="00FF01A9" w:rsidRPr="001F4BAA" w:rsidRDefault="00FF01A9" w:rsidP="0068532F">
      <w:pPr>
        <w:pStyle w:val="ListParagraph"/>
        <w:numPr>
          <w:ilvl w:val="1"/>
          <w:numId w:val="4"/>
        </w:numPr>
      </w:pPr>
      <w:r w:rsidRPr="001F4BAA">
        <w:t>inability to drink or feed</w:t>
      </w:r>
      <w:r w:rsidR="00B75193">
        <w:t>.</w:t>
      </w:r>
    </w:p>
    <w:p w14:paraId="514A3E94" w14:textId="77777777" w:rsidR="00FF01A9" w:rsidRPr="001F4BAA" w:rsidRDefault="00FF01A9" w:rsidP="0068532F">
      <w:pPr>
        <w:pStyle w:val="ListParagraph"/>
      </w:pPr>
      <w:r w:rsidRPr="001F4BAA">
        <w:t>For confirmation of diagnosis.</w:t>
      </w:r>
    </w:p>
    <w:p w14:paraId="284F82AB" w14:textId="77777777" w:rsidR="00FF01A9" w:rsidRPr="001F4BAA" w:rsidRDefault="00FF01A9" w:rsidP="0068532F">
      <w:pPr>
        <w:pStyle w:val="ListParagraph"/>
      </w:pPr>
      <w:r w:rsidRPr="001F4BAA">
        <w:t>Suspected foreign body.</w:t>
      </w:r>
    </w:p>
    <w:p w14:paraId="0D5497DE" w14:textId="77777777" w:rsidR="00FF01A9" w:rsidRDefault="00FF01A9" w:rsidP="0068532F">
      <w:pPr>
        <w:pStyle w:val="ListParagraph"/>
      </w:pPr>
      <w:r w:rsidRPr="001F4BAA">
        <w:t>Suspected epiglottitis.</w:t>
      </w:r>
    </w:p>
    <w:p w14:paraId="2E2AC215" w14:textId="77777777" w:rsidR="009B227B" w:rsidRDefault="009B227B" w:rsidP="00FF01A9">
      <w:pPr>
        <w:pStyle w:val="NoSpacing"/>
        <w:rPr>
          <w:rStyle w:val="Strong"/>
        </w:rPr>
      </w:pPr>
    </w:p>
    <w:p w14:paraId="5F975A06" w14:textId="77777777" w:rsidR="00FF01A9" w:rsidRPr="000D45B2" w:rsidRDefault="00FF01A9" w:rsidP="00FF01A9">
      <w:pPr>
        <w:pStyle w:val="NoSpacing"/>
        <w:rPr>
          <w:rStyle w:val="Strong"/>
        </w:rPr>
      </w:pPr>
      <w:r w:rsidRPr="000D45B2">
        <w:rPr>
          <w:rStyle w:val="Strong"/>
        </w:rPr>
        <w:t>Non Urgent</w:t>
      </w:r>
    </w:p>
    <w:p w14:paraId="4C65735E" w14:textId="4F037BE2" w:rsidR="00FF01A9" w:rsidRPr="001F4BAA" w:rsidRDefault="00C700D6" w:rsidP="000D45B2">
      <w:pPr>
        <w:pStyle w:val="ListParagraph"/>
      </w:pPr>
      <w:r>
        <w:t>All children</w:t>
      </w:r>
      <w:r w:rsidR="004F41AA">
        <w:t xml:space="preserve"> with</w:t>
      </w:r>
      <w:r>
        <w:t xml:space="preserve"> grade</w:t>
      </w:r>
      <w:r w:rsidR="004F41AA">
        <w:t xml:space="preserve"> </w:t>
      </w:r>
      <w:r>
        <w:t xml:space="preserve">1 </w:t>
      </w:r>
      <w:r w:rsidR="00FF01A9" w:rsidRPr="001F4BAA">
        <w:t>stridor</w:t>
      </w:r>
      <w:r w:rsidR="0027235E">
        <w:t>.</w:t>
      </w:r>
    </w:p>
    <w:p w14:paraId="6ECE4A9E" w14:textId="5F488021" w:rsidR="00FF01A9" w:rsidRPr="00EB6F7C" w:rsidRDefault="00EB6F7C" w:rsidP="00EB6F7C">
      <w:pPr>
        <w:pStyle w:val="Heading2"/>
      </w:pPr>
      <w:bookmarkStart w:id="42" w:name="_Toc57837003"/>
      <w:bookmarkStart w:id="43" w:name="_Toc57838380"/>
      <w:bookmarkStart w:id="44" w:name="_Toc57838476"/>
      <w:bookmarkStart w:id="45" w:name="_Toc57839893"/>
      <w:bookmarkStart w:id="46" w:name="_Toc57840030"/>
      <w:bookmarkStart w:id="47" w:name="_Toc177054028"/>
      <w:r w:rsidRPr="00EB6F7C">
        <w:t>Respiratory infections</w:t>
      </w:r>
      <w:bookmarkEnd w:id="42"/>
      <w:bookmarkEnd w:id="43"/>
      <w:bookmarkEnd w:id="44"/>
      <w:bookmarkEnd w:id="45"/>
      <w:bookmarkEnd w:id="46"/>
      <w:bookmarkEnd w:id="47"/>
      <w:r w:rsidR="001132AD">
        <w:fldChar w:fldCharType="begin"/>
      </w:r>
      <w:r w:rsidR="001132AD">
        <w:instrText xml:space="preserve"> XE "</w:instrText>
      </w:r>
      <w:r w:rsidR="001132AD" w:rsidRPr="004A0AEB">
        <w:instrText>Respiratory infections</w:instrText>
      </w:r>
      <w:r w:rsidR="001132AD">
        <w:instrText xml:space="preserve">" </w:instrText>
      </w:r>
      <w:r w:rsidR="001132AD" w:rsidRPr="001132AD">
        <w:instrText xml:space="preserve">\f “c” </w:instrText>
      </w:r>
      <w:r w:rsidR="001132AD">
        <w:fldChar w:fldCharType="end"/>
      </w:r>
    </w:p>
    <w:p w14:paraId="7B117B71" w14:textId="77777777" w:rsidR="00FF01A9" w:rsidRPr="000D45B2" w:rsidRDefault="00FF01A9" w:rsidP="00FF01A9">
      <w:pPr>
        <w:pStyle w:val="NoSpacing"/>
        <w:rPr>
          <w:sz w:val="8"/>
          <w:szCs w:val="8"/>
        </w:rPr>
      </w:pPr>
    </w:p>
    <w:p w14:paraId="68B99B8E" w14:textId="702AF532" w:rsidR="00FF01A9" w:rsidRPr="00E37B76" w:rsidRDefault="00EB6F7C" w:rsidP="00E37B76">
      <w:pPr>
        <w:pStyle w:val="Heading3"/>
      </w:pPr>
      <w:bookmarkStart w:id="48" w:name="_Toc57838381"/>
      <w:bookmarkStart w:id="49" w:name="_Toc57838477"/>
      <w:bookmarkStart w:id="50" w:name="_Toc57839894"/>
      <w:bookmarkStart w:id="51" w:name="_Toc57840031"/>
      <w:bookmarkStart w:id="52" w:name="_Toc177054029"/>
      <w:r w:rsidRPr="00E37B76">
        <w:t>Influenza</w:t>
      </w:r>
      <w:bookmarkEnd w:id="48"/>
      <w:bookmarkEnd w:id="49"/>
      <w:bookmarkEnd w:id="50"/>
      <w:bookmarkEnd w:id="51"/>
      <w:bookmarkEnd w:id="52"/>
      <w:r w:rsidR="001132AD">
        <w:fldChar w:fldCharType="begin"/>
      </w:r>
      <w:r w:rsidR="001132AD">
        <w:instrText xml:space="preserve"> XE "</w:instrText>
      </w:r>
      <w:r w:rsidR="001132AD" w:rsidRPr="004A0AEB">
        <w:instrText>Influenza</w:instrText>
      </w:r>
      <w:r w:rsidR="001132AD">
        <w:instrText xml:space="preserve">" </w:instrText>
      </w:r>
      <w:r w:rsidR="001132AD" w:rsidRPr="001132AD">
        <w:instrText xml:space="preserve">\f “c” </w:instrText>
      </w:r>
      <w:r w:rsidR="001132AD">
        <w:fldChar w:fldCharType="end"/>
      </w:r>
    </w:p>
    <w:p w14:paraId="33917A04" w14:textId="77777777" w:rsidR="00FF01A9" w:rsidRPr="001F4BAA" w:rsidRDefault="00FF01A9" w:rsidP="002344FD">
      <w:pPr>
        <w:pStyle w:val="ICD10"/>
        <w:shd w:val="clear" w:color="auto" w:fill="F2F2F2" w:themeFill="background1" w:themeFillShade="F2"/>
        <w:tabs>
          <w:tab w:val="left" w:pos="2753"/>
        </w:tabs>
      </w:pPr>
      <w:r w:rsidRPr="001F4BAA">
        <w:t xml:space="preserve">J09/J10.0-1/J10.8/J11.0-1/J11.8 </w:t>
      </w:r>
    </w:p>
    <w:p w14:paraId="588E3D76" w14:textId="77777777" w:rsidR="00FF01A9" w:rsidRPr="001F4BAA" w:rsidRDefault="00FF01A9" w:rsidP="00E37B76">
      <w:pPr>
        <w:pStyle w:val="Heading5"/>
      </w:pPr>
      <w:r w:rsidRPr="001F4BAA">
        <w:t xml:space="preserve">DESCRIPTION </w:t>
      </w:r>
    </w:p>
    <w:p w14:paraId="0ADB81CB" w14:textId="4B75A3D5" w:rsidR="00FF01A9" w:rsidRDefault="00FF01A9" w:rsidP="00FF01A9">
      <w:pPr>
        <w:pStyle w:val="NoSpacing"/>
      </w:pPr>
      <w:r w:rsidRPr="001F4BAA">
        <w:t>Influenza is a self-limiting viral condition that presents with headache, muscular pain and fever</w:t>
      </w:r>
      <w:r w:rsidR="00506488">
        <w:t xml:space="preserve">. It usually </w:t>
      </w:r>
      <w:r w:rsidRPr="001F4BAA">
        <w:t>begins to clear within 7 days</w:t>
      </w:r>
      <w:r w:rsidR="00506488">
        <w:t xml:space="preserve"> but </w:t>
      </w:r>
      <w:r w:rsidR="00506488" w:rsidRPr="001F4BAA">
        <w:t>may last up to 14 days</w:t>
      </w:r>
      <w:r w:rsidRPr="001F4BAA">
        <w:t>.</w:t>
      </w:r>
      <w:r w:rsidR="00A17C3C">
        <w:t xml:space="preserve"> </w:t>
      </w:r>
      <w:r w:rsidRPr="001F4BAA">
        <w:t>Malnourished children, the elderly and debilitated patients are at greater risk of developing complications.</w:t>
      </w:r>
    </w:p>
    <w:p w14:paraId="5DF13591" w14:textId="0EC928A5" w:rsidR="00B727D4" w:rsidRDefault="00B727D4" w:rsidP="00B727D4">
      <w:pPr>
        <w:pStyle w:val="Centeredbox"/>
      </w:pPr>
      <w:r w:rsidRPr="00B727D4">
        <w:rPr>
          <w:rStyle w:val="Strong"/>
        </w:rPr>
        <w:t>CAUTION</w:t>
      </w:r>
      <w:r>
        <w:br/>
        <w:t>Malaria, measles, and HIV seroconversion may present with flu-like symptoms.</w:t>
      </w:r>
    </w:p>
    <w:p w14:paraId="2BA4CDB2" w14:textId="296C575B" w:rsidR="00FF01A9" w:rsidRPr="001F4BAA" w:rsidRDefault="00FF01A9" w:rsidP="00B727D4">
      <w:pPr>
        <w:pStyle w:val="Heading7"/>
      </w:pPr>
      <w:r w:rsidRPr="001F4BAA">
        <w:t>Complications</w:t>
      </w:r>
      <w:r w:rsidR="000F65B5">
        <w:t>:</w:t>
      </w:r>
    </w:p>
    <w:p w14:paraId="6C73F2EA" w14:textId="77777777" w:rsidR="00FF01A9" w:rsidRPr="001F4BAA" w:rsidRDefault="00FF01A9" w:rsidP="00FF01A9">
      <w:pPr>
        <w:pStyle w:val="NoSpacing"/>
      </w:pPr>
      <w:r w:rsidRPr="001F4BAA">
        <w:t>Secondary bacterial infections, including:</w:t>
      </w:r>
    </w:p>
    <w:tbl>
      <w:tblPr>
        <w:tblW w:w="0" w:type="auto"/>
        <w:tblInd w:w="-113" w:type="dxa"/>
        <w:tblLook w:val="04A0" w:firstRow="1" w:lastRow="0" w:firstColumn="1" w:lastColumn="0" w:noHBand="0" w:noVBand="1"/>
      </w:tblPr>
      <w:tblGrid>
        <w:gridCol w:w="4092"/>
        <w:gridCol w:w="2710"/>
      </w:tblGrid>
      <w:tr w:rsidR="00FF01A9" w:rsidRPr="001F4BAA" w14:paraId="0D521ECD" w14:textId="77777777" w:rsidTr="00B727D4">
        <w:tc>
          <w:tcPr>
            <w:tcW w:w="4158" w:type="dxa"/>
          </w:tcPr>
          <w:p w14:paraId="373ADF43" w14:textId="77777777" w:rsidR="00FF01A9" w:rsidRPr="001F4BAA" w:rsidRDefault="00FF01A9" w:rsidP="00B727D4">
            <w:pPr>
              <w:pStyle w:val="ListParagraph"/>
            </w:pPr>
            <w:r w:rsidRPr="001F4BAA">
              <w:t>pneumonia secondary to influenza</w:t>
            </w:r>
          </w:p>
        </w:tc>
        <w:tc>
          <w:tcPr>
            <w:tcW w:w="2748" w:type="dxa"/>
          </w:tcPr>
          <w:p w14:paraId="6893E8AD" w14:textId="77777777" w:rsidR="00FF01A9" w:rsidRPr="001F4BAA" w:rsidRDefault="00FF01A9" w:rsidP="00B727D4">
            <w:pPr>
              <w:pStyle w:val="ListParagraph"/>
            </w:pPr>
            <w:r w:rsidRPr="001F4BAA">
              <w:t>sinusitis</w:t>
            </w:r>
          </w:p>
        </w:tc>
      </w:tr>
      <w:tr w:rsidR="00FF01A9" w:rsidRPr="001F4BAA" w14:paraId="546860A2" w14:textId="77777777" w:rsidTr="00B727D4">
        <w:tc>
          <w:tcPr>
            <w:tcW w:w="4158" w:type="dxa"/>
          </w:tcPr>
          <w:p w14:paraId="22744BCE" w14:textId="77777777" w:rsidR="00FF01A9" w:rsidRPr="001F4BAA" w:rsidRDefault="00FF01A9" w:rsidP="00B727D4">
            <w:pPr>
              <w:pStyle w:val="ListParagraph"/>
            </w:pPr>
            <w:r w:rsidRPr="001F4BAA">
              <w:t xml:space="preserve">otitis media </w:t>
            </w:r>
          </w:p>
        </w:tc>
        <w:tc>
          <w:tcPr>
            <w:tcW w:w="2748" w:type="dxa"/>
          </w:tcPr>
          <w:p w14:paraId="628CF38D" w14:textId="77777777" w:rsidR="00FF01A9" w:rsidRPr="001F4BAA" w:rsidRDefault="00FF01A9" w:rsidP="00B727D4">
            <w:pPr>
              <w:pStyle w:val="NoSpacing"/>
            </w:pPr>
          </w:p>
        </w:tc>
      </w:tr>
    </w:tbl>
    <w:p w14:paraId="6E9EFED3" w14:textId="77777777" w:rsidR="00FF01A9" w:rsidRPr="001F4BAA" w:rsidRDefault="00FF01A9" w:rsidP="00E37B76">
      <w:pPr>
        <w:pStyle w:val="Heading5"/>
      </w:pPr>
      <w:r w:rsidRPr="001F4BAA">
        <w:t xml:space="preserve">GENERAL MEASURES </w:t>
      </w:r>
    </w:p>
    <w:p w14:paraId="64A2D8A4" w14:textId="77777777" w:rsidR="00FF01A9" w:rsidRPr="001F4BAA" w:rsidRDefault="00FF01A9" w:rsidP="00B727D4">
      <w:pPr>
        <w:pStyle w:val="ListParagraph"/>
      </w:pPr>
      <w:r w:rsidRPr="001F4BAA">
        <w:t>Bed rest, if feverish.</w:t>
      </w:r>
    </w:p>
    <w:p w14:paraId="565DEC4F" w14:textId="77777777" w:rsidR="00FF01A9" w:rsidRPr="001F4BAA" w:rsidRDefault="00FF01A9" w:rsidP="00B727D4">
      <w:pPr>
        <w:pStyle w:val="ListParagraph"/>
      </w:pPr>
      <w:r w:rsidRPr="001F4BAA">
        <w:t>Ensure adequate hydration.</w:t>
      </w:r>
    </w:p>
    <w:p w14:paraId="6C3F7FA5" w14:textId="77777777" w:rsidR="00FF01A9" w:rsidRPr="001F4BAA" w:rsidRDefault="00FF01A9" w:rsidP="00B727D4">
      <w:pPr>
        <w:pStyle w:val="ListParagraph"/>
      </w:pPr>
      <w:r w:rsidRPr="001F4BAA">
        <w:t>Advise patient to return to clinic if earache, tenderness or pain over sinuses develops and/or cough or fever persists for longer than a week.</w:t>
      </w:r>
    </w:p>
    <w:p w14:paraId="2BDC216C" w14:textId="77777777" w:rsidR="00FF01A9" w:rsidRPr="001F4BAA" w:rsidRDefault="00FF01A9" w:rsidP="00E37B76">
      <w:pPr>
        <w:pStyle w:val="Heading5"/>
      </w:pPr>
      <w:r w:rsidRPr="001F4BAA">
        <w:t>MEDICINE TREATMENT</w:t>
      </w:r>
    </w:p>
    <w:p w14:paraId="36FAEDDF" w14:textId="233CADE6" w:rsidR="00FF01A9" w:rsidRPr="001F4BAA" w:rsidRDefault="00FF01A9" w:rsidP="00FF01A9">
      <w:pPr>
        <w:pStyle w:val="NoSpacing"/>
      </w:pPr>
      <w:r w:rsidRPr="00874C4E">
        <w:rPr>
          <w:rStyle w:val="Strong"/>
        </w:rPr>
        <w:t>Note:</w:t>
      </w:r>
      <w:r w:rsidRPr="001F4BAA">
        <w:t xml:space="preserve"> Antibiotics are of no value </w:t>
      </w:r>
      <w:r w:rsidR="001548DB">
        <w:t>in</w:t>
      </w:r>
      <w:r w:rsidR="001548DB" w:rsidRPr="001F4BAA">
        <w:t xml:space="preserve"> </w:t>
      </w:r>
      <w:r w:rsidRPr="001F4BAA">
        <w:t>the treatment of influenza.</w:t>
      </w:r>
    </w:p>
    <w:p w14:paraId="18BDBE1C" w14:textId="77777777" w:rsidR="00FF01A9" w:rsidRPr="001F4BAA" w:rsidRDefault="00FF01A9" w:rsidP="00874C4E">
      <w:pPr>
        <w:pStyle w:val="Heading7"/>
      </w:pPr>
      <w:r w:rsidRPr="001F4BAA">
        <w:t>Infants</w:t>
      </w:r>
    </w:p>
    <w:p w14:paraId="4233007A" w14:textId="0559D3CC" w:rsidR="00FF01A9" w:rsidRPr="001F4BAA" w:rsidRDefault="00FF01A9" w:rsidP="008542CC">
      <w:pPr>
        <w:pStyle w:val="BulletMedicine"/>
        <w:numPr>
          <w:ilvl w:val="0"/>
          <w:numId w:val="24"/>
        </w:numPr>
      </w:pPr>
      <w:r w:rsidRPr="001F4BAA">
        <w:t>Sodium chloride 0.9%</w:t>
      </w:r>
      <w:r w:rsidR="00812598">
        <w:fldChar w:fldCharType="begin"/>
      </w:r>
      <w:r w:rsidR="00812598">
        <w:instrText xml:space="preserve"> XE “Sodium chloride 0.9%, nasal solution” \f “m” </w:instrText>
      </w:r>
      <w:r w:rsidR="00812598">
        <w:fldChar w:fldCharType="end"/>
      </w:r>
      <w:r w:rsidRPr="001F4BAA">
        <w:t>, instilled into each nostril</w:t>
      </w:r>
      <w:r w:rsidR="00851C1A">
        <w:t xml:space="preserve"> as required.</w:t>
      </w:r>
    </w:p>
    <w:p w14:paraId="371A1DD1" w14:textId="77777777" w:rsidR="00FF01A9" w:rsidRPr="001F4BAA" w:rsidRDefault="00FF01A9" w:rsidP="00874C4E">
      <w:pPr>
        <w:pStyle w:val="Heading6"/>
      </w:pPr>
      <w:r w:rsidRPr="001F4BAA">
        <w:lastRenderedPageBreak/>
        <w:t>Pain and fever with distress:</w:t>
      </w:r>
    </w:p>
    <w:p w14:paraId="7FF69E35" w14:textId="77777777" w:rsidR="00FF01A9" w:rsidRPr="001F4BAA" w:rsidRDefault="00FF01A9" w:rsidP="00874C4E">
      <w:pPr>
        <w:pStyle w:val="Heading7"/>
      </w:pPr>
      <w:r w:rsidRPr="001F4BAA">
        <w:t>Children</w:t>
      </w:r>
    </w:p>
    <w:p w14:paraId="7BE3C91C" w14:textId="38218D45" w:rsidR="00B71AD8" w:rsidRPr="00B71AD8" w:rsidRDefault="00FF01A9" w:rsidP="008542CC">
      <w:pPr>
        <w:pStyle w:val="BulletMedicine"/>
        <w:numPr>
          <w:ilvl w:val="0"/>
          <w:numId w:val="25"/>
        </w:numPr>
      </w:pPr>
      <w:r w:rsidRPr="001F4BAA">
        <w:t>Paracetamol, oral</w:t>
      </w:r>
      <w:r w:rsidR="00812598">
        <w:fldChar w:fldCharType="begin"/>
      </w:r>
      <w:r w:rsidR="00812598">
        <w:instrText xml:space="preserve"> XE “Paracetamol, oral” \f “m” </w:instrText>
      </w:r>
      <w:r w:rsidR="00812598">
        <w:fldChar w:fldCharType="end"/>
      </w:r>
      <w:r w:rsidRPr="001F4BAA">
        <w:t>, 10</w:t>
      </w:r>
      <w:r w:rsidR="00B75193">
        <w:t xml:space="preserve"> to </w:t>
      </w:r>
      <w:r w:rsidRPr="001F4BAA">
        <w:t>15 mg/kg/dose 4</w:t>
      </w:r>
      <w:r w:rsidR="00B75193" w:rsidRPr="00B75193">
        <w:t xml:space="preserve"> </w:t>
      </w:r>
      <w:r w:rsidR="00B75193">
        <w:t xml:space="preserve">to </w:t>
      </w:r>
      <w:r w:rsidRPr="001F4BAA">
        <w:t>6 hourly when require</w:t>
      </w:r>
      <w:r w:rsidR="00100B74">
        <w:t>d</w:t>
      </w:r>
      <w:r w:rsidRPr="001F4BAA">
        <w:t>. See dosing table</w:t>
      </w:r>
      <w:r w:rsidR="00B71AD8">
        <w:t xml:space="preserve">: </w:t>
      </w:r>
      <w:r w:rsidR="004A56FB">
        <w:t>Chapter 23</w:t>
      </w:r>
      <w:r w:rsidR="00B71AD8">
        <w:t>.</w:t>
      </w:r>
    </w:p>
    <w:p w14:paraId="600C7644" w14:textId="77777777" w:rsidR="00FF01A9" w:rsidRPr="001F4BAA" w:rsidRDefault="00FF01A9" w:rsidP="00874C4E">
      <w:pPr>
        <w:pStyle w:val="Heading7"/>
      </w:pPr>
      <w:r w:rsidRPr="001F4BAA">
        <w:t>Adults</w:t>
      </w:r>
    </w:p>
    <w:p w14:paraId="27B40C22" w14:textId="77777777" w:rsidR="00603A1F" w:rsidRPr="00027E12" w:rsidRDefault="00603A1F" w:rsidP="00603A1F">
      <w:pPr>
        <w:pStyle w:val="BulletMedicine"/>
        <w:rPr>
          <w:rFonts w:cs="Arial"/>
        </w:rPr>
      </w:pPr>
      <w:r w:rsidRPr="00027E12">
        <w:rPr>
          <w:rFonts w:cs="Arial"/>
        </w:rPr>
        <w:t>Paracetamol, oral</w:t>
      </w:r>
      <w:r w:rsidRPr="00027E12">
        <w:rPr>
          <w:rFonts w:cs="Arial"/>
        </w:rPr>
        <w:fldChar w:fldCharType="begin"/>
      </w:r>
      <w:r w:rsidRPr="00027E12">
        <w:rPr>
          <w:rFonts w:cs="Arial"/>
        </w:rPr>
        <w:instrText xml:space="preserve"> XE "Paracetamol, oral" \f "m" </w:instrText>
      </w:r>
      <w:r w:rsidRPr="00027E12">
        <w:rPr>
          <w:rFonts w:cs="Arial"/>
        </w:rPr>
        <w:fldChar w:fldCharType="end"/>
      </w:r>
      <w:r w:rsidRPr="00027E12">
        <w:rPr>
          <w:rFonts w:cs="Arial"/>
        </w:rPr>
        <w:t xml:space="preserve">, 500 mg to 1 g, 4 to 6 hourly as required </w:t>
      </w:r>
      <w:bookmarkStart w:id="53" w:name="_Hlk145301396"/>
      <w:r w:rsidRPr="00027E12">
        <w:rPr>
          <w:rFonts w:cs="Arial"/>
        </w:rPr>
        <w:t>(to a maximum of 4 g in 24 hours).</w:t>
      </w:r>
    </w:p>
    <w:bookmarkEnd w:id="53"/>
    <w:p w14:paraId="41424A25" w14:textId="77777777" w:rsidR="00603A1F" w:rsidRPr="00027E12" w:rsidRDefault="00603A1F" w:rsidP="008542CC">
      <w:pPr>
        <w:pStyle w:val="BulletDirectionsInstructions"/>
        <w:numPr>
          <w:ilvl w:val="0"/>
          <w:numId w:val="59"/>
        </w:numPr>
        <w:rPr>
          <w:rFonts w:cs="Arial"/>
        </w:rPr>
      </w:pPr>
      <w:r w:rsidRPr="00027E12">
        <w:rPr>
          <w:rFonts w:cs="Arial"/>
        </w:rPr>
        <w:t xml:space="preserve">Maximum dose: 15 mg/kg/dose. </w:t>
      </w:r>
    </w:p>
    <w:p w14:paraId="7AB662B2" w14:textId="6EAB1F5D" w:rsidR="00FF01A9" w:rsidRPr="001F4BAA" w:rsidRDefault="00DE71BF" w:rsidP="00E37B76">
      <w:pPr>
        <w:pStyle w:val="Heading5"/>
      </w:pPr>
      <w:r>
        <w:t>17.1.4</w:t>
      </w:r>
      <w:r w:rsidR="00FF01A9" w:rsidRPr="001F4BAA">
        <w:t>REFERRAL</w:t>
      </w:r>
    </w:p>
    <w:p w14:paraId="41F53A34" w14:textId="77777777" w:rsidR="00FF01A9" w:rsidRPr="001F4BAA" w:rsidRDefault="00FF01A9" w:rsidP="00FF01A9">
      <w:pPr>
        <w:pStyle w:val="NoSpacing"/>
      </w:pPr>
      <w:r w:rsidRPr="001F4BAA">
        <w:t>Severe complications.</w:t>
      </w:r>
    </w:p>
    <w:p w14:paraId="6EDDB793" w14:textId="5AD57E61" w:rsidR="000618FF" w:rsidRDefault="000618FF">
      <w:pPr>
        <w:spacing w:before="0" w:after="0"/>
        <w:jc w:val="left"/>
        <w:rPr>
          <w:rFonts w:eastAsiaTheme="majorEastAsia" w:cstheme="majorBidi"/>
          <w:b/>
          <w:caps/>
          <w:sz w:val="22"/>
        </w:rPr>
      </w:pPr>
      <w:bookmarkStart w:id="54" w:name="_Toc57838382"/>
      <w:bookmarkStart w:id="55" w:name="_Toc57838478"/>
      <w:bookmarkStart w:id="56" w:name="_Toc57839895"/>
      <w:bookmarkStart w:id="57" w:name="_Toc57840032"/>
    </w:p>
    <w:p w14:paraId="1DE6EF66" w14:textId="07AEDD38" w:rsidR="00FF01A9" w:rsidRPr="00E37B76" w:rsidRDefault="00E37B76" w:rsidP="00E37B76">
      <w:pPr>
        <w:pStyle w:val="Heading3"/>
      </w:pPr>
      <w:bookmarkStart w:id="58" w:name="_Toc177054030"/>
      <w:r w:rsidRPr="00E37B76">
        <w:t>Acute bronchitis in adults or adolescents</w:t>
      </w:r>
      <w:bookmarkEnd w:id="54"/>
      <w:bookmarkEnd w:id="55"/>
      <w:bookmarkEnd w:id="56"/>
      <w:bookmarkEnd w:id="57"/>
      <w:bookmarkEnd w:id="58"/>
      <w:r w:rsidR="001132AD">
        <w:fldChar w:fldCharType="begin"/>
      </w:r>
      <w:r w:rsidR="001132AD">
        <w:instrText xml:space="preserve"> XE "</w:instrText>
      </w:r>
      <w:r w:rsidR="001132AD" w:rsidRPr="004A0AEB">
        <w:instrText>Acute bronchitis in adults or adolescents</w:instrText>
      </w:r>
      <w:r w:rsidR="001132AD">
        <w:instrText xml:space="preserve">" </w:instrText>
      </w:r>
      <w:r w:rsidR="001132AD" w:rsidRPr="001132AD">
        <w:instrText xml:space="preserve">\f “c” </w:instrText>
      </w:r>
      <w:r w:rsidR="001132AD">
        <w:fldChar w:fldCharType="end"/>
      </w:r>
    </w:p>
    <w:p w14:paraId="3F7AEF9A" w14:textId="2E5DC2F3" w:rsidR="00FF01A9" w:rsidRPr="001F4BAA" w:rsidRDefault="00FF01A9" w:rsidP="002344FD">
      <w:pPr>
        <w:pStyle w:val="ICD10"/>
        <w:shd w:val="clear" w:color="auto" w:fill="F2F2F2" w:themeFill="background1" w:themeFillShade="F2"/>
        <w:tabs>
          <w:tab w:val="left" w:pos="2753"/>
        </w:tabs>
      </w:pPr>
      <w:r w:rsidRPr="001F4BAA">
        <w:t>J20.</w:t>
      </w:r>
      <w:r w:rsidR="0031149B">
        <w:t>0-</w:t>
      </w:r>
      <w:r w:rsidRPr="001F4BAA">
        <w:t>9</w:t>
      </w:r>
    </w:p>
    <w:p w14:paraId="34A9EFDC" w14:textId="77777777" w:rsidR="00FF01A9" w:rsidRPr="001F4BAA" w:rsidRDefault="00FF01A9" w:rsidP="00E37B76">
      <w:pPr>
        <w:pStyle w:val="Heading5"/>
      </w:pPr>
      <w:r w:rsidRPr="001F4BAA">
        <w:t>DESCRIPTION</w:t>
      </w:r>
    </w:p>
    <w:p w14:paraId="7663A00A" w14:textId="621EED1C" w:rsidR="00FF01A9" w:rsidRPr="001F4BAA" w:rsidRDefault="00FF01A9" w:rsidP="00FF01A9">
      <w:pPr>
        <w:pStyle w:val="NoSpacing"/>
      </w:pPr>
      <w:r w:rsidRPr="001F4BAA">
        <w:t>Acute airway infections, mostly of viral origin, accompanied by cough, sputum production, and sometimes a burning retrosternal chest pain in patients with otherwise healthy lungs.</w:t>
      </w:r>
    </w:p>
    <w:p w14:paraId="66FF86A8" w14:textId="77777777" w:rsidR="00FF01A9" w:rsidRPr="001F4BAA" w:rsidRDefault="00FF01A9" w:rsidP="00FF01A9">
      <w:pPr>
        <w:pStyle w:val="NoSpacing"/>
      </w:pPr>
      <w:r w:rsidRPr="001F4BAA">
        <w:t>Clinical features:</w:t>
      </w:r>
    </w:p>
    <w:p w14:paraId="73DDD1F1" w14:textId="1A2DCF50" w:rsidR="00FF01A9" w:rsidRPr="001F4BAA" w:rsidRDefault="00FF01A9" w:rsidP="003945CC">
      <w:pPr>
        <w:pStyle w:val="ListParagraph"/>
      </w:pPr>
      <w:r w:rsidRPr="001F4BAA">
        <w:t>initially: non-productive cough</w:t>
      </w:r>
      <w:r w:rsidR="00A578E4">
        <w:t>.</w:t>
      </w:r>
    </w:p>
    <w:p w14:paraId="1FCBEE82" w14:textId="0796ED05" w:rsidR="00FF01A9" w:rsidRPr="001F4BAA" w:rsidRDefault="00FF01A9" w:rsidP="003945CC">
      <w:pPr>
        <w:pStyle w:val="ListParagraph"/>
      </w:pPr>
      <w:r w:rsidRPr="001F4BAA">
        <w:t>later: productive cough with yellow or greenish sputum</w:t>
      </w:r>
      <w:r w:rsidR="00A578E4">
        <w:t>.</w:t>
      </w:r>
    </w:p>
    <w:p w14:paraId="052B1AC5" w14:textId="77777777" w:rsidR="00A578E4" w:rsidRDefault="00A578E4" w:rsidP="00FF01A9">
      <w:pPr>
        <w:pStyle w:val="NoSpacing"/>
      </w:pPr>
    </w:p>
    <w:p w14:paraId="6D89B0B0" w14:textId="1CCD25AD" w:rsidR="00FF01A9" w:rsidRDefault="00FF01A9" w:rsidP="00FF01A9">
      <w:pPr>
        <w:pStyle w:val="NoSpacing"/>
      </w:pPr>
      <w:r w:rsidRPr="001F4BAA">
        <w:t>Viral bronchitis is usually part of an upper respiratory viral infection. It may be accompanied by other manifestations of viral infections. It is important to exclude underlying bronchiectasis or an acute exacerbation of chronic bronchitis in adults.</w:t>
      </w:r>
    </w:p>
    <w:p w14:paraId="07959E71" w14:textId="77777777" w:rsidR="003802E7" w:rsidRPr="001F4BAA" w:rsidRDefault="003802E7" w:rsidP="00FF01A9">
      <w:pPr>
        <w:pStyle w:val="NoSpacing"/>
      </w:pPr>
    </w:p>
    <w:p w14:paraId="47CDF0DC" w14:textId="77777777" w:rsidR="00FF01A9" w:rsidRPr="001F4BAA" w:rsidRDefault="00FF01A9" w:rsidP="00FF01A9">
      <w:pPr>
        <w:pStyle w:val="NoSpacing"/>
      </w:pPr>
      <w:r w:rsidRPr="001F4BAA">
        <w:t>Antibiotics are not indicated in acute bronchitis in the absence of underlying COPD.</w:t>
      </w:r>
    </w:p>
    <w:p w14:paraId="429DF34D" w14:textId="77777777" w:rsidR="00FF01A9" w:rsidRPr="001F4BAA" w:rsidRDefault="00FF01A9" w:rsidP="00FF01A9">
      <w:pPr>
        <w:pStyle w:val="NoSpacing"/>
      </w:pPr>
    </w:p>
    <w:p w14:paraId="408BA079" w14:textId="75A64002" w:rsidR="00FF01A9" w:rsidRPr="00B26643" w:rsidRDefault="00E37B76" w:rsidP="00B26643">
      <w:pPr>
        <w:pStyle w:val="Heading3"/>
      </w:pPr>
      <w:bookmarkStart w:id="59" w:name="_Toc57838383"/>
      <w:bookmarkStart w:id="60" w:name="_Toc57838479"/>
      <w:bookmarkStart w:id="61" w:name="_Toc57839896"/>
      <w:bookmarkStart w:id="62" w:name="_Toc57840033"/>
      <w:bookmarkStart w:id="63" w:name="_Toc177054031"/>
      <w:r w:rsidRPr="00B26643">
        <w:t xml:space="preserve">Acute exacerbation of </w:t>
      </w:r>
      <w:r w:rsidR="00B26643" w:rsidRPr="00B26643">
        <w:t>chronic obstructive pulmonary disease (</w:t>
      </w:r>
      <w:r w:rsidRPr="00B26643">
        <w:t>COPD</w:t>
      </w:r>
      <w:r w:rsidR="00B26643" w:rsidRPr="00B26643">
        <w:t>)</w:t>
      </w:r>
      <w:bookmarkEnd w:id="59"/>
      <w:bookmarkEnd w:id="60"/>
      <w:bookmarkEnd w:id="61"/>
      <w:bookmarkEnd w:id="62"/>
      <w:bookmarkEnd w:id="63"/>
      <w:r w:rsidR="001132AD">
        <w:fldChar w:fldCharType="begin"/>
      </w:r>
      <w:r w:rsidR="001132AD">
        <w:instrText xml:space="preserve"> XE "</w:instrText>
      </w:r>
      <w:r w:rsidR="001132AD" w:rsidRPr="004A0AEB">
        <w:instrText>Acute exacerbation of chronic obstructive pulmonary disease (COPD)</w:instrText>
      </w:r>
      <w:r w:rsidR="001132AD">
        <w:instrText xml:space="preserve">" </w:instrText>
      </w:r>
      <w:r w:rsidR="001132AD" w:rsidRPr="001132AD">
        <w:instrText xml:space="preserve">\f “c” </w:instrText>
      </w:r>
      <w:r w:rsidR="001132AD">
        <w:fldChar w:fldCharType="end"/>
      </w:r>
    </w:p>
    <w:p w14:paraId="47981115" w14:textId="7458E48A" w:rsidR="00FF01A9" w:rsidRPr="001F4BAA" w:rsidRDefault="00FF01A9" w:rsidP="00FF01A9">
      <w:pPr>
        <w:pStyle w:val="NoSpacing"/>
      </w:pPr>
      <w:r w:rsidRPr="001F4BAA">
        <w:t>See Sections 17.1.1: Acute asthma and acute exacerbation of COPD</w:t>
      </w:r>
      <w:r w:rsidR="002F37B9">
        <w:t>, adults,</w:t>
      </w:r>
      <w:r w:rsidRPr="001F4BAA">
        <w:t xml:space="preserve"> and 17.1.</w:t>
      </w:r>
      <w:r w:rsidR="002F37B9">
        <w:t>5</w:t>
      </w:r>
      <w:r w:rsidRPr="001F4BAA">
        <w:t xml:space="preserve">: Chronic </w:t>
      </w:r>
      <w:r w:rsidR="002F37B9">
        <w:t>Obstructive Pulmonary Disease</w:t>
      </w:r>
      <w:r w:rsidRPr="001F4BAA">
        <w:t>.</w:t>
      </w:r>
    </w:p>
    <w:p w14:paraId="2FD42547" w14:textId="77777777" w:rsidR="00FF01A9" w:rsidRPr="001F4BAA" w:rsidRDefault="00FF01A9" w:rsidP="00FF01A9">
      <w:pPr>
        <w:pStyle w:val="NoSpacing"/>
      </w:pPr>
    </w:p>
    <w:p w14:paraId="78A6D5AE" w14:textId="453183AE" w:rsidR="00FF01A9" w:rsidRPr="00E265DB" w:rsidRDefault="00E265DB" w:rsidP="00E265DB">
      <w:pPr>
        <w:pStyle w:val="Heading3"/>
      </w:pPr>
      <w:bookmarkStart w:id="64" w:name="_Toc57838384"/>
      <w:bookmarkStart w:id="65" w:name="_Toc57838480"/>
      <w:bookmarkStart w:id="66" w:name="_Toc57839897"/>
      <w:bookmarkStart w:id="67" w:name="_Toc57840034"/>
      <w:bookmarkStart w:id="68" w:name="_Toc177054032"/>
      <w:r w:rsidRPr="00E265DB">
        <w:t>Pneumonia</w:t>
      </w:r>
      <w:bookmarkEnd w:id="64"/>
      <w:bookmarkEnd w:id="65"/>
      <w:bookmarkEnd w:id="66"/>
      <w:bookmarkEnd w:id="67"/>
      <w:bookmarkEnd w:id="68"/>
      <w:r w:rsidR="001132AD">
        <w:fldChar w:fldCharType="begin"/>
      </w:r>
      <w:r w:rsidR="001132AD">
        <w:instrText xml:space="preserve"> XE "</w:instrText>
      </w:r>
      <w:r w:rsidR="001132AD" w:rsidRPr="004A0AEB">
        <w:instrText>Pneumonia</w:instrText>
      </w:r>
      <w:r w:rsidR="001132AD">
        <w:instrText xml:space="preserve">" </w:instrText>
      </w:r>
      <w:r w:rsidR="001132AD" w:rsidRPr="001132AD">
        <w:instrText xml:space="preserve">\f “c” </w:instrText>
      </w:r>
      <w:r w:rsidR="001132AD">
        <w:fldChar w:fldCharType="end"/>
      </w:r>
    </w:p>
    <w:p w14:paraId="1259C68E" w14:textId="77777777" w:rsidR="00FF01A9" w:rsidRPr="001F4BAA" w:rsidRDefault="00FF01A9" w:rsidP="00E265DB">
      <w:pPr>
        <w:pStyle w:val="Heading5"/>
      </w:pPr>
      <w:r w:rsidRPr="001F4BAA">
        <w:t xml:space="preserve">DESCRIPTION </w:t>
      </w:r>
    </w:p>
    <w:p w14:paraId="1923011E" w14:textId="77777777" w:rsidR="00FF01A9" w:rsidRDefault="00FF01A9" w:rsidP="00FF01A9">
      <w:pPr>
        <w:pStyle w:val="NoSpacing"/>
      </w:pPr>
      <w:r w:rsidRPr="001F4BAA">
        <w:t xml:space="preserve">Acute infection of the lung parenchyma, usually caused by bacteria, especially </w:t>
      </w:r>
      <w:r w:rsidRPr="000B7031">
        <w:rPr>
          <w:rStyle w:val="Emphasis"/>
        </w:rPr>
        <w:t>Streptococcus pneumonia</w:t>
      </w:r>
      <w:r w:rsidRPr="001F4BAA">
        <w:t xml:space="preserve"> (pneumococcus).</w:t>
      </w:r>
    </w:p>
    <w:p w14:paraId="4D279FEA" w14:textId="77777777" w:rsidR="00493E46" w:rsidRPr="001F4BAA" w:rsidRDefault="00493E46" w:rsidP="00FF01A9">
      <w:pPr>
        <w:pStyle w:val="NoSpacing"/>
      </w:pPr>
    </w:p>
    <w:p w14:paraId="51892157" w14:textId="77777777" w:rsidR="00FF01A9" w:rsidRPr="001F4BAA" w:rsidRDefault="00FF01A9" w:rsidP="00FF01A9">
      <w:pPr>
        <w:pStyle w:val="NoSpacing"/>
      </w:pPr>
      <w:r w:rsidRPr="001F4BAA">
        <w:t>Management is guided by:</w:t>
      </w:r>
    </w:p>
    <w:tbl>
      <w:tblPr>
        <w:tblW w:w="5000" w:type="pct"/>
        <w:tblInd w:w="-113" w:type="dxa"/>
        <w:tblLook w:val="04A0" w:firstRow="1" w:lastRow="0" w:firstColumn="1" w:lastColumn="0" w:noHBand="0" w:noVBand="1"/>
      </w:tblPr>
      <w:tblGrid>
        <w:gridCol w:w="3347"/>
        <w:gridCol w:w="3342"/>
      </w:tblGrid>
      <w:tr w:rsidR="00FF01A9" w:rsidRPr="001F4BAA" w14:paraId="637C3190" w14:textId="77777777" w:rsidTr="000B7031">
        <w:tc>
          <w:tcPr>
            <w:tcW w:w="2502" w:type="pct"/>
          </w:tcPr>
          <w:p w14:paraId="14D0DA27" w14:textId="77777777" w:rsidR="00FF01A9" w:rsidRPr="001F4BAA" w:rsidRDefault="00FF01A9" w:rsidP="000B7031">
            <w:pPr>
              <w:pStyle w:val="ListParagraph"/>
            </w:pPr>
            <w:r w:rsidRPr="001F4BAA">
              <w:t>age</w:t>
            </w:r>
          </w:p>
        </w:tc>
        <w:tc>
          <w:tcPr>
            <w:tcW w:w="2498" w:type="pct"/>
          </w:tcPr>
          <w:p w14:paraId="2B4DD1F3" w14:textId="77777777" w:rsidR="00FF01A9" w:rsidRPr="001F4BAA" w:rsidRDefault="00FF01A9" w:rsidP="000B7031">
            <w:pPr>
              <w:pStyle w:val="ListParagraph"/>
            </w:pPr>
            <w:r w:rsidRPr="001F4BAA">
              <w:t>co-morbidity</w:t>
            </w:r>
          </w:p>
        </w:tc>
      </w:tr>
      <w:tr w:rsidR="00FF01A9" w:rsidRPr="001F4BAA" w14:paraId="457D8267" w14:textId="77777777" w:rsidTr="000B7031">
        <w:tc>
          <w:tcPr>
            <w:tcW w:w="2502" w:type="pct"/>
          </w:tcPr>
          <w:p w14:paraId="2E865CCC" w14:textId="77777777" w:rsidR="00FF01A9" w:rsidRPr="001F4BAA" w:rsidRDefault="00FF01A9" w:rsidP="000B7031">
            <w:pPr>
              <w:pStyle w:val="ListParagraph"/>
            </w:pPr>
            <w:r w:rsidRPr="001F4BAA">
              <w:t>severity of the pneumonia</w:t>
            </w:r>
          </w:p>
        </w:tc>
        <w:tc>
          <w:tcPr>
            <w:tcW w:w="2498" w:type="pct"/>
          </w:tcPr>
          <w:p w14:paraId="73A2BEC5" w14:textId="77777777" w:rsidR="00FF01A9" w:rsidRPr="001F4BAA" w:rsidRDefault="00FF01A9" w:rsidP="004A7096">
            <w:pPr>
              <w:pStyle w:val="NoSpacing"/>
            </w:pPr>
          </w:p>
        </w:tc>
      </w:tr>
    </w:tbl>
    <w:p w14:paraId="03A74AE3" w14:textId="77777777" w:rsidR="00193494" w:rsidRDefault="00193494" w:rsidP="00FF01A9">
      <w:pPr>
        <w:pStyle w:val="NoSpacing"/>
      </w:pPr>
    </w:p>
    <w:p w14:paraId="5E36C6F5" w14:textId="524A3385" w:rsidR="00FF01A9" w:rsidRPr="001F4BAA" w:rsidRDefault="00FF01A9" w:rsidP="00FF01A9">
      <w:pPr>
        <w:pStyle w:val="NoSpacing"/>
      </w:pPr>
      <w:r w:rsidRPr="001F4BAA">
        <w:t>Manifestations include:</w:t>
      </w:r>
    </w:p>
    <w:p w14:paraId="767B8908" w14:textId="638C0358" w:rsidR="00FF01A9" w:rsidRPr="001F4BAA" w:rsidRDefault="00FF01A9" w:rsidP="00C74E71">
      <w:pPr>
        <w:pStyle w:val="ListParagraph"/>
      </w:pPr>
      <w:r w:rsidRPr="001F4BAA">
        <w:t>malaise</w:t>
      </w:r>
      <w:r w:rsidR="00183B53">
        <w:t>;</w:t>
      </w:r>
    </w:p>
    <w:p w14:paraId="7C44E48D" w14:textId="13F3AEDE" w:rsidR="00FF01A9" w:rsidRPr="001F4BAA" w:rsidRDefault="00FF01A9" w:rsidP="00C74E71">
      <w:pPr>
        <w:pStyle w:val="ListParagraph"/>
      </w:pPr>
      <w:r w:rsidRPr="001F4BAA">
        <w:lastRenderedPageBreak/>
        <w:t>fever, often with sudden onset and with rigors</w:t>
      </w:r>
      <w:r w:rsidR="00183B53">
        <w:t>;</w:t>
      </w:r>
    </w:p>
    <w:p w14:paraId="7A00DDBF" w14:textId="29DA186F" w:rsidR="00FF01A9" w:rsidRPr="001F4BAA" w:rsidRDefault="00FF01A9" w:rsidP="00C74E71">
      <w:pPr>
        <w:pStyle w:val="ListParagraph"/>
      </w:pPr>
      <w:r w:rsidRPr="001F4BAA">
        <w:t>cough, which becomes productive of rusty brown or yellow-green sputum</w:t>
      </w:r>
      <w:r w:rsidR="00183B53">
        <w:t>;</w:t>
      </w:r>
    </w:p>
    <w:p w14:paraId="0E47D137" w14:textId="51BDF14F" w:rsidR="00FF01A9" w:rsidRPr="001F4BAA" w:rsidRDefault="00FF01A9" w:rsidP="00C74E71">
      <w:pPr>
        <w:pStyle w:val="ListParagraph"/>
      </w:pPr>
      <w:r w:rsidRPr="001F4BAA">
        <w:t>pleuritic type chest pain</w:t>
      </w:r>
      <w:r w:rsidR="00183B53">
        <w:t>;</w:t>
      </w:r>
    </w:p>
    <w:p w14:paraId="7431E2F3" w14:textId="35C4D401" w:rsidR="00FF01A9" w:rsidRPr="001F4BAA" w:rsidRDefault="00FF01A9" w:rsidP="00C74E71">
      <w:pPr>
        <w:pStyle w:val="ListParagraph"/>
      </w:pPr>
      <w:r w:rsidRPr="001F4BAA">
        <w:t>shortness of breath</w:t>
      </w:r>
      <w:r w:rsidR="00183B53">
        <w:t>;</w:t>
      </w:r>
    </w:p>
    <w:p w14:paraId="38DC786B" w14:textId="490897C9" w:rsidR="00FF01A9" w:rsidRDefault="00193494" w:rsidP="00C74E71">
      <w:pPr>
        <w:pStyle w:val="ListParagraph"/>
      </w:pPr>
      <w:r>
        <w:t xml:space="preserve">and </w:t>
      </w:r>
      <w:r w:rsidR="00FF01A9" w:rsidRPr="001F4BAA">
        <w:t>in severe cases, shock and respiratory failure</w:t>
      </w:r>
      <w:r>
        <w:t>.</w:t>
      </w:r>
    </w:p>
    <w:p w14:paraId="282005BC" w14:textId="77777777" w:rsidR="00E01A78" w:rsidRDefault="00E01A78" w:rsidP="00FF01A9">
      <w:pPr>
        <w:pStyle w:val="NoSpacing"/>
      </w:pPr>
    </w:p>
    <w:p w14:paraId="2D4987CB" w14:textId="77777777" w:rsidR="00FF01A9" w:rsidRPr="001F4BAA" w:rsidRDefault="00FF01A9" w:rsidP="00FF01A9">
      <w:pPr>
        <w:pStyle w:val="NoSpacing"/>
      </w:pPr>
      <w:r w:rsidRPr="001F4BAA">
        <w:t>On examination there is:</w:t>
      </w:r>
    </w:p>
    <w:tbl>
      <w:tblPr>
        <w:tblW w:w="0" w:type="auto"/>
        <w:tblInd w:w="-113" w:type="dxa"/>
        <w:tblLook w:val="04A0" w:firstRow="1" w:lastRow="0" w:firstColumn="1" w:lastColumn="0" w:noHBand="0" w:noVBand="1"/>
      </w:tblPr>
      <w:tblGrid>
        <w:gridCol w:w="3401"/>
        <w:gridCol w:w="3401"/>
      </w:tblGrid>
      <w:tr w:rsidR="00FF01A9" w:rsidRPr="001F4BAA" w14:paraId="1AE55D9C" w14:textId="77777777" w:rsidTr="00C74E71">
        <w:tc>
          <w:tcPr>
            <w:tcW w:w="3453" w:type="dxa"/>
          </w:tcPr>
          <w:p w14:paraId="78EB4D49" w14:textId="77777777" w:rsidR="00FF01A9" w:rsidRPr="001F4BAA" w:rsidRDefault="00FF01A9" w:rsidP="00C74E71">
            <w:pPr>
              <w:pStyle w:val="ListParagraph"/>
            </w:pPr>
            <w:r w:rsidRPr="001F4BAA">
              <w:t>fever</w:t>
            </w:r>
          </w:p>
        </w:tc>
        <w:tc>
          <w:tcPr>
            <w:tcW w:w="3453" w:type="dxa"/>
          </w:tcPr>
          <w:p w14:paraId="7600E1DA" w14:textId="77777777" w:rsidR="00FF01A9" w:rsidRPr="001F4BAA" w:rsidRDefault="00FF01A9" w:rsidP="00C74E71">
            <w:pPr>
              <w:pStyle w:val="ListParagraph"/>
            </w:pPr>
            <w:r w:rsidRPr="001F4BAA">
              <w:t>crackles or crepitations</w:t>
            </w:r>
          </w:p>
        </w:tc>
      </w:tr>
      <w:tr w:rsidR="00FF01A9" w:rsidRPr="001F4BAA" w14:paraId="7DA3426E" w14:textId="77777777" w:rsidTr="00C74E71">
        <w:tc>
          <w:tcPr>
            <w:tcW w:w="3453" w:type="dxa"/>
          </w:tcPr>
          <w:p w14:paraId="6C44F56C" w14:textId="77777777" w:rsidR="00FF01A9" w:rsidRPr="001F4BAA" w:rsidRDefault="00FF01A9" w:rsidP="00C74E71">
            <w:pPr>
              <w:pStyle w:val="ListParagraph"/>
            </w:pPr>
            <w:r w:rsidRPr="001F4BAA">
              <w:t>tachypnoea</w:t>
            </w:r>
          </w:p>
        </w:tc>
        <w:tc>
          <w:tcPr>
            <w:tcW w:w="3453" w:type="dxa"/>
          </w:tcPr>
          <w:p w14:paraId="2C882294" w14:textId="77777777" w:rsidR="00FF01A9" w:rsidRPr="001F4BAA" w:rsidRDefault="00FF01A9" w:rsidP="00C74E71">
            <w:pPr>
              <w:pStyle w:val="ListParagraph"/>
            </w:pPr>
            <w:r w:rsidRPr="001F4BAA">
              <w:t>bronchial breath sounds</w:t>
            </w:r>
          </w:p>
        </w:tc>
      </w:tr>
    </w:tbl>
    <w:p w14:paraId="386606C1" w14:textId="77777777" w:rsidR="00193494" w:rsidRDefault="00193494" w:rsidP="00FF01A9">
      <w:pPr>
        <w:pStyle w:val="NoSpacing"/>
      </w:pPr>
    </w:p>
    <w:p w14:paraId="7B387EC7" w14:textId="487AF837" w:rsidR="00FF01A9" w:rsidRDefault="00193494" w:rsidP="00FF01A9">
      <w:pPr>
        <w:pStyle w:val="NoSpacing"/>
      </w:pPr>
      <w:r>
        <w:t>A</w:t>
      </w:r>
      <w:r w:rsidR="00FF01A9" w:rsidRPr="001F4BAA">
        <w:t xml:space="preserve"> pleural rubbing sound</w:t>
      </w:r>
      <w:r>
        <w:t xml:space="preserve">, </w:t>
      </w:r>
      <w:r w:rsidR="00FF01A9" w:rsidRPr="001F4BAA">
        <w:t>or signs of a pleural effusion</w:t>
      </w:r>
      <w:r>
        <w:t xml:space="preserve"> may be present</w:t>
      </w:r>
      <w:r w:rsidR="00FF01A9" w:rsidRPr="001F4BAA">
        <w:t>.</w:t>
      </w:r>
    </w:p>
    <w:p w14:paraId="409739C7" w14:textId="77777777" w:rsidR="00193494" w:rsidRPr="001F4BAA" w:rsidRDefault="00193494" w:rsidP="00FF01A9">
      <w:pPr>
        <w:pStyle w:val="NoSpacing"/>
      </w:pPr>
    </w:p>
    <w:p w14:paraId="4963A718" w14:textId="77777777" w:rsidR="00FF01A9" w:rsidRPr="001F4BAA" w:rsidRDefault="00FF01A9" w:rsidP="00FF01A9">
      <w:pPr>
        <w:pStyle w:val="NoSpacing"/>
      </w:pPr>
      <w:r w:rsidRPr="001F4BAA">
        <w:t>Predisposing conditions include:</w:t>
      </w:r>
    </w:p>
    <w:tbl>
      <w:tblPr>
        <w:tblW w:w="0" w:type="auto"/>
        <w:tblInd w:w="-113" w:type="dxa"/>
        <w:tblLook w:val="04A0" w:firstRow="1" w:lastRow="0" w:firstColumn="1" w:lastColumn="0" w:noHBand="0" w:noVBand="1"/>
      </w:tblPr>
      <w:tblGrid>
        <w:gridCol w:w="3400"/>
        <w:gridCol w:w="3402"/>
      </w:tblGrid>
      <w:tr w:rsidR="00FF01A9" w:rsidRPr="001F4BAA" w14:paraId="78723F11" w14:textId="77777777" w:rsidTr="00C74E71">
        <w:tc>
          <w:tcPr>
            <w:tcW w:w="3453" w:type="dxa"/>
          </w:tcPr>
          <w:p w14:paraId="0F0E1565" w14:textId="77777777" w:rsidR="00FF01A9" w:rsidRPr="001F4BAA" w:rsidRDefault="00FF01A9" w:rsidP="00C74E71">
            <w:pPr>
              <w:pStyle w:val="ListParagraph"/>
            </w:pPr>
            <w:r w:rsidRPr="001F4BAA">
              <w:t>very young or old age</w:t>
            </w:r>
          </w:p>
        </w:tc>
        <w:tc>
          <w:tcPr>
            <w:tcW w:w="3453" w:type="dxa"/>
          </w:tcPr>
          <w:p w14:paraId="2A5776B8" w14:textId="77777777" w:rsidR="00FF01A9" w:rsidRPr="001F4BAA" w:rsidRDefault="00FF01A9" w:rsidP="00C74E71">
            <w:pPr>
              <w:pStyle w:val="ListParagraph"/>
            </w:pPr>
            <w:r w:rsidRPr="001F4BAA">
              <w:t>other concomitant diseases</w:t>
            </w:r>
          </w:p>
        </w:tc>
      </w:tr>
      <w:tr w:rsidR="00FF01A9" w:rsidRPr="001F4BAA" w14:paraId="3DCCB976" w14:textId="77777777" w:rsidTr="00C74E71">
        <w:tc>
          <w:tcPr>
            <w:tcW w:w="3453" w:type="dxa"/>
          </w:tcPr>
          <w:p w14:paraId="51EA614A" w14:textId="77777777" w:rsidR="00FF01A9" w:rsidRPr="001F4BAA" w:rsidRDefault="00FF01A9" w:rsidP="00C74E71">
            <w:pPr>
              <w:pStyle w:val="ListParagraph"/>
            </w:pPr>
            <w:r w:rsidRPr="001F4BAA">
              <w:t>malnutrition</w:t>
            </w:r>
          </w:p>
        </w:tc>
        <w:tc>
          <w:tcPr>
            <w:tcW w:w="3453" w:type="dxa"/>
          </w:tcPr>
          <w:p w14:paraId="27A3464D" w14:textId="77777777" w:rsidR="00FF01A9" w:rsidRPr="001F4BAA" w:rsidRDefault="00FF01A9" w:rsidP="00C74E71">
            <w:pPr>
              <w:pStyle w:val="ListParagraph"/>
            </w:pPr>
            <w:r w:rsidRPr="001F4BAA">
              <w:t>HIV infection</w:t>
            </w:r>
          </w:p>
        </w:tc>
      </w:tr>
    </w:tbl>
    <w:p w14:paraId="3E66B0B8" w14:textId="77777777" w:rsidR="00193494" w:rsidRDefault="00193494" w:rsidP="00FF01A9">
      <w:pPr>
        <w:pStyle w:val="NoSpacing"/>
      </w:pPr>
    </w:p>
    <w:p w14:paraId="2D576AB9" w14:textId="05202CE3" w:rsidR="00FF01A9" w:rsidRPr="001F4BAA" w:rsidRDefault="00FF01A9" w:rsidP="00FF01A9">
      <w:pPr>
        <w:pStyle w:val="NoSpacing"/>
      </w:pPr>
      <w:r w:rsidRPr="001F4BAA">
        <w:t>Pneumococcal pneumonia often occurs in previously healthy adults.</w:t>
      </w:r>
    </w:p>
    <w:p w14:paraId="0DA602C4" w14:textId="77777777" w:rsidR="00FF01A9" w:rsidRPr="001F4BAA" w:rsidRDefault="00FF01A9" w:rsidP="00FF01A9">
      <w:pPr>
        <w:pStyle w:val="NoSpacing"/>
      </w:pPr>
      <w:r w:rsidRPr="001F4BAA">
        <w:t>Adults with mild to moderately severe pneumonia may be managed at PHC level, depending on the response to initial treatment (see below).</w:t>
      </w:r>
    </w:p>
    <w:p w14:paraId="34C4DE96" w14:textId="77777777" w:rsidR="00FF01A9" w:rsidRPr="001F4BAA" w:rsidRDefault="00FF01A9" w:rsidP="00FF01A9">
      <w:pPr>
        <w:pStyle w:val="NoSpacing"/>
      </w:pPr>
    </w:p>
    <w:p w14:paraId="7F9C01F8" w14:textId="3354363C" w:rsidR="00FF01A9" w:rsidRPr="002748C3" w:rsidRDefault="002748C3" w:rsidP="002748C3">
      <w:pPr>
        <w:pStyle w:val="Heading4"/>
      </w:pPr>
      <w:bookmarkStart w:id="69" w:name="_Toc57838385"/>
      <w:bookmarkStart w:id="70" w:name="_Toc57838481"/>
      <w:bookmarkStart w:id="71" w:name="_Toc57839898"/>
      <w:bookmarkStart w:id="72" w:name="_Toc57840035"/>
      <w:bookmarkStart w:id="73" w:name="_Toc177054033"/>
      <w:r w:rsidRPr="002748C3">
        <w:t>Pneumonia in children</w:t>
      </w:r>
      <w:bookmarkEnd w:id="69"/>
      <w:bookmarkEnd w:id="70"/>
      <w:bookmarkEnd w:id="71"/>
      <w:bookmarkEnd w:id="72"/>
      <w:bookmarkEnd w:id="73"/>
      <w:r w:rsidR="001132AD">
        <w:fldChar w:fldCharType="begin"/>
      </w:r>
      <w:r w:rsidR="001132AD">
        <w:instrText xml:space="preserve"> XE "</w:instrText>
      </w:r>
      <w:r w:rsidR="001132AD" w:rsidRPr="004A0AEB">
        <w:instrText>Pneumonia in children</w:instrText>
      </w:r>
      <w:r w:rsidR="001132AD">
        <w:instrText xml:space="preserve">" </w:instrText>
      </w:r>
      <w:r w:rsidR="001132AD" w:rsidRPr="001132AD">
        <w:instrText xml:space="preserve">\f “c” </w:instrText>
      </w:r>
      <w:r w:rsidR="001132AD">
        <w:fldChar w:fldCharType="end"/>
      </w:r>
    </w:p>
    <w:p w14:paraId="1F04935D" w14:textId="3C8DE232" w:rsidR="00FF01A9" w:rsidRPr="001F4BAA" w:rsidRDefault="00FF01A9" w:rsidP="002344FD">
      <w:pPr>
        <w:pStyle w:val="ICD10"/>
        <w:shd w:val="clear" w:color="auto" w:fill="F2F2F2" w:themeFill="background1" w:themeFillShade="F2"/>
        <w:tabs>
          <w:tab w:val="left" w:pos="2753"/>
        </w:tabs>
      </w:pPr>
      <w:r w:rsidRPr="001F4BAA">
        <w:t>J18.0-2/J18</w:t>
      </w:r>
      <w:r w:rsidR="008F50BF">
        <w:t>.8</w:t>
      </w:r>
      <w:r w:rsidRPr="001F4BAA">
        <w:t>-9</w:t>
      </w:r>
    </w:p>
    <w:p w14:paraId="50427BF1" w14:textId="77777777" w:rsidR="00FF01A9" w:rsidRPr="001F4BAA" w:rsidRDefault="00FF01A9" w:rsidP="002748C3">
      <w:pPr>
        <w:pStyle w:val="Heading5"/>
      </w:pPr>
      <w:r w:rsidRPr="001F4BAA">
        <w:t>DESCRIPTION</w:t>
      </w:r>
    </w:p>
    <w:p w14:paraId="2199B0BB" w14:textId="44D8392A" w:rsidR="00FF01A9" w:rsidRDefault="00FF01A9" w:rsidP="00FF01A9">
      <w:pPr>
        <w:pStyle w:val="NoSpacing"/>
      </w:pPr>
      <w:r w:rsidRPr="001F4BAA">
        <w:t xml:space="preserve">Pneumonia should be distinguished from viral upper respiratory infections. </w:t>
      </w:r>
      <w:r w:rsidR="00851C1A" w:rsidRPr="00851C1A">
        <w:t>With viral URTIs’ the respiratory rate will be normal.  A raised respiratory rate indicates an alternate diagnosis such as bronchiolitis or pneumonia</w:t>
      </w:r>
      <w:r w:rsidR="00851C1A">
        <w:t>.</w:t>
      </w:r>
    </w:p>
    <w:p w14:paraId="5F663D8E" w14:textId="77777777" w:rsidR="00CD7BE7" w:rsidRPr="001F4BAA" w:rsidRDefault="00CD7BE7" w:rsidP="00FF01A9">
      <w:pPr>
        <w:pStyle w:val="NoSpacing"/>
      </w:pPr>
    </w:p>
    <w:p w14:paraId="6F88C72C" w14:textId="77777777" w:rsidR="00E01A78" w:rsidRDefault="00E01A78" w:rsidP="00FF01A9">
      <w:pPr>
        <w:pStyle w:val="NoSpacing"/>
        <w:rPr>
          <w:rStyle w:val="Strong"/>
        </w:rPr>
      </w:pPr>
    </w:p>
    <w:p w14:paraId="31E11A4D" w14:textId="77777777" w:rsidR="00FF01A9" w:rsidRPr="00C74E71" w:rsidRDefault="00FF01A9" w:rsidP="00FF01A9">
      <w:pPr>
        <w:pStyle w:val="NoSpacing"/>
        <w:rPr>
          <w:rStyle w:val="Strong"/>
        </w:rPr>
      </w:pPr>
      <w:r w:rsidRPr="00C74E71">
        <w:rPr>
          <w:rStyle w:val="Strong"/>
        </w:rPr>
        <w:t>Assess the child for the severity of the pneumonia</w:t>
      </w:r>
    </w:p>
    <w:p w14:paraId="23BAD789" w14:textId="77777777" w:rsidR="00FF01A9" w:rsidRPr="001F4BAA" w:rsidRDefault="00FF01A9" w:rsidP="00FF01A9">
      <w:pPr>
        <w:pStyle w:val="NoSpacing"/>
      </w:pPr>
      <w:r w:rsidRPr="001F4BAA">
        <w:t>Classify children according to the severity of the illness:</w:t>
      </w:r>
    </w:p>
    <w:p w14:paraId="51EB7B42" w14:textId="77777777" w:rsidR="00FF01A9" w:rsidRPr="001F4BAA" w:rsidRDefault="00FF01A9" w:rsidP="00C74E71">
      <w:pPr>
        <w:pStyle w:val="ListParagraph"/>
      </w:pPr>
      <w:r w:rsidRPr="001F4BAA">
        <w:t>Pneumonia: fever, cough and rapid breathing, but no chest indrawing (of the lower chest wall) and no flaring of nostrils.</w:t>
      </w:r>
    </w:p>
    <w:p w14:paraId="51E480AC" w14:textId="77777777" w:rsidR="00FF01A9" w:rsidRPr="001F4BAA" w:rsidRDefault="00FF01A9" w:rsidP="00C74E71">
      <w:pPr>
        <w:pStyle w:val="ListParagraph"/>
      </w:pPr>
      <w:r w:rsidRPr="001F4BAA">
        <w:t xml:space="preserve">Severe pneumonia: fever, cough, rapid breathing, chest indrawing and flaring nostrils, </w:t>
      </w:r>
      <w:r w:rsidRPr="00C74E71">
        <w:rPr>
          <w:u w:val="single"/>
        </w:rPr>
        <w:t>or grunting</w:t>
      </w:r>
      <w:r w:rsidRPr="001F4BAA">
        <w:t>.</w:t>
      </w:r>
    </w:p>
    <w:p w14:paraId="46291D54" w14:textId="3E0EDF64" w:rsidR="00FF01A9" w:rsidRDefault="00FF01A9" w:rsidP="00FF01A9">
      <w:pPr>
        <w:pStyle w:val="NoSpacing"/>
      </w:pPr>
      <w:r w:rsidRPr="00C74E71">
        <w:rPr>
          <w:rStyle w:val="Strong"/>
        </w:rPr>
        <w:t>Note:</w:t>
      </w:r>
      <w:r w:rsidRPr="001F4BAA">
        <w:t xml:space="preserve"> Children </w:t>
      </w:r>
      <w:r w:rsidR="007277E7">
        <w:t>&lt;</w:t>
      </w:r>
      <w:r w:rsidRPr="001F4BAA">
        <w:t xml:space="preserve">2 months of age with rapid breathing should be classified as having severe pneumonia. </w:t>
      </w:r>
    </w:p>
    <w:p w14:paraId="38CF879B" w14:textId="77777777" w:rsidR="00AA0734" w:rsidRPr="001F4BAA" w:rsidRDefault="00AA0734" w:rsidP="00FF01A9">
      <w:pPr>
        <w:pStyle w:val="NoSpacing"/>
      </w:pPr>
    </w:p>
    <w:p w14:paraId="4AE8A96A" w14:textId="77777777" w:rsidR="00FF01A9" w:rsidRPr="001F4BAA" w:rsidRDefault="00FF01A9" w:rsidP="00FF01A9">
      <w:pPr>
        <w:pStyle w:val="NoSpacing"/>
      </w:pPr>
      <w:r w:rsidRPr="001F4BAA">
        <w:t xml:space="preserve">Rapid breathing is defined according to age: </w:t>
      </w:r>
    </w:p>
    <w:tbl>
      <w:tblPr>
        <w:tblStyle w:val="SamplePHCTable"/>
        <w:tblW w:w="5000" w:type="pct"/>
        <w:tblLook w:val="0020" w:firstRow="1" w:lastRow="0" w:firstColumn="0" w:lastColumn="0" w:noHBand="0" w:noVBand="0"/>
      </w:tblPr>
      <w:tblGrid>
        <w:gridCol w:w="3339"/>
        <w:gridCol w:w="3340"/>
      </w:tblGrid>
      <w:tr w:rsidR="00FF01A9" w:rsidRPr="001F4BAA" w14:paraId="409B6196" w14:textId="77777777" w:rsidTr="00C74E71">
        <w:trPr>
          <w:cnfStyle w:val="100000000000" w:firstRow="1" w:lastRow="0" w:firstColumn="0" w:lastColumn="0" w:oddVBand="0" w:evenVBand="0" w:oddHBand="0" w:evenHBand="0" w:firstRowFirstColumn="0" w:firstRowLastColumn="0" w:lastRowFirstColumn="0" w:lastRowLastColumn="0"/>
        </w:trPr>
        <w:tc>
          <w:tcPr>
            <w:tcW w:w="2500" w:type="pct"/>
          </w:tcPr>
          <w:p w14:paraId="5AB82D1C" w14:textId="77777777" w:rsidR="00FF01A9" w:rsidRPr="001F4BAA" w:rsidRDefault="00FF01A9" w:rsidP="004A7096">
            <w:pPr>
              <w:pStyle w:val="NoSpacing"/>
            </w:pPr>
            <w:r w:rsidRPr="001F4BAA">
              <w:t>Age</w:t>
            </w:r>
          </w:p>
        </w:tc>
        <w:tc>
          <w:tcPr>
            <w:tcW w:w="2500" w:type="pct"/>
          </w:tcPr>
          <w:p w14:paraId="66A770B3" w14:textId="77777777" w:rsidR="00FF01A9" w:rsidRPr="001F4BAA" w:rsidRDefault="00FF01A9" w:rsidP="004A7096">
            <w:pPr>
              <w:pStyle w:val="NoSpacing"/>
            </w:pPr>
            <w:r w:rsidRPr="001F4BAA">
              <w:t>Respiratory rate</w:t>
            </w:r>
          </w:p>
        </w:tc>
      </w:tr>
      <w:tr w:rsidR="00FF01A9" w:rsidRPr="001F4BAA" w14:paraId="3C8538B6" w14:textId="77777777" w:rsidTr="00C74E71">
        <w:tc>
          <w:tcPr>
            <w:tcW w:w="2500" w:type="pct"/>
          </w:tcPr>
          <w:p w14:paraId="23FB9A2D" w14:textId="77777777" w:rsidR="00FF01A9" w:rsidRPr="001F4BAA" w:rsidRDefault="00FF01A9" w:rsidP="004A7096">
            <w:pPr>
              <w:pStyle w:val="NoSpacing"/>
            </w:pPr>
            <w:r w:rsidRPr="001F4BAA">
              <w:t>Birth – 2 months</w:t>
            </w:r>
          </w:p>
        </w:tc>
        <w:tc>
          <w:tcPr>
            <w:tcW w:w="2500" w:type="pct"/>
          </w:tcPr>
          <w:p w14:paraId="06566C4B" w14:textId="77777777" w:rsidR="00FF01A9" w:rsidRPr="001F4BAA" w:rsidRDefault="00FF01A9" w:rsidP="004A7096">
            <w:pPr>
              <w:pStyle w:val="NoSpacing"/>
            </w:pPr>
            <w:r w:rsidRPr="001F4BAA">
              <w:t>≥ 60 breaths/minute</w:t>
            </w:r>
          </w:p>
        </w:tc>
      </w:tr>
      <w:tr w:rsidR="00FF01A9" w:rsidRPr="001F4BAA" w14:paraId="27E4C3A8" w14:textId="77777777" w:rsidTr="00C74E71">
        <w:tc>
          <w:tcPr>
            <w:tcW w:w="2500" w:type="pct"/>
          </w:tcPr>
          <w:p w14:paraId="5DDD722F" w14:textId="77777777" w:rsidR="00FF01A9" w:rsidRPr="001F4BAA" w:rsidRDefault="00FF01A9" w:rsidP="004A7096">
            <w:pPr>
              <w:pStyle w:val="NoSpacing"/>
            </w:pPr>
            <w:r w:rsidRPr="001F4BAA">
              <w:t>2–12 months</w:t>
            </w:r>
          </w:p>
        </w:tc>
        <w:tc>
          <w:tcPr>
            <w:tcW w:w="2500" w:type="pct"/>
          </w:tcPr>
          <w:p w14:paraId="13726DA3" w14:textId="77777777" w:rsidR="00FF01A9" w:rsidRPr="001F4BAA" w:rsidRDefault="00FF01A9" w:rsidP="004A7096">
            <w:pPr>
              <w:pStyle w:val="NoSpacing"/>
            </w:pPr>
            <w:r w:rsidRPr="001F4BAA">
              <w:t>≥ 50 breaths/minute</w:t>
            </w:r>
          </w:p>
        </w:tc>
      </w:tr>
      <w:tr w:rsidR="00FF01A9" w:rsidRPr="001F4BAA" w14:paraId="5E3FCF06" w14:textId="77777777" w:rsidTr="00C74E71">
        <w:tc>
          <w:tcPr>
            <w:tcW w:w="2500" w:type="pct"/>
          </w:tcPr>
          <w:p w14:paraId="0E32DBC7" w14:textId="77777777" w:rsidR="00FF01A9" w:rsidRPr="001F4BAA" w:rsidRDefault="00FF01A9" w:rsidP="004A7096">
            <w:pPr>
              <w:pStyle w:val="NoSpacing"/>
            </w:pPr>
            <w:r w:rsidRPr="001F4BAA">
              <w:t>1–5 years</w:t>
            </w:r>
          </w:p>
        </w:tc>
        <w:tc>
          <w:tcPr>
            <w:tcW w:w="2500" w:type="pct"/>
          </w:tcPr>
          <w:p w14:paraId="5026094E" w14:textId="77777777" w:rsidR="00FF01A9" w:rsidRPr="001F4BAA" w:rsidRDefault="00FF01A9" w:rsidP="004A7096">
            <w:pPr>
              <w:pStyle w:val="NoSpacing"/>
            </w:pPr>
            <w:r w:rsidRPr="001F4BAA">
              <w:t>≥ 40 breaths/minute</w:t>
            </w:r>
          </w:p>
        </w:tc>
      </w:tr>
    </w:tbl>
    <w:p w14:paraId="08E89C6E" w14:textId="77777777" w:rsidR="00FF01A9" w:rsidRPr="001F4BAA" w:rsidRDefault="00FF01A9" w:rsidP="00C74E71">
      <w:pPr>
        <w:pStyle w:val="Heading7"/>
      </w:pPr>
      <w:r w:rsidRPr="001F4BAA">
        <w:t>Danger signs indicating urgent and immediate referral include:</w:t>
      </w:r>
    </w:p>
    <w:tbl>
      <w:tblPr>
        <w:tblW w:w="5000" w:type="pct"/>
        <w:tblInd w:w="-113" w:type="dxa"/>
        <w:tblLook w:val="04A0" w:firstRow="1" w:lastRow="0" w:firstColumn="1" w:lastColumn="0" w:noHBand="0" w:noVBand="1"/>
      </w:tblPr>
      <w:tblGrid>
        <w:gridCol w:w="3679"/>
        <w:gridCol w:w="3010"/>
      </w:tblGrid>
      <w:tr w:rsidR="00FF01A9" w:rsidRPr="001F4BAA" w14:paraId="275D47DB" w14:textId="77777777" w:rsidTr="00C74E71">
        <w:tc>
          <w:tcPr>
            <w:tcW w:w="2750" w:type="pct"/>
          </w:tcPr>
          <w:p w14:paraId="5EC5CF12" w14:textId="5B9CE17C" w:rsidR="00FF01A9" w:rsidRPr="001F4BAA" w:rsidRDefault="00FF01A9" w:rsidP="00C74E71">
            <w:pPr>
              <w:pStyle w:val="ListParagraph"/>
            </w:pPr>
            <w:r w:rsidRPr="001F4BAA">
              <w:t xml:space="preserve">oxygen saturation of </w:t>
            </w:r>
            <w:r w:rsidR="007277E7">
              <w:t>&lt;</w:t>
            </w:r>
            <w:r w:rsidRPr="001F4BAA">
              <w:t>90% in room air</w:t>
            </w:r>
          </w:p>
        </w:tc>
        <w:tc>
          <w:tcPr>
            <w:tcW w:w="2250" w:type="pct"/>
          </w:tcPr>
          <w:p w14:paraId="65A5DEB2" w14:textId="77777777" w:rsidR="00FF01A9" w:rsidRPr="001F4BAA" w:rsidRDefault="00FF01A9" w:rsidP="00C74E71">
            <w:pPr>
              <w:pStyle w:val="ListParagraph"/>
            </w:pPr>
            <w:r w:rsidRPr="001F4BAA">
              <w:t>cyanosis</w:t>
            </w:r>
          </w:p>
        </w:tc>
      </w:tr>
      <w:tr w:rsidR="00FF01A9" w:rsidRPr="001F4BAA" w14:paraId="53E53C21" w14:textId="77777777" w:rsidTr="00C74E71">
        <w:tc>
          <w:tcPr>
            <w:tcW w:w="2750" w:type="pct"/>
          </w:tcPr>
          <w:p w14:paraId="409A5355" w14:textId="77777777" w:rsidR="00FF01A9" w:rsidRPr="001F4BAA" w:rsidRDefault="00FF01A9" w:rsidP="00C74E71">
            <w:pPr>
              <w:pStyle w:val="ListParagraph"/>
            </w:pPr>
            <w:r w:rsidRPr="001F4BAA">
              <w:t>inability to drink</w:t>
            </w:r>
          </w:p>
        </w:tc>
        <w:tc>
          <w:tcPr>
            <w:tcW w:w="2250" w:type="pct"/>
          </w:tcPr>
          <w:p w14:paraId="7B7BB53F" w14:textId="2C8329F0" w:rsidR="00FF01A9" w:rsidRPr="001F4BAA" w:rsidRDefault="007277E7" w:rsidP="00C74E71">
            <w:pPr>
              <w:pStyle w:val="ListParagraph"/>
            </w:pPr>
            <w:r>
              <w:t>&lt;</w:t>
            </w:r>
            <w:r w:rsidR="00FF01A9" w:rsidRPr="001F4BAA">
              <w:t>2 months of age</w:t>
            </w:r>
          </w:p>
        </w:tc>
      </w:tr>
      <w:tr w:rsidR="00FF01A9" w:rsidRPr="001F4BAA" w14:paraId="0DF6931D" w14:textId="77777777" w:rsidTr="00C74E71">
        <w:tc>
          <w:tcPr>
            <w:tcW w:w="2750" w:type="pct"/>
          </w:tcPr>
          <w:p w14:paraId="1C409CC6" w14:textId="77777777" w:rsidR="00FF01A9" w:rsidRPr="001F4BAA" w:rsidRDefault="00FF01A9" w:rsidP="00C74E71">
            <w:pPr>
              <w:pStyle w:val="ListParagraph"/>
            </w:pPr>
            <w:r w:rsidRPr="001F4BAA">
              <w:t>impaired consciousness</w:t>
            </w:r>
          </w:p>
        </w:tc>
        <w:tc>
          <w:tcPr>
            <w:tcW w:w="2250" w:type="pct"/>
          </w:tcPr>
          <w:p w14:paraId="75CB2926" w14:textId="77777777" w:rsidR="00FF01A9" w:rsidRPr="001F4BAA" w:rsidRDefault="00FF01A9" w:rsidP="00C74E71">
            <w:pPr>
              <w:pStyle w:val="ListParagraph"/>
            </w:pPr>
            <w:r w:rsidRPr="001F4BAA">
              <w:t>grunting</w:t>
            </w:r>
          </w:p>
        </w:tc>
      </w:tr>
    </w:tbl>
    <w:p w14:paraId="2820F501" w14:textId="77777777" w:rsidR="00FF01A9" w:rsidRPr="001F4BAA" w:rsidRDefault="00FF01A9" w:rsidP="002748C3">
      <w:pPr>
        <w:pStyle w:val="Heading5"/>
      </w:pPr>
      <w:r w:rsidRPr="001F4BAA">
        <w:lastRenderedPageBreak/>
        <w:t>GENERAL MEASURES</w:t>
      </w:r>
    </w:p>
    <w:p w14:paraId="1363DDFD" w14:textId="77777777" w:rsidR="00FF01A9" w:rsidRPr="001F4BAA" w:rsidRDefault="00FF01A9" w:rsidP="00C74E71">
      <w:pPr>
        <w:pStyle w:val="ListParagraph"/>
      </w:pPr>
      <w:r w:rsidRPr="001F4BAA">
        <w:t>Ensure adequate hydration.</w:t>
      </w:r>
    </w:p>
    <w:p w14:paraId="7947F658" w14:textId="77777777" w:rsidR="00FF01A9" w:rsidRPr="001F4BAA" w:rsidRDefault="00FF01A9" w:rsidP="00C74E71">
      <w:pPr>
        <w:pStyle w:val="ListParagraph"/>
      </w:pPr>
      <w:r w:rsidRPr="001F4BAA">
        <w:t>Continue feeding.</w:t>
      </w:r>
    </w:p>
    <w:p w14:paraId="3C2235F7" w14:textId="77777777" w:rsidR="00FF01A9" w:rsidRPr="001F4BAA" w:rsidRDefault="00FF01A9" w:rsidP="002748C3">
      <w:pPr>
        <w:pStyle w:val="Heading5"/>
      </w:pPr>
      <w:r w:rsidRPr="001F4BAA">
        <w:t>MEDICINE TREATMENT</w:t>
      </w:r>
    </w:p>
    <w:p w14:paraId="077D137C" w14:textId="77777777" w:rsidR="00FF01A9" w:rsidRPr="001F4BAA" w:rsidRDefault="00FF01A9" w:rsidP="00C74E71">
      <w:pPr>
        <w:pStyle w:val="Heading7"/>
      </w:pPr>
      <w:r w:rsidRPr="001F4BAA">
        <w:t>Pneumonia (non-severe):</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FF01A9" w:rsidRPr="001F4BAA" w14:paraId="7EDC1FAF" w14:textId="77777777" w:rsidTr="00C74E71">
        <w:tc>
          <w:tcPr>
            <w:tcW w:w="907" w:type="dxa"/>
            <w:shd w:val="clear" w:color="auto" w:fill="FFFFFF" w:themeFill="background1"/>
          </w:tcPr>
          <w:p w14:paraId="64612BD9" w14:textId="763FE5E2" w:rsidR="00FF01A9" w:rsidRPr="002344FD" w:rsidRDefault="00B5324C" w:rsidP="00C74E71">
            <w:pPr>
              <w:pStyle w:val="LoEText"/>
              <w:framePr w:hSpace="0" w:wrap="auto" w:vAnchor="margin" w:hAnchor="text" w:xAlign="left" w:yAlign="inline"/>
              <w:suppressOverlap w:val="0"/>
              <w:rPr>
                <w:sz w:val="14"/>
                <w:szCs w:val="14"/>
              </w:rPr>
            </w:pPr>
            <w:r w:rsidRPr="002344FD">
              <w:rPr>
                <w:sz w:val="14"/>
                <w:szCs w:val="14"/>
              </w:rPr>
              <w:t>LoE:IVb</w:t>
            </w:r>
            <w:r w:rsidR="00FF01A9" w:rsidRPr="002344FD">
              <w:rPr>
                <w:rStyle w:val="EndnoteReference8"/>
                <w:sz w:val="14"/>
                <w:szCs w:val="14"/>
              </w:rPr>
              <w:endnoteReference w:id="20"/>
            </w:r>
          </w:p>
        </w:tc>
      </w:tr>
    </w:tbl>
    <w:p w14:paraId="0B0A7F49" w14:textId="6C405666" w:rsidR="00FF01A9" w:rsidRPr="001F4BAA" w:rsidRDefault="00FF01A9" w:rsidP="008542CC">
      <w:pPr>
        <w:pStyle w:val="BulletMedicine"/>
        <w:numPr>
          <w:ilvl w:val="0"/>
          <w:numId w:val="26"/>
        </w:numPr>
      </w:pPr>
      <w:r w:rsidRPr="001F4BAA">
        <w:t>Amoxicillin, oral</w:t>
      </w:r>
      <w:r w:rsidR="00812598">
        <w:fldChar w:fldCharType="begin"/>
      </w:r>
      <w:r w:rsidR="00812598">
        <w:instrText xml:space="preserve"> XE “Amoxicillin, oral” \f “m” </w:instrText>
      </w:r>
      <w:r w:rsidR="00812598">
        <w:fldChar w:fldCharType="end"/>
      </w:r>
      <w:r w:rsidRPr="001F4BAA">
        <w:t>, 45 mg/kg/dose, 12 hourly for 5 days.</w:t>
      </w:r>
      <w:r w:rsidR="00B75193" w:rsidRPr="00B75193">
        <w:rPr>
          <w:b/>
          <w:noProof/>
        </w:rPr>
        <w:t xml:space="preserve"> </w:t>
      </w:r>
      <w:r w:rsidR="00B75193" w:rsidRPr="00804EB1">
        <w:rPr>
          <w:b/>
          <w:noProof/>
          <w:lang w:eastAsia="en-ZA"/>
        </w:rPr>
        <w:drawing>
          <wp:inline distT="0" distB="0" distL="0" distR="0" wp14:anchorId="2E7EFF30" wp14:editId="084AC223">
            <wp:extent cx="145966" cy="143197"/>
            <wp:effectExtent l="0" t="0" r="6985" b="0"/>
            <wp:docPr id="2034135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81" cy="145665"/>
                    </a:xfrm>
                    <a:prstGeom prst="rect">
                      <a:avLst/>
                    </a:prstGeom>
                    <a:noFill/>
                    <a:ln>
                      <a:noFill/>
                    </a:ln>
                  </pic:spPr>
                </pic:pic>
              </a:graphicData>
            </a:graphic>
          </wp:inline>
        </w:drawing>
      </w:r>
    </w:p>
    <w:tbl>
      <w:tblPr>
        <w:tblStyle w:val="SamplePHCTable"/>
        <w:tblW w:w="5000" w:type="pct"/>
        <w:tblLook w:val="0060" w:firstRow="1" w:lastRow="1" w:firstColumn="0" w:lastColumn="0" w:noHBand="0" w:noVBand="0"/>
      </w:tblPr>
      <w:tblGrid>
        <w:gridCol w:w="1272"/>
        <w:gridCol w:w="854"/>
        <w:gridCol w:w="726"/>
        <w:gridCol w:w="828"/>
        <w:gridCol w:w="548"/>
        <w:gridCol w:w="597"/>
        <w:gridCol w:w="1864"/>
      </w:tblGrid>
      <w:tr w:rsidR="00FF01A9" w:rsidRPr="001F4BAA" w14:paraId="2A6546F4" w14:textId="77777777" w:rsidTr="004E2308">
        <w:trPr>
          <w:cnfStyle w:val="100000000000" w:firstRow="1" w:lastRow="0" w:firstColumn="0" w:lastColumn="0" w:oddVBand="0" w:evenVBand="0" w:oddHBand="0" w:evenHBand="0" w:firstRowFirstColumn="0" w:firstRowLastColumn="0" w:lastRowFirstColumn="0" w:lastRowLastColumn="0"/>
        </w:trPr>
        <w:tc>
          <w:tcPr>
            <w:tcW w:w="951" w:type="pct"/>
            <w:vMerge w:val="restart"/>
          </w:tcPr>
          <w:p w14:paraId="2CC1CC04" w14:textId="77777777" w:rsidR="00FF01A9" w:rsidRPr="001F4BAA" w:rsidRDefault="00FF01A9" w:rsidP="004A7096">
            <w:pPr>
              <w:pStyle w:val="NoSpacing"/>
            </w:pPr>
            <w:r w:rsidRPr="001F4BAA">
              <w:t>Weight</w:t>
            </w:r>
          </w:p>
          <w:p w14:paraId="21BC8DA5" w14:textId="58278DFF" w:rsidR="00FF01A9" w:rsidRPr="00557AAD" w:rsidRDefault="008A3590" w:rsidP="004A7096">
            <w:pPr>
              <w:pStyle w:val="NoSpacing"/>
              <w:rPr>
                <w:b w:val="0"/>
                <w:bCs/>
              </w:rPr>
            </w:pPr>
            <w:r>
              <w:rPr>
                <w:b w:val="0"/>
                <w:bCs/>
              </w:rPr>
              <w:t>(</w:t>
            </w:r>
            <w:r w:rsidR="00FF01A9" w:rsidRPr="00557AAD">
              <w:rPr>
                <w:b w:val="0"/>
                <w:bCs/>
              </w:rPr>
              <w:t>kg</w:t>
            </w:r>
            <w:r>
              <w:rPr>
                <w:b w:val="0"/>
                <w:bCs/>
              </w:rPr>
              <w:t>)</w:t>
            </w:r>
          </w:p>
        </w:tc>
        <w:tc>
          <w:tcPr>
            <w:tcW w:w="638" w:type="pct"/>
            <w:vMerge w:val="restart"/>
          </w:tcPr>
          <w:p w14:paraId="5992C4C3" w14:textId="77777777" w:rsidR="00FF01A9" w:rsidRPr="001F4BAA" w:rsidRDefault="00FF01A9" w:rsidP="004A7096">
            <w:pPr>
              <w:pStyle w:val="NoSpacing"/>
            </w:pPr>
            <w:r w:rsidRPr="001F4BAA">
              <w:t>Dose</w:t>
            </w:r>
          </w:p>
          <w:p w14:paraId="6E93542A" w14:textId="77777777" w:rsidR="00FF01A9" w:rsidRPr="00557AAD" w:rsidRDefault="00FF01A9" w:rsidP="004A7096">
            <w:pPr>
              <w:pStyle w:val="NoSpacing"/>
              <w:rPr>
                <w:b w:val="0"/>
                <w:bCs/>
              </w:rPr>
            </w:pPr>
            <w:r w:rsidRPr="00557AAD">
              <w:rPr>
                <w:b w:val="0"/>
                <w:bCs/>
              </w:rPr>
              <w:t>mg</w:t>
            </w:r>
          </w:p>
        </w:tc>
        <w:tc>
          <w:tcPr>
            <w:tcW w:w="2018" w:type="pct"/>
            <w:gridSpan w:val="4"/>
          </w:tcPr>
          <w:p w14:paraId="2510BB9B" w14:textId="77777777" w:rsidR="00FF01A9" w:rsidRPr="001F4BAA" w:rsidRDefault="00FF01A9" w:rsidP="004A7096">
            <w:pPr>
              <w:pStyle w:val="NoSpacing"/>
            </w:pPr>
            <w:r w:rsidRPr="001F4BAA">
              <w:t>Use one of the following:</w:t>
            </w:r>
          </w:p>
        </w:tc>
        <w:tc>
          <w:tcPr>
            <w:tcW w:w="1393" w:type="pct"/>
            <w:vMerge w:val="restart"/>
          </w:tcPr>
          <w:p w14:paraId="0DF9F5F7" w14:textId="77777777" w:rsidR="00FF01A9" w:rsidRPr="001F4BAA" w:rsidRDefault="00FF01A9" w:rsidP="004A7096">
            <w:pPr>
              <w:pStyle w:val="NoSpacing"/>
            </w:pPr>
            <w:r w:rsidRPr="001F4BAA">
              <w:t>Age</w:t>
            </w:r>
          </w:p>
          <w:p w14:paraId="495DB13D" w14:textId="0167E0B1" w:rsidR="00FF01A9" w:rsidRPr="00557AAD" w:rsidRDefault="008A3590" w:rsidP="004A7096">
            <w:pPr>
              <w:pStyle w:val="NoSpacing"/>
              <w:rPr>
                <w:b w:val="0"/>
                <w:bCs/>
              </w:rPr>
            </w:pPr>
            <w:r>
              <w:rPr>
                <w:b w:val="0"/>
                <w:bCs/>
              </w:rPr>
              <w:t>(</w:t>
            </w:r>
            <w:r w:rsidR="00FF01A9" w:rsidRPr="00557AAD">
              <w:rPr>
                <w:b w:val="0"/>
                <w:bCs/>
              </w:rPr>
              <w:t>Months/years</w:t>
            </w:r>
            <w:r>
              <w:rPr>
                <w:b w:val="0"/>
                <w:bCs/>
              </w:rPr>
              <w:t>)</w:t>
            </w:r>
          </w:p>
        </w:tc>
      </w:tr>
      <w:tr w:rsidR="00FF01A9" w:rsidRPr="001F4BAA" w14:paraId="2F5F2452" w14:textId="77777777" w:rsidTr="004E2308">
        <w:tc>
          <w:tcPr>
            <w:tcW w:w="951" w:type="pct"/>
            <w:vMerge/>
          </w:tcPr>
          <w:p w14:paraId="0A5FD7A9" w14:textId="77777777" w:rsidR="00FF01A9" w:rsidRPr="001F4BAA" w:rsidRDefault="00FF01A9" w:rsidP="004A7096">
            <w:pPr>
              <w:pStyle w:val="NoSpacing"/>
            </w:pPr>
          </w:p>
        </w:tc>
        <w:tc>
          <w:tcPr>
            <w:tcW w:w="638" w:type="pct"/>
            <w:vMerge/>
          </w:tcPr>
          <w:p w14:paraId="19E119C8" w14:textId="77777777" w:rsidR="00FF01A9" w:rsidRPr="001F4BAA" w:rsidRDefault="00FF01A9" w:rsidP="004A7096">
            <w:pPr>
              <w:pStyle w:val="NoSpacing"/>
            </w:pPr>
          </w:p>
        </w:tc>
        <w:tc>
          <w:tcPr>
            <w:tcW w:w="1162" w:type="pct"/>
            <w:gridSpan w:val="2"/>
            <w:shd w:val="clear" w:color="auto" w:fill="D9D9D9" w:themeFill="background1" w:themeFillShade="D9"/>
          </w:tcPr>
          <w:p w14:paraId="6BA6C7A6" w14:textId="7A24E502" w:rsidR="00FF01A9" w:rsidRPr="00557AAD" w:rsidRDefault="00FF01A9" w:rsidP="004A7096">
            <w:pPr>
              <w:pStyle w:val="NoSpacing"/>
              <w:rPr>
                <w:rStyle w:val="Strong"/>
              </w:rPr>
            </w:pPr>
            <w:r w:rsidRPr="00557AAD">
              <w:rPr>
                <w:rStyle w:val="Strong"/>
              </w:rPr>
              <w:t xml:space="preserve">Syrup </w:t>
            </w:r>
            <w:r w:rsidR="00557AAD">
              <w:rPr>
                <w:rStyle w:val="Strong"/>
              </w:rPr>
              <w:br/>
            </w:r>
            <w:r w:rsidR="007007AE">
              <w:rPr>
                <w:rStyle w:val="Strong"/>
                <w:b w:val="0"/>
              </w:rPr>
              <w:t>(</w:t>
            </w:r>
            <w:r w:rsidRPr="00557AAD">
              <w:rPr>
                <w:rStyle w:val="Strong"/>
                <w:b w:val="0"/>
              </w:rPr>
              <w:t>mg/5mL</w:t>
            </w:r>
            <w:r w:rsidR="007007AE">
              <w:rPr>
                <w:rStyle w:val="Strong"/>
                <w:b w:val="0"/>
              </w:rPr>
              <w:t>)</w:t>
            </w:r>
          </w:p>
        </w:tc>
        <w:tc>
          <w:tcPr>
            <w:tcW w:w="856" w:type="pct"/>
            <w:gridSpan w:val="2"/>
            <w:shd w:val="clear" w:color="auto" w:fill="D9D9D9" w:themeFill="background1" w:themeFillShade="D9"/>
          </w:tcPr>
          <w:p w14:paraId="78461BC5" w14:textId="77777777" w:rsidR="00FF01A9" w:rsidRPr="00557AAD" w:rsidRDefault="00FF01A9" w:rsidP="004A7096">
            <w:pPr>
              <w:pStyle w:val="NoSpacing"/>
              <w:rPr>
                <w:rStyle w:val="Strong"/>
              </w:rPr>
            </w:pPr>
            <w:r w:rsidRPr="00557AAD">
              <w:rPr>
                <w:rStyle w:val="Strong"/>
              </w:rPr>
              <w:t>Capsule</w:t>
            </w:r>
          </w:p>
          <w:p w14:paraId="34A44722" w14:textId="060213D4" w:rsidR="00FF01A9" w:rsidRPr="00557AAD" w:rsidRDefault="007007AE" w:rsidP="004A7096">
            <w:pPr>
              <w:pStyle w:val="NoSpacing"/>
              <w:rPr>
                <w:rStyle w:val="Strong"/>
                <w:b w:val="0"/>
              </w:rPr>
            </w:pPr>
            <w:r>
              <w:rPr>
                <w:rStyle w:val="Strong"/>
                <w:b w:val="0"/>
              </w:rPr>
              <w:t>(</w:t>
            </w:r>
            <w:r w:rsidR="00FF01A9" w:rsidRPr="00557AAD">
              <w:rPr>
                <w:rStyle w:val="Strong"/>
                <w:b w:val="0"/>
              </w:rPr>
              <w:t>mg</w:t>
            </w:r>
            <w:r>
              <w:rPr>
                <w:rStyle w:val="Strong"/>
                <w:b w:val="0"/>
              </w:rPr>
              <w:t>)</w:t>
            </w:r>
          </w:p>
        </w:tc>
        <w:tc>
          <w:tcPr>
            <w:tcW w:w="1393" w:type="pct"/>
            <w:vMerge/>
          </w:tcPr>
          <w:p w14:paraId="1D49B2DA" w14:textId="77777777" w:rsidR="00FF01A9" w:rsidRPr="001F4BAA" w:rsidRDefault="00FF01A9" w:rsidP="004A7096">
            <w:pPr>
              <w:pStyle w:val="NoSpacing"/>
            </w:pPr>
          </w:p>
        </w:tc>
      </w:tr>
      <w:tr w:rsidR="00FF01A9" w:rsidRPr="001F4BAA" w14:paraId="788D4174" w14:textId="77777777" w:rsidTr="004E2308">
        <w:tc>
          <w:tcPr>
            <w:tcW w:w="951" w:type="pct"/>
            <w:vMerge/>
          </w:tcPr>
          <w:p w14:paraId="7001306F" w14:textId="77777777" w:rsidR="00FF01A9" w:rsidRPr="001F4BAA" w:rsidRDefault="00FF01A9" w:rsidP="004A7096">
            <w:pPr>
              <w:pStyle w:val="NoSpacing"/>
            </w:pPr>
          </w:p>
        </w:tc>
        <w:tc>
          <w:tcPr>
            <w:tcW w:w="638" w:type="pct"/>
            <w:vMerge/>
          </w:tcPr>
          <w:p w14:paraId="78ABF993" w14:textId="77777777" w:rsidR="00FF01A9" w:rsidRPr="001F4BAA" w:rsidRDefault="00FF01A9" w:rsidP="004A7096">
            <w:pPr>
              <w:pStyle w:val="NoSpacing"/>
            </w:pPr>
          </w:p>
        </w:tc>
        <w:tc>
          <w:tcPr>
            <w:tcW w:w="543" w:type="pct"/>
            <w:shd w:val="clear" w:color="auto" w:fill="D9D9D9" w:themeFill="background1" w:themeFillShade="D9"/>
          </w:tcPr>
          <w:p w14:paraId="789261ED" w14:textId="77777777" w:rsidR="00FF01A9" w:rsidRPr="00557AAD" w:rsidRDefault="00FF01A9" w:rsidP="004A7096">
            <w:pPr>
              <w:pStyle w:val="NoSpacing"/>
              <w:rPr>
                <w:rStyle w:val="Strong"/>
                <w:b w:val="0"/>
              </w:rPr>
            </w:pPr>
            <w:r w:rsidRPr="00557AAD">
              <w:rPr>
                <w:rStyle w:val="Strong"/>
                <w:b w:val="0"/>
              </w:rPr>
              <w:t>125</w:t>
            </w:r>
          </w:p>
        </w:tc>
        <w:tc>
          <w:tcPr>
            <w:tcW w:w="619" w:type="pct"/>
            <w:shd w:val="clear" w:color="auto" w:fill="D9D9D9" w:themeFill="background1" w:themeFillShade="D9"/>
          </w:tcPr>
          <w:p w14:paraId="22C3C619" w14:textId="77777777" w:rsidR="00FF01A9" w:rsidRPr="00557AAD" w:rsidRDefault="00FF01A9" w:rsidP="004A7096">
            <w:pPr>
              <w:pStyle w:val="NoSpacing"/>
              <w:rPr>
                <w:rStyle w:val="Strong"/>
                <w:b w:val="0"/>
              </w:rPr>
            </w:pPr>
            <w:r w:rsidRPr="00557AAD">
              <w:rPr>
                <w:rStyle w:val="Strong"/>
                <w:b w:val="0"/>
              </w:rPr>
              <w:t>250</w:t>
            </w:r>
          </w:p>
        </w:tc>
        <w:tc>
          <w:tcPr>
            <w:tcW w:w="410" w:type="pct"/>
            <w:shd w:val="clear" w:color="auto" w:fill="D9D9D9" w:themeFill="background1" w:themeFillShade="D9"/>
          </w:tcPr>
          <w:p w14:paraId="4B937071" w14:textId="77777777" w:rsidR="00FF01A9" w:rsidRPr="00557AAD" w:rsidRDefault="00FF01A9" w:rsidP="004A7096">
            <w:pPr>
              <w:pStyle w:val="NoSpacing"/>
              <w:rPr>
                <w:rStyle w:val="Strong"/>
                <w:b w:val="0"/>
              </w:rPr>
            </w:pPr>
            <w:r w:rsidRPr="00557AAD">
              <w:rPr>
                <w:rStyle w:val="Strong"/>
                <w:b w:val="0"/>
              </w:rPr>
              <w:t>250</w:t>
            </w:r>
          </w:p>
        </w:tc>
        <w:tc>
          <w:tcPr>
            <w:tcW w:w="446" w:type="pct"/>
            <w:shd w:val="clear" w:color="auto" w:fill="D9D9D9" w:themeFill="background1" w:themeFillShade="D9"/>
          </w:tcPr>
          <w:p w14:paraId="724D8434" w14:textId="77777777" w:rsidR="00FF01A9" w:rsidRPr="00557AAD" w:rsidRDefault="00FF01A9" w:rsidP="004A7096">
            <w:pPr>
              <w:pStyle w:val="NoSpacing"/>
              <w:rPr>
                <w:rStyle w:val="Strong"/>
                <w:b w:val="0"/>
              </w:rPr>
            </w:pPr>
            <w:r w:rsidRPr="00557AAD">
              <w:rPr>
                <w:rStyle w:val="Strong"/>
                <w:b w:val="0"/>
              </w:rPr>
              <w:t>500</w:t>
            </w:r>
          </w:p>
        </w:tc>
        <w:tc>
          <w:tcPr>
            <w:tcW w:w="1393" w:type="pct"/>
            <w:vMerge/>
          </w:tcPr>
          <w:p w14:paraId="22D5A0F9" w14:textId="77777777" w:rsidR="00FF01A9" w:rsidRPr="001F4BAA" w:rsidRDefault="00FF01A9" w:rsidP="004A7096">
            <w:pPr>
              <w:pStyle w:val="NoSpacing"/>
            </w:pPr>
          </w:p>
        </w:tc>
      </w:tr>
      <w:tr w:rsidR="00FF01A9" w:rsidRPr="001F4BAA" w14:paraId="4330B214" w14:textId="77777777" w:rsidTr="004E2308">
        <w:tc>
          <w:tcPr>
            <w:tcW w:w="951" w:type="pct"/>
          </w:tcPr>
          <w:p w14:paraId="5E14E68A" w14:textId="77777777" w:rsidR="00FF01A9" w:rsidRPr="001F4BAA" w:rsidRDefault="00FF01A9" w:rsidP="004A7096">
            <w:pPr>
              <w:pStyle w:val="NoSpacing"/>
            </w:pPr>
            <w:r w:rsidRPr="001F4BAA">
              <w:t>&gt;3.5–5 kg</w:t>
            </w:r>
          </w:p>
        </w:tc>
        <w:tc>
          <w:tcPr>
            <w:tcW w:w="638" w:type="pct"/>
          </w:tcPr>
          <w:p w14:paraId="62DD2F72" w14:textId="77777777" w:rsidR="00FF01A9" w:rsidRPr="001F4BAA" w:rsidRDefault="00FF01A9" w:rsidP="004A7096">
            <w:pPr>
              <w:pStyle w:val="NoSpacing"/>
            </w:pPr>
            <w:r w:rsidRPr="001F4BAA">
              <w:t>175 mg</w:t>
            </w:r>
          </w:p>
        </w:tc>
        <w:tc>
          <w:tcPr>
            <w:tcW w:w="543" w:type="pct"/>
          </w:tcPr>
          <w:p w14:paraId="5A721728" w14:textId="77777777" w:rsidR="00FF01A9" w:rsidRPr="001F4BAA" w:rsidRDefault="00FF01A9" w:rsidP="004A7096">
            <w:pPr>
              <w:pStyle w:val="NoSpacing"/>
            </w:pPr>
            <w:r w:rsidRPr="001F4BAA">
              <w:t>7 mL</w:t>
            </w:r>
          </w:p>
        </w:tc>
        <w:tc>
          <w:tcPr>
            <w:tcW w:w="619" w:type="pct"/>
          </w:tcPr>
          <w:p w14:paraId="65EF4534" w14:textId="77777777" w:rsidR="00FF01A9" w:rsidRPr="001F4BAA" w:rsidRDefault="00FF01A9" w:rsidP="004A7096">
            <w:pPr>
              <w:pStyle w:val="NoSpacing"/>
            </w:pPr>
            <w:r w:rsidRPr="001F4BAA">
              <w:t>3.5 mL</w:t>
            </w:r>
          </w:p>
        </w:tc>
        <w:tc>
          <w:tcPr>
            <w:tcW w:w="410" w:type="pct"/>
          </w:tcPr>
          <w:p w14:paraId="273EB668" w14:textId="77777777" w:rsidR="00FF01A9" w:rsidRPr="001F4BAA" w:rsidRDefault="00FF01A9" w:rsidP="004A7096">
            <w:pPr>
              <w:pStyle w:val="NoSpacing"/>
            </w:pPr>
            <w:r w:rsidRPr="001F4BAA">
              <w:t>–</w:t>
            </w:r>
          </w:p>
        </w:tc>
        <w:tc>
          <w:tcPr>
            <w:tcW w:w="446" w:type="pct"/>
          </w:tcPr>
          <w:p w14:paraId="2BE87771" w14:textId="77777777" w:rsidR="00FF01A9" w:rsidRPr="001F4BAA" w:rsidRDefault="00FF01A9" w:rsidP="004A7096">
            <w:pPr>
              <w:pStyle w:val="NoSpacing"/>
            </w:pPr>
            <w:r w:rsidRPr="001F4BAA">
              <w:t>–</w:t>
            </w:r>
          </w:p>
        </w:tc>
        <w:tc>
          <w:tcPr>
            <w:tcW w:w="1393" w:type="pct"/>
          </w:tcPr>
          <w:p w14:paraId="103B04B8" w14:textId="77777777" w:rsidR="00FF01A9" w:rsidRPr="001F4BAA" w:rsidRDefault="00FF01A9" w:rsidP="004A7096">
            <w:pPr>
              <w:pStyle w:val="NoSpacing"/>
            </w:pPr>
            <w:r w:rsidRPr="001F4BAA">
              <w:t>&gt;1–3 months</w:t>
            </w:r>
          </w:p>
        </w:tc>
      </w:tr>
      <w:tr w:rsidR="00FF01A9" w:rsidRPr="001F4BAA" w14:paraId="097C643D" w14:textId="77777777" w:rsidTr="004E2308">
        <w:tc>
          <w:tcPr>
            <w:tcW w:w="951" w:type="pct"/>
          </w:tcPr>
          <w:p w14:paraId="3E2C7BB0" w14:textId="77777777" w:rsidR="00FF01A9" w:rsidRPr="001F4BAA" w:rsidRDefault="00FF01A9" w:rsidP="004A7096">
            <w:pPr>
              <w:pStyle w:val="NoSpacing"/>
            </w:pPr>
            <w:r w:rsidRPr="001F4BAA">
              <w:t>&gt;5–7 kg</w:t>
            </w:r>
          </w:p>
        </w:tc>
        <w:tc>
          <w:tcPr>
            <w:tcW w:w="638" w:type="pct"/>
          </w:tcPr>
          <w:p w14:paraId="4B91E149" w14:textId="77777777" w:rsidR="00FF01A9" w:rsidRPr="001F4BAA" w:rsidRDefault="00FF01A9" w:rsidP="004A7096">
            <w:pPr>
              <w:pStyle w:val="NoSpacing"/>
            </w:pPr>
            <w:r w:rsidRPr="001F4BAA">
              <w:t>250 mg</w:t>
            </w:r>
          </w:p>
        </w:tc>
        <w:tc>
          <w:tcPr>
            <w:tcW w:w="543" w:type="pct"/>
          </w:tcPr>
          <w:p w14:paraId="367C78E6" w14:textId="77777777" w:rsidR="00FF01A9" w:rsidRPr="001F4BAA" w:rsidRDefault="00FF01A9" w:rsidP="004A7096">
            <w:pPr>
              <w:pStyle w:val="NoSpacing"/>
            </w:pPr>
            <w:r w:rsidRPr="001F4BAA">
              <w:t>10 mL</w:t>
            </w:r>
          </w:p>
        </w:tc>
        <w:tc>
          <w:tcPr>
            <w:tcW w:w="619" w:type="pct"/>
          </w:tcPr>
          <w:p w14:paraId="6036DF0D" w14:textId="77777777" w:rsidR="00FF01A9" w:rsidRPr="001F4BAA" w:rsidRDefault="00FF01A9" w:rsidP="004A7096">
            <w:pPr>
              <w:pStyle w:val="NoSpacing"/>
            </w:pPr>
            <w:r w:rsidRPr="001F4BAA">
              <w:t>5 mL</w:t>
            </w:r>
          </w:p>
        </w:tc>
        <w:tc>
          <w:tcPr>
            <w:tcW w:w="410" w:type="pct"/>
          </w:tcPr>
          <w:p w14:paraId="3417EB36" w14:textId="77777777" w:rsidR="00FF01A9" w:rsidRPr="001F4BAA" w:rsidRDefault="00FF01A9" w:rsidP="004A7096">
            <w:pPr>
              <w:pStyle w:val="NoSpacing"/>
            </w:pPr>
            <w:r w:rsidRPr="001F4BAA">
              <w:t>–</w:t>
            </w:r>
          </w:p>
        </w:tc>
        <w:tc>
          <w:tcPr>
            <w:tcW w:w="446" w:type="pct"/>
          </w:tcPr>
          <w:p w14:paraId="14A74944" w14:textId="77777777" w:rsidR="00FF01A9" w:rsidRPr="001F4BAA" w:rsidRDefault="00FF01A9" w:rsidP="004A7096">
            <w:pPr>
              <w:pStyle w:val="NoSpacing"/>
            </w:pPr>
            <w:r w:rsidRPr="001F4BAA">
              <w:t>–</w:t>
            </w:r>
          </w:p>
        </w:tc>
        <w:tc>
          <w:tcPr>
            <w:tcW w:w="1393" w:type="pct"/>
          </w:tcPr>
          <w:p w14:paraId="70B27697" w14:textId="77777777" w:rsidR="00FF01A9" w:rsidRPr="001F4BAA" w:rsidRDefault="00FF01A9" w:rsidP="004A7096">
            <w:pPr>
              <w:pStyle w:val="NoSpacing"/>
            </w:pPr>
            <w:r w:rsidRPr="001F4BAA">
              <w:t>&gt;3–6 months</w:t>
            </w:r>
          </w:p>
        </w:tc>
      </w:tr>
      <w:tr w:rsidR="00FF01A9" w:rsidRPr="001F4BAA" w14:paraId="26E8A629" w14:textId="77777777" w:rsidTr="004E2308">
        <w:tc>
          <w:tcPr>
            <w:tcW w:w="951" w:type="pct"/>
          </w:tcPr>
          <w:p w14:paraId="041E2280" w14:textId="77777777" w:rsidR="00FF01A9" w:rsidRPr="001F4BAA" w:rsidRDefault="00FF01A9" w:rsidP="004A7096">
            <w:pPr>
              <w:pStyle w:val="NoSpacing"/>
            </w:pPr>
            <w:r w:rsidRPr="001F4BAA">
              <w:t>&gt;7–11 kg</w:t>
            </w:r>
          </w:p>
        </w:tc>
        <w:tc>
          <w:tcPr>
            <w:tcW w:w="638" w:type="pct"/>
          </w:tcPr>
          <w:p w14:paraId="131E2DAB" w14:textId="77777777" w:rsidR="00FF01A9" w:rsidRPr="001F4BAA" w:rsidRDefault="00FF01A9" w:rsidP="004A7096">
            <w:pPr>
              <w:pStyle w:val="NoSpacing"/>
            </w:pPr>
            <w:r w:rsidRPr="001F4BAA">
              <w:t>375 mg</w:t>
            </w:r>
          </w:p>
        </w:tc>
        <w:tc>
          <w:tcPr>
            <w:tcW w:w="543" w:type="pct"/>
          </w:tcPr>
          <w:p w14:paraId="07CAB032" w14:textId="77777777" w:rsidR="00FF01A9" w:rsidRPr="001F4BAA" w:rsidRDefault="00FF01A9" w:rsidP="004A7096">
            <w:pPr>
              <w:pStyle w:val="NoSpacing"/>
            </w:pPr>
            <w:r w:rsidRPr="001F4BAA">
              <w:t>15 mL</w:t>
            </w:r>
          </w:p>
        </w:tc>
        <w:tc>
          <w:tcPr>
            <w:tcW w:w="619" w:type="pct"/>
          </w:tcPr>
          <w:p w14:paraId="05D6350D" w14:textId="77777777" w:rsidR="00FF01A9" w:rsidRPr="001F4BAA" w:rsidRDefault="00FF01A9" w:rsidP="004A7096">
            <w:pPr>
              <w:pStyle w:val="NoSpacing"/>
            </w:pPr>
            <w:r w:rsidRPr="001F4BAA">
              <w:t>7.5 mL</w:t>
            </w:r>
          </w:p>
        </w:tc>
        <w:tc>
          <w:tcPr>
            <w:tcW w:w="410" w:type="pct"/>
          </w:tcPr>
          <w:p w14:paraId="05BDE0C2" w14:textId="77777777" w:rsidR="00FF01A9" w:rsidRPr="001F4BAA" w:rsidRDefault="00FF01A9" w:rsidP="004A7096">
            <w:pPr>
              <w:pStyle w:val="NoSpacing"/>
            </w:pPr>
            <w:r w:rsidRPr="001F4BAA">
              <w:t>–</w:t>
            </w:r>
          </w:p>
        </w:tc>
        <w:tc>
          <w:tcPr>
            <w:tcW w:w="446" w:type="pct"/>
          </w:tcPr>
          <w:p w14:paraId="60642C52" w14:textId="77777777" w:rsidR="00FF01A9" w:rsidRPr="001F4BAA" w:rsidRDefault="00FF01A9" w:rsidP="004A7096">
            <w:pPr>
              <w:pStyle w:val="NoSpacing"/>
            </w:pPr>
            <w:r w:rsidRPr="001F4BAA">
              <w:t>–</w:t>
            </w:r>
          </w:p>
        </w:tc>
        <w:tc>
          <w:tcPr>
            <w:tcW w:w="1393" w:type="pct"/>
          </w:tcPr>
          <w:p w14:paraId="7E052851" w14:textId="77777777" w:rsidR="00FF01A9" w:rsidRPr="001F4BAA" w:rsidRDefault="00FF01A9" w:rsidP="004A7096">
            <w:pPr>
              <w:pStyle w:val="NoSpacing"/>
            </w:pPr>
            <w:r w:rsidRPr="001F4BAA">
              <w:t>&gt;6–18 months</w:t>
            </w:r>
          </w:p>
        </w:tc>
      </w:tr>
      <w:tr w:rsidR="00FF01A9" w:rsidRPr="001F4BAA" w14:paraId="06829B8C" w14:textId="77777777" w:rsidTr="004E2308">
        <w:tc>
          <w:tcPr>
            <w:tcW w:w="951" w:type="pct"/>
          </w:tcPr>
          <w:p w14:paraId="463B3AC0" w14:textId="77777777" w:rsidR="00FF01A9" w:rsidRPr="001F4BAA" w:rsidRDefault="00FF01A9" w:rsidP="004A7096">
            <w:pPr>
              <w:pStyle w:val="NoSpacing"/>
            </w:pPr>
            <w:r w:rsidRPr="001F4BAA">
              <w:t>&gt;11–14 kg</w:t>
            </w:r>
          </w:p>
        </w:tc>
        <w:tc>
          <w:tcPr>
            <w:tcW w:w="638" w:type="pct"/>
          </w:tcPr>
          <w:p w14:paraId="6949B901" w14:textId="77777777" w:rsidR="00FF01A9" w:rsidRPr="001F4BAA" w:rsidRDefault="00FF01A9" w:rsidP="004A7096">
            <w:pPr>
              <w:pStyle w:val="NoSpacing"/>
            </w:pPr>
            <w:r w:rsidRPr="001F4BAA">
              <w:t>500 mg</w:t>
            </w:r>
          </w:p>
        </w:tc>
        <w:tc>
          <w:tcPr>
            <w:tcW w:w="543" w:type="pct"/>
          </w:tcPr>
          <w:p w14:paraId="4C4B52B9" w14:textId="77777777" w:rsidR="00FF01A9" w:rsidRPr="001F4BAA" w:rsidRDefault="00FF01A9" w:rsidP="004A7096">
            <w:pPr>
              <w:pStyle w:val="NoSpacing"/>
            </w:pPr>
            <w:r w:rsidRPr="001F4BAA">
              <w:t>–</w:t>
            </w:r>
          </w:p>
        </w:tc>
        <w:tc>
          <w:tcPr>
            <w:tcW w:w="619" w:type="pct"/>
          </w:tcPr>
          <w:p w14:paraId="00B16A9D" w14:textId="77777777" w:rsidR="00FF01A9" w:rsidRPr="001F4BAA" w:rsidRDefault="00FF01A9" w:rsidP="004A7096">
            <w:pPr>
              <w:pStyle w:val="NoSpacing"/>
            </w:pPr>
            <w:r w:rsidRPr="001F4BAA">
              <w:t>10 mL</w:t>
            </w:r>
          </w:p>
        </w:tc>
        <w:tc>
          <w:tcPr>
            <w:tcW w:w="410" w:type="pct"/>
          </w:tcPr>
          <w:p w14:paraId="3153AFA0" w14:textId="77777777" w:rsidR="00FF01A9" w:rsidRPr="001F4BAA" w:rsidRDefault="00FF01A9" w:rsidP="004A7096">
            <w:pPr>
              <w:pStyle w:val="NoSpacing"/>
            </w:pPr>
            <w:r w:rsidRPr="001F4BAA">
              <w:t>2</w:t>
            </w:r>
          </w:p>
        </w:tc>
        <w:tc>
          <w:tcPr>
            <w:tcW w:w="446" w:type="pct"/>
          </w:tcPr>
          <w:p w14:paraId="72855581" w14:textId="77777777" w:rsidR="00FF01A9" w:rsidRPr="001F4BAA" w:rsidRDefault="00FF01A9" w:rsidP="004A7096">
            <w:pPr>
              <w:pStyle w:val="NoSpacing"/>
            </w:pPr>
            <w:r w:rsidRPr="001F4BAA">
              <w:t>1</w:t>
            </w:r>
          </w:p>
        </w:tc>
        <w:tc>
          <w:tcPr>
            <w:tcW w:w="1393" w:type="pct"/>
          </w:tcPr>
          <w:p w14:paraId="002E2D0A" w14:textId="77777777" w:rsidR="00FF01A9" w:rsidRPr="001F4BAA" w:rsidRDefault="00FF01A9" w:rsidP="004A7096">
            <w:pPr>
              <w:pStyle w:val="NoSpacing"/>
            </w:pPr>
            <w:r w:rsidRPr="001F4BAA">
              <w:t>&gt;18 months–3 years</w:t>
            </w:r>
          </w:p>
        </w:tc>
      </w:tr>
      <w:tr w:rsidR="00FF01A9" w:rsidRPr="001F4BAA" w14:paraId="0902634A" w14:textId="77777777" w:rsidTr="004E2308">
        <w:tc>
          <w:tcPr>
            <w:tcW w:w="951" w:type="pct"/>
          </w:tcPr>
          <w:p w14:paraId="5B960534" w14:textId="77777777" w:rsidR="00FF01A9" w:rsidRPr="001F4BAA" w:rsidRDefault="00FF01A9" w:rsidP="004A7096">
            <w:pPr>
              <w:pStyle w:val="NoSpacing"/>
            </w:pPr>
            <w:r w:rsidRPr="001F4BAA">
              <w:t>&gt;14–17.5 kg</w:t>
            </w:r>
          </w:p>
        </w:tc>
        <w:tc>
          <w:tcPr>
            <w:tcW w:w="638" w:type="pct"/>
          </w:tcPr>
          <w:p w14:paraId="25527EB5" w14:textId="77777777" w:rsidR="00FF01A9" w:rsidRPr="001F4BAA" w:rsidRDefault="00FF01A9" w:rsidP="004A7096">
            <w:pPr>
              <w:pStyle w:val="NoSpacing"/>
            </w:pPr>
            <w:r w:rsidRPr="001F4BAA">
              <w:t>750 mg</w:t>
            </w:r>
          </w:p>
        </w:tc>
        <w:tc>
          <w:tcPr>
            <w:tcW w:w="543" w:type="pct"/>
          </w:tcPr>
          <w:p w14:paraId="68D3BF24" w14:textId="77777777" w:rsidR="00FF01A9" w:rsidRPr="001F4BAA" w:rsidRDefault="00FF01A9" w:rsidP="004A7096">
            <w:pPr>
              <w:pStyle w:val="NoSpacing"/>
            </w:pPr>
            <w:r w:rsidRPr="001F4BAA">
              <w:t>–</w:t>
            </w:r>
          </w:p>
        </w:tc>
        <w:tc>
          <w:tcPr>
            <w:tcW w:w="619" w:type="pct"/>
          </w:tcPr>
          <w:p w14:paraId="1E58BCAB" w14:textId="77777777" w:rsidR="00FF01A9" w:rsidRPr="001F4BAA" w:rsidRDefault="00FF01A9" w:rsidP="004A7096">
            <w:pPr>
              <w:pStyle w:val="NoSpacing"/>
            </w:pPr>
            <w:r w:rsidRPr="001F4BAA">
              <w:t>15 mL</w:t>
            </w:r>
          </w:p>
        </w:tc>
        <w:tc>
          <w:tcPr>
            <w:tcW w:w="410" w:type="pct"/>
          </w:tcPr>
          <w:p w14:paraId="4D4AB7E0" w14:textId="77777777" w:rsidR="00FF01A9" w:rsidRPr="001F4BAA" w:rsidRDefault="00FF01A9" w:rsidP="004A7096">
            <w:pPr>
              <w:pStyle w:val="NoSpacing"/>
            </w:pPr>
            <w:r w:rsidRPr="001F4BAA">
              <w:t>3</w:t>
            </w:r>
          </w:p>
        </w:tc>
        <w:tc>
          <w:tcPr>
            <w:tcW w:w="446" w:type="pct"/>
          </w:tcPr>
          <w:p w14:paraId="467CD85A" w14:textId="77777777" w:rsidR="00FF01A9" w:rsidRPr="001F4BAA" w:rsidRDefault="00FF01A9" w:rsidP="004A7096">
            <w:pPr>
              <w:pStyle w:val="NoSpacing"/>
            </w:pPr>
            <w:r w:rsidRPr="001F4BAA">
              <w:t>–</w:t>
            </w:r>
          </w:p>
        </w:tc>
        <w:tc>
          <w:tcPr>
            <w:tcW w:w="1393" w:type="pct"/>
          </w:tcPr>
          <w:p w14:paraId="3E84D594" w14:textId="77777777" w:rsidR="00FF01A9" w:rsidRPr="001F4BAA" w:rsidRDefault="00FF01A9" w:rsidP="004A7096">
            <w:pPr>
              <w:pStyle w:val="NoSpacing"/>
            </w:pPr>
            <w:r w:rsidRPr="001F4BAA">
              <w:t>&gt;3–5 years</w:t>
            </w:r>
          </w:p>
        </w:tc>
      </w:tr>
      <w:tr w:rsidR="00FF01A9" w:rsidRPr="001F4BAA" w14:paraId="01F09A43" w14:textId="77777777" w:rsidTr="004E2308">
        <w:tc>
          <w:tcPr>
            <w:tcW w:w="951" w:type="pct"/>
          </w:tcPr>
          <w:p w14:paraId="3BA7BD2A" w14:textId="77777777" w:rsidR="00FF01A9" w:rsidRPr="001F4BAA" w:rsidRDefault="00FF01A9" w:rsidP="004A7096">
            <w:pPr>
              <w:pStyle w:val="NoSpacing"/>
            </w:pPr>
            <w:r w:rsidRPr="001F4BAA">
              <w:t>&gt;17.5–25 kg</w:t>
            </w:r>
          </w:p>
        </w:tc>
        <w:tc>
          <w:tcPr>
            <w:tcW w:w="638" w:type="pct"/>
          </w:tcPr>
          <w:p w14:paraId="2D10BF56" w14:textId="77777777" w:rsidR="00FF01A9" w:rsidRPr="001F4BAA" w:rsidRDefault="00FF01A9" w:rsidP="004A7096">
            <w:pPr>
              <w:pStyle w:val="NoSpacing"/>
            </w:pPr>
            <w:r w:rsidRPr="001F4BAA">
              <w:t>1000 mg</w:t>
            </w:r>
          </w:p>
        </w:tc>
        <w:tc>
          <w:tcPr>
            <w:tcW w:w="543" w:type="pct"/>
          </w:tcPr>
          <w:p w14:paraId="7689203A" w14:textId="77777777" w:rsidR="00FF01A9" w:rsidRPr="001F4BAA" w:rsidRDefault="00FF01A9" w:rsidP="004A7096">
            <w:pPr>
              <w:pStyle w:val="NoSpacing"/>
            </w:pPr>
            <w:r w:rsidRPr="001F4BAA">
              <w:t>–</w:t>
            </w:r>
          </w:p>
        </w:tc>
        <w:tc>
          <w:tcPr>
            <w:tcW w:w="619" w:type="pct"/>
          </w:tcPr>
          <w:p w14:paraId="05A6570C" w14:textId="77777777" w:rsidR="00FF01A9" w:rsidRPr="001F4BAA" w:rsidRDefault="00FF01A9" w:rsidP="004A7096">
            <w:pPr>
              <w:pStyle w:val="NoSpacing"/>
            </w:pPr>
            <w:r w:rsidRPr="001F4BAA">
              <w:t>20 mL*</w:t>
            </w:r>
          </w:p>
        </w:tc>
        <w:tc>
          <w:tcPr>
            <w:tcW w:w="410" w:type="pct"/>
          </w:tcPr>
          <w:p w14:paraId="59661224" w14:textId="77777777" w:rsidR="00FF01A9" w:rsidRPr="001F4BAA" w:rsidRDefault="00FF01A9" w:rsidP="004A7096">
            <w:pPr>
              <w:pStyle w:val="NoSpacing"/>
            </w:pPr>
            <w:r w:rsidRPr="001F4BAA">
              <w:t>4</w:t>
            </w:r>
          </w:p>
        </w:tc>
        <w:tc>
          <w:tcPr>
            <w:tcW w:w="446" w:type="pct"/>
          </w:tcPr>
          <w:p w14:paraId="3BD2E46B" w14:textId="77777777" w:rsidR="00FF01A9" w:rsidRPr="001F4BAA" w:rsidRDefault="00FF01A9" w:rsidP="004A7096">
            <w:pPr>
              <w:pStyle w:val="NoSpacing"/>
            </w:pPr>
            <w:r w:rsidRPr="001F4BAA">
              <w:t>2</w:t>
            </w:r>
          </w:p>
        </w:tc>
        <w:tc>
          <w:tcPr>
            <w:tcW w:w="1393" w:type="pct"/>
          </w:tcPr>
          <w:p w14:paraId="2491A195" w14:textId="77777777" w:rsidR="00FF01A9" w:rsidRPr="001F4BAA" w:rsidRDefault="00FF01A9" w:rsidP="004A7096">
            <w:pPr>
              <w:pStyle w:val="NoSpacing"/>
            </w:pPr>
            <w:r w:rsidRPr="001F4BAA">
              <w:t>&gt;5–7 years</w:t>
            </w:r>
          </w:p>
        </w:tc>
      </w:tr>
      <w:tr w:rsidR="00FF01A9" w:rsidRPr="001F4BAA" w14:paraId="7D0C80A0" w14:textId="77777777" w:rsidTr="004E2308">
        <w:tc>
          <w:tcPr>
            <w:tcW w:w="951" w:type="pct"/>
          </w:tcPr>
          <w:p w14:paraId="065ABA9C" w14:textId="77777777" w:rsidR="00FF01A9" w:rsidRPr="001F4BAA" w:rsidRDefault="00FF01A9" w:rsidP="004A7096">
            <w:pPr>
              <w:pStyle w:val="NoSpacing"/>
            </w:pPr>
            <w:r w:rsidRPr="001F4BAA">
              <w:t>˃25–30 kg</w:t>
            </w:r>
          </w:p>
        </w:tc>
        <w:tc>
          <w:tcPr>
            <w:tcW w:w="638" w:type="pct"/>
          </w:tcPr>
          <w:p w14:paraId="61B5A3FA" w14:textId="77777777" w:rsidR="00FF01A9" w:rsidRPr="001F4BAA" w:rsidRDefault="00FF01A9" w:rsidP="004A7096">
            <w:pPr>
              <w:pStyle w:val="NoSpacing"/>
            </w:pPr>
            <w:r w:rsidRPr="001F4BAA">
              <w:t>1250 mg</w:t>
            </w:r>
          </w:p>
        </w:tc>
        <w:tc>
          <w:tcPr>
            <w:tcW w:w="543" w:type="pct"/>
          </w:tcPr>
          <w:p w14:paraId="10608C39" w14:textId="77777777" w:rsidR="00FF01A9" w:rsidRPr="001F4BAA" w:rsidRDefault="00FF01A9" w:rsidP="004A7096">
            <w:pPr>
              <w:pStyle w:val="NoSpacing"/>
            </w:pPr>
            <w:r w:rsidRPr="001F4BAA">
              <w:t>–</w:t>
            </w:r>
          </w:p>
        </w:tc>
        <w:tc>
          <w:tcPr>
            <w:tcW w:w="619" w:type="pct"/>
          </w:tcPr>
          <w:p w14:paraId="62F02C2A" w14:textId="77777777" w:rsidR="00FF01A9" w:rsidRPr="001F4BAA" w:rsidRDefault="00FF01A9" w:rsidP="004A7096">
            <w:pPr>
              <w:pStyle w:val="NoSpacing"/>
            </w:pPr>
            <w:r w:rsidRPr="001F4BAA">
              <w:t>25 mL*</w:t>
            </w:r>
          </w:p>
        </w:tc>
        <w:tc>
          <w:tcPr>
            <w:tcW w:w="410" w:type="pct"/>
          </w:tcPr>
          <w:p w14:paraId="32DB2FB5" w14:textId="77777777" w:rsidR="00FF01A9" w:rsidRPr="001F4BAA" w:rsidRDefault="00FF01A9" w:rsidP="004A7096">
            <w:pPr>
              <w:pStyle w:val="NoSpacing"/>
            </w:pPr>
            <w:r w:rsidRPr="001F4BAA">
              <w:t>5</w:t>
            </w:r>
          </w:p>
        </w:tc>
        <w:tc>
          <w:tcPr>
            <w:tcW w:w="446" w:type="pct"/>
          </w:tcPr>
          <w:p w14:paraId="1DC2148A" w14:textId="77777777" w:rsidR="00FF01A9" w:rsidRPr="001F4BAA" w:rsidRDefault="00FF01A9" w:rsidP="004A7096">
            <w:pPr>
              <w:pStyle w:val="NoSpacing"/>
            </w:pPr>
            <w:r w:rsidRPr="001F4BAA">
              <w:t>–</w:t>
            </w:r>
          </w:p>
        </w:tc>
        <w:tc>
          <w:tcPr>
            <w:tcW w:w="1393" w:type="pct"/>
          </w:tcPr>
          <w:p w14:paraId="399AA72F" w14:textId="77777777" w:rsidR="00FF01A9" w:rsidRPr="001F4BAA" w:rsidRDefault="00FF01A9" w:rsidP="004A7096">
            <w:pPr>
              <w:pStyle w:val="NoSpacing"/>
            </w:pPr>
            <w:r w:rsidRPr="001F4BAA">
              <w:t>˃7–10 years</w:t>
            </w:r>
          </w:p>
        </w:tc>
      </w:tr>
      <w:tr w:rsidR="00FF01A9" w:rsidRPr="001F4BAA" w14:paraId="16DDF804" w14:textId="77777777" w:rsidTr="004E2308">
        <w:tc>
          <w:tcPr>
            <w:tcW w:w="951" w:type="pct"/>
          </w:tcPr>
          <w:p w14:paraId="63AF700F" w14:textId="77777777" w:rsidR="00FF01A9" w:rsidRPr="001F4BAA" w:rsidRDefault="00FF01A9" w:rsidP="004A7096">
            <w:pPr>
              <w:pStyle w:val="NoSpacing"/>
            </w:pPr>
            <w:r w:rsidRPr="001F4BAA">
              <w:t>&gt;30 kg</w:t>
            </w:r>
          </w:p>
        </w:tc>
        <w:tc>
          <w:tcPr>
            <w:tcW w:w="638" w:type="pct"/>
          </w:tcPr>
          <w:p w14:paraId="5C6AEC0E" w14:textId="77777777" w:rsidR="00FF01A9" w:rsidRPr="001F4BAA" w:rsidRDefault="00FF01A9" w:rsidP="004A7096">
            <w:pPr>
              <w:pStyle w:val="NoSpacing"/>
            </w:pPr>
            <w:r w:rsidRPr="001F4BAA">
              <w:t>1500 mg</w:t>
            </w:r>
          </w:p>
        </w:tc>
        <w:tc>
          <w:tcPr>
            <w:tcW w:w="543" w:type="pct"/>
          </w:tcPr>
          <w:p w14:paraId="0CEEB18D" w14:textId="77777777" w:rsidR="00FF01A9" w:rsidRPr="001F4BAA" w:rsidRDefault="00FF01A9" w:rsidP="004A7096">
            <w:pPr>
              <w:pStyle w:val="NoSpacing"/>
            </w:pPr>
            <w:r w:rsidRPr="001F4BAA">
              <w:t>–</w:t>
            </w:r>
          </w:p>
        </w:tc>
        <w:tc>
          <w:tcPr>
            <w:tcW w:w="619" w:type="pct"/>
          </w:tcPr>
          <w:p w14:paraId="3C1E273E" w14:textId="77777777" w:rsidR="00FF01A9" w:rsidRPr="001F4BAA" w:rsidRDefault="00FF01A9" w:rsidP="004A7096">
            <w:pPr>
              <w:pStyle w:val="NoSpacing"/>
            </w:pPr>
            <w:r w:rsidRPr="001F4BAA">
              <w:t>–</w:t>
            </w:r>
          </w:p>
        </w:tc>
        <w:tc>
          <w:tcPr>
            <w:tcW w:w="410" w:type="pct"/>
          </w:tcPr>
          <w:p w14:paraId="6BD45820" w14:textId="77777777" w:rsidR="00FF01A9" w:rsidRPr="001F4BAA" w:rsidRDefault="00FF01A9" w:rsidP="004A7096">
            <w:pPr>
              <w:pStyle w:val="NoSpacing"/>
            </w:pPr>
            <w:r w:rsidRPr="001F4BAA">
              <w:t>6</w:t>
            </w:r>
          </w:p>
        </w:tc>
        <w:tc>
          <w:tcPr>
            <w:tcW w:w="446" w:type="pct"/>
          </w:tcPr>
          <w:p w14:paraId="4C45C553" w14:textId="77777777" w:rsidR="00FF01A9" w:rsidRPr="001F4BAA" w:rsidRDefault="00FF01A9" w:rsidP="004A7096">
            <w:pPr>
              <w:pStyle w:val="NoSpacing"/>
            </w:pPr>
            <w:r w:rsidRPr="001F4BAA">
              <w:t>3</w:t>
            </w:r>
          </w:p>
        </w:tc>
        <w:tc>
          <w:tcPr>
            <w:tcW w:w="1393" w:type="pct"/>
          </w:tcPr>
          <w:p w14:paraId="2BAFEB2D" w14:textId="77777777" w:rsidR="00FF01A9" w:rsidRPr="001F4BAA" w:rsidRDefault="00FF01A9" w:rsidP="004A7096">
            <w:pPr>
              <w:pStyle w:val="NoSpacing"/>
            </w:pPr>
            <w:r w:rsidRPr="001F4BAA">
              <w:t>&gt;10 years</w:t>
            </w:r>
          </w:p>
        </w:tc>
      </w:tr>
      <w:tr w:rsidR="004E2308" w:rsidRPr="001F4BAA" w14:paraId="61043B8B" w14:textId="77777777" w:rsidTr="004E2308">
        <w:trPr>
          <w:cnfStyle w:val="010000000000" w:firstRow="0" w:lastRow="1" w:firstColumn="0" w:lastColumn="0" w:oddVBand="0" w:evenVBand="0" w:oddHBand="0" w:evenHBand="0" w:firstRowFirstColumn="0" w:firstRowLastColumn="0" w:lastRowFirstColumn="0" w:lastRowLastColumn="0"/>
        </w:trPr>
        <w:tc>
          <w:tcPr>
            <w:tcW w:w="5000" w:type="pct"/>
            <w:gridSpan w:val="7"/>
          </w:tcPr>
          <w:p w14:paraId="4E384D8F" w14:textId="7359D7DA" w:rsidR="004E2308" w:rsidRPr="001F4BAA" w:rsidRDefault="004E2308" w:rsidP="004A7096">
            <w:pPr>
              <w:pStyle w:val="NoSpacing"/>
            </w:pPr>
            <w:r w:rsidRPr="001F4BAA">
              <w:t>*capsule/tablet preferred</w:t>
            </w:r>
          </w:p>
        </w:tc>
      </w:tr>
    </w:tbl>
    <w:p w14:paraId="3E3CF480" w14:textId="714450B8" w:rsidR="00C643E3" w:rsidRDefault="00FF01A9" w:rsidP="00C643E3">
      <w:pPr>
        <w:pStyle w:val="Heading6"/>
      </w:pPr>
      <w:r w:rsidRPr="001F4BAA">
        <w:t xml:space="preserve">Severe penicillin allergy: </w:t>
      </w:r>
    </w:p>
    <w:p w14:paraId="527801C4" w14:textId="4E305934" w:rsidR="00FF01A9" w:rsidRPr="001F4BAA" w:rsidRDefault="00FF01A9" w:rsidP="002344FD">
      <w:pPr>
        <w:pStyle w:val="ICD10"/>
        <w:shd w:val="clear" w:color="auto" w:fill="F2F2F2" w:themeFill="background1" w:themeFillShade="F2"/>
        <w:tabs>
          <w:tab w:val="left" w:pos="2753"/>
        </w:tabs>
      </w:pPr>
      <w:r w:rsidRPr="001F4BAA">
        <w:t>Z88.0</w:t>
      </w:r>
    </w:p>
    <w:p w14:paraId="60E8ADF1" w14:textId="77777777" w:rsidR="00FF01A9" w:rsidRPr="001F4BAA" w:rsidRDefault="00FF01A9" w:rsidP="00C643E3">
      <w:pPr>
        <w:pStyle w:val="Heading7"/>
      </w:pPr>
      <w:r w:rsidRPr="001F4BAA">
        <w:t>Children</w:t>
      </w:r>
    </w:p>
    <w:p w14:paraId="5965EC69" w14:textId="1D2011D2" w:rsidR="00FF01A9" w:rsidRPr="001F4BAA" w:rsidRDefault="00FF01A9" w:rsidP="00C643E3">
      <w:pPr>
        <w:pStyle w:val="BulletTherapeuticclass"/>
      </w:pPr>
      <w:r w:rsidRPr="001F4BAA">
        <w:t>Macrolide</w:t>
      </w:r>
      <w:r w:rsidR="00812598">
        <w:fldChar w:fldCharType="begin"/>
      </w:r>
      <w:r w:rsidR="00812598">
        <w:instrText xml:space="preserve"> XE “Macrolide” \f “m” </w:instrText>
      </w:r>
      <w:r w:rsidR="00812598">
        <w:fldChar w:fldCharType="end"/>
      </w:r>
      <w:r w:rsidRPr="001F4BAA">
        <w:t xml:space="preserve">, e.g.: </w:t>
      </w:r>
    </w:p>
    <w:p w14:paraId="362B6DA2" w14:textId="6DF8FD47" w:rsidR="00FF01A9" w:rsidRPr="001F4BAA" w:rsidRDefault="00FF01A9" w:rsidP="008542CC">
      <w:pPr>
        <w:pStyle w:val="BulletMedicine"/>
        <w:numPr>
          <w:ilvl w:val="0"/>
          <w:numId w:val="27"/>
        </w:numPr>
      </w:pPr>
      <w:r w:rsidRPr="001F4BAA">
        <w:t>Azithromycin, oral</w:t>
      </w:r>
      <w:r w:rsidR="00812598">
        <w:fldChar w:fldCharType="begin"/>
      </w:r>
      <w:r w:rsidR="00812598">
        <w:instrText xml:space="preserve"> XE “Azithromycin, oral” \f “m” </w:instrText>
      </w:r>
      <w:r w:rsidR="00812598">
        <w:fldChar w:fldCharType="end"/>
      </w:r>
      <w:r w:rsidRPr="001F4BAA">
        <w:t>, 10 mg/kg/dose daily for 3 days.</w:t>
      </w:r>
      <w:r w:rsidR="00B75193" w:rsidRPr="00B75193">
        <w:t xml:space="preserve"> </w:t>
      </w:r>
      <w:r w:rsidR="00B75193">
        <w:rPr>
          <w:noProof/>
          <w:lang w:eastAsia="en-ZA"/>
        </w:rPr>
        <w:drawing>
          <wp:inline distT="0" distB="0" distL="0" distR="0" wp14:anchorId="21C9135A" wp14:editId="6D6F0C5D">
            <wp:extent cx="142875" cy="152400"/>
            <wp:effectExtent l="0" t="0" r="9525" b="0"/>
            <wp:docPr id="1073201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1F4BAA">
        <w:t xml:space="preserve"> See dosing table</w:t>
      </w:r>
      <w:r w:rsidR="00B71AD8">
        <w:t>:</w:t>
      </w:r>
      <w:r w:rsidR="004A56FB">
        <w:t>Chapter 23</w:t>
      </w:r>
      <w:r w:rsidR="00B71AD8">
        <w:t>.</w:t>
      </w:r>
    </w:p>
    <w:p w14:paraId="63E19963" w14:textId="77777777" w:rsidR="00FF01A9" w:rsidRPr="001F4BAA" w:rsidRDefault="00FF01A9" w:rsidP="00525E34">
      <w:pPr>
        <w:pStyle w:val="Heading6"/>
      </w:pPr>
      <w:r w:rsidRPr="001F4BAA">
        <w:t>Severe pneumonia:</w:t>
      </w:r>
    </w:p>
    <w:p w14:paraId="60C65057" w14:textId="79861650" w:rsidR="00FF01A9" w:rsidRPr="001F4BAA" w:rsidRDefault="00FF01A9" w:rsidP="008542CC">
      <w:pPr>
        <w:pStyle w:val="BulletMedicine"/>
        <w:numPr>
          <w:ilvl w:val="0"/>
          <w:numId w:val="28"/>
        </w:numPr>
      </w:pPr>
      <w:r w:rsidRPr="001F4BAA">
        <w:t>Oxygen</w:t>
      </w:r>
      <w:r w:rsidR="00812598">
        <w:fldChar w:fldCharType="begin"/>
      </w:r>
      <w:r w:rsidR="00812598">
        <w:instrText xml:space="preserve"> XE "Oxygen" \f "m" </w:instrText>
      </w:r>
      <w:r w:rsidR="00812598">
        <w:fldChar w:fldCharType="end"/>
      </w:r>
      <w:r w:rsidRPr="001F4BAA">
        <w:t>, using nasal cannula at 1–2 L/minute before and during transfer.</w:t>
      </w:r>
    </w:p>
    <w:p w14:paraId="645A5BC7" w14:textId="62CFE98E" w:rsidR="00FF01A9" w:rsidRPr="001F4BAA" w:rsidRDefault="00FF01A9" w:rsidP="008542CC">
      <w:pPr>
        <w:pStyle w:val="BulletMedicine"/>
        <w:numPr>
          <w:ilvl w:val="0"/>
          <w:numId w:val="29"/>
        </w:numPr>
      </w:pPr>
      <w:r w:rsidRPr="001F4BAA">
        <w:t>Ceftriaxone</w:t>
      </w:r>
      <w:r w:rsidR="00812598">
        <w:fldChar w:fldCharType="begin"/>
      </w:r>
      <w:r w:rsidR="00812598">
        <w:instrText xml:space="preserve"> XE “Ceftriaxone” \f “m” </w:instrText>
      </w:r>
      <w:r w:rsidR="00812598">
        <w:fldChar w:fldCharType="end"/>
      </w:r>
      <w:r w:rsidRPr="001F4BAA">
        <w:t>, IM, 80 mg/kg/dose immediately as a single dose.</w:t>
      </w:r>
      <w:r w:rsidR="00B75193" w:rsidRPr="00B75193">
        <w:t xml:space="preserve"> </w:t>
      </w:r>
      <w:r w:rsidR="00B75193">
        <w:rPr>
          <w:noProof/>
          <w:lang w:eastAsia="en-ZA"/>
        </w:rPr>
        <w:drawing>
          <wp:inline distT="0" distB="0" distL="0" distR="0" wp14:anchorId="5832D49F" wp14:editId="367DD6F8">
            <wp:extent cx="142875" cy="152400"/>
            <wp:effectExtent l="0" t="0" r="9525" b="0"/>
            <wp:docPr id="709371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1F4BAA">
        <w:t xml:space="preserve"> See dosing table</w:t>
      </w:r>
      <w:r w:rsidR="00B71AD8">
        <w:t xml:space="preserve">: </w:t>
      </w:r>
      <w:r w:rsidR="004A56FB">
        <w:t>Chapter 23</w:t>
      </w:r>
      <w:r w:rsidR="00B71AD8">
        <w:t>.</w:t>
      </w:r>
    </w:p>
    <w:p w14:paraId="797FC2D9" w14:textId="5FECCDF2" w:rsidR="00FF01A9" w:rsidRDefault="00FF01A9" w:rsidP="00267F67">
      <w:pPr>
        <w:pStyle w:val="BulletDirectionsInstructions"/>
      </w:pPr>
      <w:r w:rsidRPr="001F4BAA">
        <w:t xml:space="preserve">Do not inject more than 1 g </w:t>
      </w:r>
      <w:r w:rsidR="00AA7B89">
        <w:t xml:space="preserve">per </w:t>
      </w:r>
      <w:r w:rsidRPr="001F4BAA">
        <w:t>injection site.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59"/>
      </w:tblGrid>
      <w:tr w:rsidR="00FF01A9" w:rsidRPr="00267F67" w14:paraId="461FB5F3" w14:textId="77777777" w:rsidTr="00C700D6">
        <w:trPr>
          <w:trHeight w:val="784"/>
        </w:trPr>
        <w:tc>
          <w:tcPr>
            <w:tcW w:w="5000" w:type="pct"/>
            <w:tcBorders>
              <w:top w:val="double" w:sz="4" w:space="0" w:color="auto"/>
              <w:left w:val="double" w:sz="4" w:space="0" w:color="auto"/>
              <w:bottom w:val="double" w:sz="4" w:space="0" w:color="auto"/>
              <w:right w:val="double" w:sz="4" w:space="0" w:color="auto"/>
            </w:tcBorders>
          </w:tcPr>
          <w:p w14:paraId="2EF92F62" w14:textId="77777777" w:rsidR="00FF01A9" w:rsidRPr="00267F67" w:rsidRDefault="00FF01A9" w:rsidP="00267F67">
            <w:pPr>
              <w:pStyle w:val="NoSpacing"/>
              <w:jc w:val="center"/>
              <w:rPr>
                <w:rStyle w:val="Strong"/>
                <w:sz w:val="16"/>
                <w:szCs w:val="16"/>
              </w:rPr>
            </w:pPr>
            <w:r w:rsidRPr="00267F67">
              <w:rPr>
                <w:rStyle w:val="Strong"/>
                <w:sz w:val="16"/>
                <w:szCs w:val="16"/>
              </w:rPr>
              <w:t>CAUTION: USE OF CEFTRIAXONE IN NEONATES AND CHILDREN</w:t>
            </w:r>
          </w:p>
          <w:p w14:paraId="289B9806" w14:textId="77777777" w:rsidR="00FF01A9" w:rsidRPr="00267F67" w:rsidRDefault="00FF01A9" w:rsidP="00267F67">
            <w:pPr>
              <w:pStyle w:val="ListParagraph"/>
              <w:rPr>
                <w:sz w:val="16"/>
                <w:szCs w:val="16"/>
              </w:rPr>
            </w:pPr>
            <w:r w:rsidRPr="00267F67">
              <w:rPr>
                <w:sz w:val="16"/>
                <w:szCs w:val="16"/>
              </w:rPr>
              <w:t xml:space="preserve">If SUSPECTING SERIOUS BACTERIAL INFECTION in neonate, give ceftriaxone, even if jaundiced. </w:t>
            </w:r>
          </w:p>
          <w:p w14:paraId="0DA67694" w14:textId="27160A60" w:rsidR="00FF01A9" w:rsidRPr="00267F67" w:rsidRDefault="00FF01A9" w:rsidP="00267F67">
            <w:pPr>
              <w:pStyle w:val="ListParagraph"/>
              <w:rPr>
                <w:sz w:val="16"/>
                <w:szCs w:val="16"/>
              </w:rPr>
            </w:pPr>
            <w:r w:rsidRPr="00267F67">
              <w:rPr>
                <w:sz w:val="16"/>
                <w:szCs w:val="16"/>
              </w:rPr>
              <w:t>Always include the dose and route of administration of ceftriaxone in the referral letter.</w:t>
            </w:r>
          </w:p>
        </w:tc>
      </w:tr>
    </w:tbl>
    <w:p w14:paraId="5019301C" w14:textId="77777777" w:rsidR="00FF01A9" w:rsidRPr="001F4BAA" w:rsidRDefault="00FF01A9" w:rsidP="002748C3">
      <w:pPr>
        <w:pStyle w:val="Heading5"/>
      </w:pPr>
      <w:r w:rsidRPr="001F4BAA">
        <w:t>REFERRAL</w:t>
      </w:r>
    </w:p>
    <w:p w14:paraId="71578EAA" w14:textId="77777777" w:rsidR="00FF01A9" w:rsidRPr="00FF0EC4" w:rsidRDefault="00FF01A9" w:rsidP="00FF01A9">
      <w:pPr>
        <w:pStyle w:val="NoSpacing"/>
        <w:rPr>
          <w:rStyle w:val="Strong"/>
        </w:rPr>
      </w:pPr>
      <w:r w:rsidRPr="00FF0EC4">
        <w:rPr>
          <w:rStyle w:val="Strong"/>
        </w:rPr>
        <w:t>Urgent</w:t>
      </w:r>
    </w:p>
    <w:p w14:paraId="4709108F" w14:textId="5496F9DA" w:rsidR="00FF01A9" w:rsidRPr="001F4BAA" w:rsidRDefault="00FF01A9" w:rsidP="00FF0EC4">
      <w:pPr>
        <w:pStyle w:val="ListParagraph"/>
      </w:pPr>
      <w:r w:rsidRPr="001F4BAA">
        <w:t>All children with severe pneumonia, i.e. chest indrawing (of the lower chest wall), flaring nostrils or cyanosis.</w:t>
      </w:r>
    </w:p>
    <w:p w14:paraId="41CD2114" w14:textId="3EECB880" w:rsidR="00FF01A9" w:rsidRPr="001F4BAA" w:rsidRDefault="00FF01A9" w:rsidP="00FF0EC4">
      <w:pPr>
        <w:pStyle w:val="ListParagraph"/>
      </w:pPr>
      <w:r w:rsidRPr="001F4BAA">
        <w:t xml:space="preserve">All children </w:t>
      </w:r>
      <w:r w:rsidR="007277E7">
        <w:t>&lt;</w:t>
      </w:r>
      <w:r w:rsidRPr="001F4BAA">
        <w:t>2 months of age.</w:t>
      </w:r>
    </w:p>
    <w:p w14:paraId="063DA6EC" w14:textId="77777777" w:rsidR="00FF01A9" w:rsidRPr="00FF0EC4" w:rsidRDefault="00FF01A9" w:rsidP="00FF01A9">
      <w:pPr>
        <w:pStyle w:val="NoSpacing"/>
        <w:rPr>
          <w:rStyle w:val="Strong"/>
        </w:rPr>
      </w:pPr>
      <w:r w:rsidRPr="00FF0EC4">
        <w:rPr>
          <w:rStyle w:val="Strong"/>
        </w:rPr>
        <w:t>Non urgent</w:t>
      </w:r>
    </w:p>
    <w:p w14:paraId="06395BC4" w14:textId="77777777" w:rsidR="00FF01A9" w:rsidRPr="001F4BAA" w:rsidRDefault="00FF01A9" w:rsidP="00FF0EC4">
      <w:pPr>
        <w:pStyle w:val="ListParagraph"/>
      </w:pPr>
      <w:r w:rsidRPr="001F4BAA">
        <w:t>Inadequate response to treatment.</w:t>
      </w:r>
    </w:p>
    <w:p w14:paraId="6182323C" w14:textId="1A6ED7F3" w:rsidR="00FF01A9" w:rsidRPr="001F4BAA" w:rsidRDefault="00FF01A9" w:rsidP="00FF0EC4">
      <w:pPr>
        <w:pStyle w:val="ListParagraph"/>
      </w:pPr>
      <w:r w:rsidRPr="001F4BAA">
        <w:t xml:space="preserve">Children coughing for </w:t>
      </w:r>
      <w:r w:rsidR="007277E7">
        <w:t>&gt;</w:t>
      </w:r>
      <w:r w:rsidRPr="001F4BAA">
        <w:t>3 weeks to exclude other causes such as TB, foreign body aspiration or pertussis.</w:t>
      </w:r>
    </w:p>
    <w:p w14:paraId="5ACE254D" w14:textId="77777777" w:rsidR="00FF01A9" w:rsidRPr="001F4BAA" w:rsidRDefault="00FF01A9" w:rsidP="00FF01A9">
      <w:pPr>
        <w:pStyle w:val="NoSpacing"/>
      </w:pPr>
    </w:p>
    <w:p w14:paraId="3179DE54" w14:textId="5F30B7DE" w:rsidR="00FF01A9" w:rsidRPr="002748C3" w:rsidRDefault="002748C3" w:rsidP="002748C3">
      <w:pPr>
        <w:pStyle w:val="Heading4"/>
      </w:pPr>
      <w:bookmarkStart w:id="74" w:name="_Toc57838386"/>
      <w:bookmarkStart w:id="75" w:name="_Toc57838482"/>
      <w:bookmarkStart w:id="76" w:name="_Toc57839899"/>
      <w:bookmarkStart w:id="77" w:name="_Toc57840036"/>
      <w:bookmarkStart w:id="78" w:name="_Toc177054034"/>
      <w:r w:rsidRPr="002748C3">
        <w:lastRenderedPageBreak/>
        <w:t>Pneumonia in adults</w:t>
      </w:r>
      <w:bookmarkEnd w:id="74"/>
      <w:bookmarkEnd w:id="75"/>
      <w:bookmarkEnd w:id="76"/>
      <w:bookmarkEnd w:id="77"/>
      <w:bookmarkEnd w:id="78"/>
      <w:r w:rsidR="001132AD">
        <w:fldChar w:fldCharType="begin"/>
      </w:r>
      <w:r w:rsidR="001132AD">
        <w:instrText xml:space="preserve"> XE "</w:instrText>
      </w:r>
      <w:r w:rsidR="001132AD" w:rsidRPr="004A0AEB">
        <w:instrText>Pneumonia in adults</w:instrText>
      </w:r>
      <w:r w:rsidR="001132AD">
        <w:instrText xml:space="preserve">" </w:instrText>
      </w:r>
      <w:r w:rsidR="001132AD" w:rsidRPr="001132AD">
        <w:instrText xml:space="preserve">\f “c” </w:instrText>
      </w:r>
      <w:r w:rsidR="001132AD">
        <w:fldChar w:fldCharType="end"/>
      </w:r>
    </w:p>
    <w:p w14:paraId="2B5310D0" w14:textId="77777777" w:rsidR="00FF01A9" w:rsidRPr="00FF0EC4" w:rsidRDefault="00FF01A9" w:rsidP="00FF01A9">
      <w:pPr>
        <w:pStyle w:val="NoSpacing"/>
        <w:rPr>
          <w:sz w:val="8"/>
          <w:szCs w:val="8"/>
        </w:rPr>
      </w:pPr>
    </w:p>
    <w:p w14:paraId="2CB8BC4D" w14:textId="30AAE967" w:rsidR="00FF01A9" w:rsidRPr="009B64C7" w:rsidRDefault="00D6342B" w:rsidP="009B64C7">
      <w:pPr>
        <w:pStyle w:val="Heading8"/>
      </w:pPr>
      <w:bookmarkStart w:id="79" w:name="_Toc57838483"/>
      <w:bookmarkStart w:id="80" w:name="_Toc57839900"/>
      <w:bookmarkStart w:id="81" w:name="_Toc57840037"/>
      <w:bookmarkStart w:id="82" w:name="_Toc177054035"/>
      <w:r w:rsidRPr="009B64C7">
        <w:t>Uncomplicated pneumonia</w:t>
      </w:r>
      <w:bookmarkEnd w:id="79"/>
      <w:bookmarkEnd w:id="80"/>
      <w:bookmarkEnd w:id="81"/>
      <w:bookmarkEnd w:id="82"/>
      <w:r w:rsidR="001132AD">
        <w:fldChar w:fldCharType="begin"/>
      </w:r>
      <w:r w:rsidR="001132AD">
        <w:instrText xml:space="preserve"> XE "</w:instrText>
      </w:r>
      <w:r w:rsidR="001132AD" w:rsidRPr="004A0AEB">
        <w:instrText>Uncomplicated pneumonia</w:instrText>
      </w:r>
      <w:r w:rsidR="001132AD">
        <w:instrText xml:space="preserve">" </w:instrText>
      </w:r>
      <w:r w:rsidR="001132AD" w:rsidRPr="001132AD">
        <w:instrText xml:space="preserve">\f “c” </w:instrText>
      </w:r>
      <w:r w:rsidR="001132AD">
        <w:fldChar w:fldCharType="end"/>
      </w:r>
    </w:p>
    <w:p w14:paraId="461CAD6A" w14:textId="4229A0AB" w:rsidR="00FF01A9" w:rsidRPr="001F4BAA" w:rsidRDefault="00FF01A9" w:rsidP="002344FD">
      <w:pPr>
        <w:pStyle w:val="ICD10"/>
        <w:shd w:val="clear" w:color="auto" w:fill="F2F2F2" w:themeFill="background1" w:themeFillShade="F2"/>
        <w:tabs>
          <w:tab w:val="left" w:pos="2753"/>
        </w:tabs>
      </w:pPr>
      <w:r w:rsidRPr="001F4BAA">
        <w:t>J18.0-2/J18</w:t>
      </w:r>
      <w:r w:rsidR="008F50BF">
        <w:t>.8</w:t>
      </w:r>
      <w:r w:rsidRPr="001F4BAA">
        <w:t>-9</w:t>
      </w:r>
    </w:p>
    <w:p w14:paraId="0389EAB0" w14:textId="77777777" w:rsidR="00FF01A9" w:rsidRPr="001F4BAA" w:rsidRDefault="00FF01A9" w:rsidP="00F31518">
      <w:pPr>
        <w:pStyle w:val="Heading5"/>
      </w:pPr>
      <w:r w:rsidRPr="001F4BAA">
        <w:t>DIAGNOSIS</w:t>
      </w:r>
    </w:p>
    <w:p w14:paraId="5CFD242C" w14:textId="706155EB" w:rsidR="00FF01A9" w:rsidRPr="001F4BAA" w:rsidRDefault="00FF01A9" w:rsidP="00FF01A9">
      <w:pPr>
        <w:pStyle w:val="NoSpacing"/>
      </w:pPr>
      <w:r w:rsidRPr="001F4BAA">
        <w:t>A chest X-ray should ideally be taken in all patients to confirm the diagnosis. Send one sputum specimen for TB DNA PCR (Xpert</w:t>
      </w:r>
      <w:r w:rsidR="001F7CD1" w:rsidRPr="006161B2">
        <w:rPr>
          <w:rFonts w:cs="Arial"/>
          <w:vertAlign w:val="superscript"/>
        </w:rPr>
        <w:t>®</w:t>
      </w:r>
      <w:r w:rsidRPr="001F4BAA">
        <w:t xml:space="preserve"> MTB/RIF) to exclude pulmonary tuberculosis.</w:t>
      </w:r>
    </w:p>
    <w:p w14:paraId="199F1B90" w14:textId="77777777" w:rsidR="00FF01A9" w:rsidRPr="001F4BAA" w:rsidRDefault="00FF01A9" w:rsidP="00F31518">
      <w:pPr>
        <w:pStyle w:val="Heading5"/>
      </w:pPr>
      <w:r w:rsidRPr="001F4BAA">
        <w:t>MEDICINE TREATMENT</w:t>
      </w:r>
    </w:p>
    <w:p w14:paraId="07F12EC5" w14:textId="77777777" w:rsidR="00FF01A9" w:rsidRPr="001F4BAA" w:rsidRDefault="00FF01A9" w:rsidP="00D11455">
      <w:pPr>
        <w:pStyle w:val="Heading6"/>
      </w:pPr>
      <w:r w:rsidRPr="001F4BAA">
        <w:t>If not severely ill (see referral criteria below):</w:t>
      </w:r>
    </w:p>
    <w:p w14:paraId="4A9BEBAC" w14:textId="37D7C741" w:rsidR="00FF01A9" w:rsidRPr="001F4BAA" w:rsidRDefault="00FF01A9" w:rsidP="008542CC">
      <w:pPr>
        <w:pStyle w:val="BulletMedicine"/>
        <w:numPr>
          <w:ilvl w:val="0"/>
          <w:numId w:val="30"/>
        </w:numPr>
      </w:pPr>
      <w:r w:rsidRPr="001F4BAA">
        <w:t>Amoxicillin, oral</w:t>
      </w:r>
      <w:r w:rsidR="00812598">
        <w:fldChar w:fldCharType="begin"/>
      </w:r>
      <w:r w:rsidR="00812598">
        <w:instrText xml:space="preserve"> XE “Amoxicillin, oral” \f “m” </w:instrText>
      </w:r>
      <w:r w:rsidR="00812598">
        <w:fldChar w:fldCharType="end"/>
      </w:r>
      <w:r w:rsidRPr="001F4BAA">
        <w:t>, 1 g 8 hourly for 5 days.</w:t>
      </w:r>
    </w:p>
    <w:p w14:paraId="7C2CC44E" w14:textId="77777777" w:rsidR="00D11455" w:rsidRDefault="00FF01A9" w:rsidP="00D11455">
      <w:pPr>
        <w:pStyle w:val="Heading6"/>
      </w:pPr>
      <w:r w:rsidRPr="001F4BAA">
        <w:t xml:space="preserve">Severe Penicillin allergy: </w:t>
      </w:r>
    </w:p>
    <w:p w14:paraId="3792BE6E" w14:textId="26AF3530" w:rsidR="00FF01A9" w:rsidRPr="001F4BAA" w:rsidRDefault="00FF01A9" w:rsidP="00D11455">
      <w:pPr>
        <w:pStyle w:val="ICD10"/>
      </w:pPr>
      <w:r w:rsidRPr="001F4BAA">
        <w:t>Z88.0</w:t>
      </w:r>
    </w:p>
    <w:p w14:paraId="13A065B2" w14:textId="1EADDED7" w:rsidR="00FF01A9" w:rsidRPr="001F4BAA" w:rsidRDefault="00FF01A9" w:rsidP="008542CC">
      <w:pPr>
        <w:pStyle w:val="BulletMedicine"/>
        <w:numPr>
          <w:ilvl w:val="0"/>
          <w:numId w:val="31"/>
        </w:numPr>
      </w:pPr>
      <w:r w:rsidRPr="001F4BAA">
        <w:t>Moxifloxacin, oral</w:t>
      </w:r>
      <w:r w:rsidR="00812598">
        <w:fldChar w:fldCharType="begin"/>
      </w:r>
      <w:r w:rsidR="00812598">
        <w:instrText xml:space="preserve"> XE “Moxifloxacin, oral” \f “m” </w:instrText>
      </w:r>
      <w:r w:rsidR="00812598">
        <w:fldChar w:fldCharType="end"/>
      </w:r>
      <w:r w:rsidRPr="001F4BAA">
        <w:t>, 400 mg daily for 5 days.</w:t>
      </w:r>
    </w:p>
    <w:tbl>
      <w:tblPr>
        <w:tblpPr w:leftFromText="180" w:rightFromText="180" w:vertAnchor="text" w:horzAnchor="margin" w:tblpXSpec="right" w:tblpY="25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212A8B" w:rsidRPr="001F4BAA" w14:paraId="7BBB0A62" w14:textId="77777777" w:rsidTr="00212A8B">
        <w:tc>
          <w:tcPr>
            <w:tcW w:w="907" w:type="dxa"/>
          </w:tcPr>
          <w:p w14:paraId="4F9AABBB" w14:textId="0C62F9BA" w:rsidR="00212A8B" w:rsidRPr="002344FD" w:rsidRDefault="00212A8B" w:rsidP="00212A8B">
            <w:pPr>
              <w:pStyle w:val="LoEText"/>
              <w:framePr w:hSpace="0" w:wrap="auto" w:vAnchor="margin" w:hAnchor="text" w:xAlign="left" w:yAlign="inline"/>
              <w:suppressOverlap w:val="0"/>
              <w:rPr>
                <w:sz w:val="14"/>
                <w:szCs w:val="14"/>
              </w:rPr>
            </w:pPr>
            <w:r w:rsidRPr="002344FD">
              <w:rPr>
                <w:sz w:val="14"/>
                <w:szCs w:val="14"/>
              </w:rPr>
              <w:t>LoE:III</w:t>
            </w:r>
            <w:r w:rsidR="00B5324C" w:rsidRPr="002344FD">
              <w:rPr>
                <w:sz w:val="14"/>
                <w:szCs w:val="14"/>
              </w:rPr>
              <w:t>b</w:t>
            </w:r>
            <w:r w:rsidRPr="002344FD">
              <w:rPr>
                <w:rStyle w:val="EndnoteReference8"/>
                <w:sz w:val="14"/>
                <w:szCs w:val="14"/>
              </w:rPr>
              <w:endnoteReference w:id="21"/>
            </w:r>
          </w:p>
        </w:tc>
      </w:tr>
    </w:tbl>
    <w:p w14:paraId="0B6A0814" w14:textId="295F49C3" w:rsidR="00FF01A9" w:rsidRPr="001F4BAA" w:rsidRDefault="00FF01A9" w:rsidP="00FF01A9">
      <w:pPr>
        <w:pStyle w:val="NoSpacing"/>
      </w:pPr>
      <w:r w:rsidRPr="001F4BAA">
        <w:t xml:space="preserve">A follow-up chest X-ray should ideally be taken to ensure resolution of the pneumonia in patients </w:t>
      </w:r>
      <w:r w:rsidR="007277E7">
        <w:t>&gt;</w:t>
      </w:r>
      <w:r w:rsidRPr="001F4BAA">
        <w:t>50 years of age.</w:t>
      </w:r>
    </w:p>
    <w:p w14:paraId="134BFD85" w14:textId="77777777" w:rsidR="00FF01A9" w:rsidRPr="001F4BAA" w:rsidRDefault="00FF01A9" w:rsidP="00F31518">
      <w:pPr>
        <w:pStyle w:val="Heading5"/>
      </w:pPr>
      <w:r w:rsidRPr="001F4BAA">
        <w:t>REFERRAL</w:t>
      </w:r>
    </w:p>
    <w:p w14:paraId="65498386" w14:textId="77777777" w:rsidR="00FF01A9" w:rsidRPr="001F4BAA" w:rsidRDefault="00FF01A9" w:rsidP="00FF01A9">
      <w:pPr>
        <w:pStyle w:val="NoSpacing"/>
      </w:pPr>
      <w:r w:rsidRPr="001F4BAA">
        <w:t>Any of the following:</w:t>
      </w:r>
    </w:p>
    <w:p w14:paraId="50478BF6" w14:textId="77777777" w:rsidR="00FF01A9" w:rsidRPr="001F4BAA" w:rsidRDefault="00FF01A9" w:rsidP="00212A8B">
      <w:pPr>
        <w:pStyle w:val="ListParagraph"/>
      </w:pPr>
      <w:r w:rsidRPr="001F4BAA">
        <w:t>Confusion or decreased level of consciousness.</w:t>
      </w:r>
    </w:p>
    <w:p w14:paraId="63D145DD" w14:textId="77777777" w:rsidR="00FF01A9" w:rsidRPr="001F4BAA" w:rsidRDefault="00FF01A9" w:rsidP="00212A8B">
      <w:pPr>
        <w:pStyle w:val="ListParagraph"/>
      </w:pPr>
      <w:r w:rsidRPr="001F4BAA">
        <w:t>Cyanosis.</w:t>
      </w:r>
    </w:p>
    <w:p w14:paraId="6E7225E5" w14:textId="479D986E" w:rsidR="00FF01A9" w:rsidRPr="001F4BAA" w:rsidRDefault="00FF01A9" w:rsidP="00212A8B">
      <w:pPr>
        <w:pStyle w:val="ListParagraph"/>
      </w:pPr>
      <w:r w:rsidRPr="001F4BAA">
        <w:t>Respiratory rate of ≥30 breaths/minute.</w:t>
      </w:r>
    </w:p>
    <w:p w14:paraId="2C24B0A3" w14:textId="03ED7E98" w:rsidR="00FF01A9" w:rsidRPr="001F4BAA" w:rsidRDefault="00FF01A9" w:rsidP="00212A8B">
      <w:pPr>
        <w:pStyle w:val="ListParagraph"/>
      </w:pPr>
      <w:r w:rsidRPr="001F4BAA">
        <w:t xml:space="preserve">Systolic BP </w:t>
      </w:r>
      <w:r w:rsidR="007277E7">
        <w:t>&lt;</w:t>
      </w:r>
      <w:r w:rsidRPr="001F4BAA">
        <w:t>90 mmHg.</w:t>
      </w:r>
    </w:p>
    <w:p w14:paraId="16992D2B" w14:textId="491E3D66" w:rsidR="00FF01A9" w:rsidRPr="001F4BAA" w:rsidRDefault="00FF01A9" w:rsidP="00212A8B">
      <w:pPr>
        <w:pStyle w:val="ListParagraph"/>
      </w:pPr>
      <w:r w:rsidRPr="001F4BAA">
        <w:t xml:space="preserve">Diastolic BP </w:t>
      </w:r>
      <w:r w:rsidR="007277E7">
        <w:t>&lt;</w:t>
      </w:r>
      <w:r w:rsidRPr="001F4BAA">
        <w:t>60 mmHg.</w:t>
      </w:r>
    </w:p>
    <w:p w14:paraId="0D6676D5" w14:textId="77777777" w:rsidR="00FF01A9" w:rsidRPr="001F4BAA" w:rsidRDefault="00FF01A9" w:rsidP="00212A8B">
      <w:pPr>
        <w:pStyle w:val="ListParagraph"/>
      </w:pPr>
      <w:r w:rsidRPr="001F4BAA">
        <w:t>Deterioration at any point.</w:t>
      </w:r>
    </w:p>
    <w:p w14:paraId="2EE9834D" w14:textId="77777777" w:rsidR="00FF01A9" w:rsidRPr="001F4BAA" w:rsidRDefault="00FF01A9" w:rsidP="00212A8B">
      <w:pPr>
        <w:pStyle w:val="ListParagraph"/>
      </w:pPr>
      <w:r w:rsidRPr="001F4BAA">
        <w:t>No response to treatment after 48 hours.</w:t>
      </w:r>
    </w:p>
    <w:p w14:paraId="4F5EE41C" w14:textId="77777777" w:rsidR="00FF01A9" w:rsidRPr="001F4BAA" w:rsidRDefault="00FF01A9" w:rsidP="00212A8B">
      <w:pPr>
        <w:pStyle w:val="ListParagraph"/>
      </w:pPr>
      <w:r w:rsidRPr="001F4BAA">
        <w:t>Patients with pneumonia:</w:t>
      </w:r>
    </w:p>
    <w:p w14:paraId="0661D66D" w14:textId="75F094A3" w:rsidR="00FF01A9" w:rsidRPr="001F4BAA" w:rsidRDefault="00FF01A9" w:rsidP="00212A8B">
      <w:pPr>
        <w:pStyle w:val="ListParagraph"/>
        <w:numPr>
          <w:ilvl w:val="1"/>
          <w:numId w:val="4"/>
        </w:numPr>
      </w:pPr>
      <w:r w:rsidRPr="001F4BAA">
        <w:t>from a poor socio-economic background</w:t>
      </w:r>
      <w:r w:rsidR="00C90FE5">
        <w:t>,</w:t>
      </w:r>
    </w:p>
    <w:p w14:paraId="726BB550" w14:textId="63B4D956" w:rsidR="00FF01A9" w:rsidRPr="001F4BAA" w:rsidRDefault="00FF01A9" w:rsidP="00212A8B">
      <w:pPr>
        <w:pStyle w:val="ListParagraph"/>
        <w:numPr>
          <w:ilvl w:val="1"/>
          <w:numId w:val="4"/>
        </w:numPr>
      </w:pPr>
      <w:r w:rsidRPr="001F4BAA">
        <w:t>who are unlikely to comply with treatment</w:t>
      </w:r>
      <w:r w:rsidR="00C90FE5">
        <w:t>,</w:t>
      </w:r>
    </w:p>
    <w:p w14:paraId="2917B43A" w14:textId="0EBCC85A" w:rsidR="00FF01A9" w:rsidRPr="001F4BAA" w:rsidRDefault="00FF01A9" w:rsidP="00212A8B">
      <w:pPr>
        <w:pStyle w:val="ListParagraph"/>
        <w:numPr>
          <w:ilvl w:val="1"/>
          <w:numId w:val="4"/>
        </w:numPr>
      </w:pPr>
      <w:r w:rsidRPr="001F4BAA">
        <w:t>who live a considerable distance from health centres</w:t>
      </w:r>
      <w:r w:rsidR="00C90FE5">
        <w:t>,</w:t>
      </w:r>
    </w:p>
    <w:p w14:paraId="0D69D9C8" w14:textId="704DEBA5" w:rsidR="00FF01A9" w:rsidRPr="001F4BAA" w:rsidRDefault="00FF01A9" w:rsidP="00212A8B">
      <w:pPr>
        <w:pStyle w:val="ListParagraph"/>
        <w:numPr>
          <w:ilvl w:val="1"/>
          <w:numId w:val="4"/>
        </w:numPr>
      </w:pPr>
      <w:r w:rsidRPr="001F4BAA">
        <w:t>who have no access to immediate transport</w:t>
      </w:r>
      <w:r w:rsidR="00C90FE5">
        <w:t>.</w:t>
      </w:r>
    </w:p>
    <w:p w14:paraId="30D496CA" w14:textId="77777777" w:rsidR="00FF01A9" w:rsidRPr="001F4BAA" w:rsidRDefault="00FF01A9" w:rsidP="00FF01A9">
      <w:pPr>
        <w:pStyle w:val="NoSpacing"/>
      </w:pPr>
    </w:p>
    <w:p w14:paraId="0FDF94F9" w14:textId="28264407" w:rsidR="00FF01A9" w:rsidRPr="00211F80" w:rsidRDefault="00826AF6" w:rsidP="00211F80">
      <w:pPr>
        <w:pStyle w:val="Heading8"/>
      </w:pPr>
      <w:bookmarkStart w:id="83" w:name="_Toc177054036"/>
      <w:r w:rsidRPr="00211F80">
        <w:t xml:space="preserve">Pneumonia in adults with underlying medical conditions or </w:t>
      </w:r>
      <w:r w:rsidR="007277E7">
        <w:t>&gt;</w:t>
      </w:r>
      <w:r w:rsidRPr="00211F80">
        <w:t>65 years</w:t>
      </w:r>
      <w:r w:rsidR="00FF01A9" w:rsidRPr="00211F80">
        <w:t xml:space="preserve"> </w:t>
      </w:r>
      <w:r w:rsidRPr="00211F80">
        <w:t>of age</w:t>
      </w:r>
      <w:bookmarkEnd w:id="83"/>
      <w:r w:rsidR="001132AD">
        <w:fldChar w:fldCharType="begin"/>
      </w:r>
      <w:r w:rsidR="001132AD">
        <w:instrText xml:space="preserve"> XE "</w:instrText>
      </w:r>
      <w:r w:rsidR="001132AD" w:rsidRPr="004A0AEB">
        <w:instrText>Pneumonia in adults with underlying medical conditions or &gt; 65 years of age</w:instrText>
      </w:r>
      <w:r w:rsidR="001132AD">
        <w:instrText xml:space="preserve">" </w:instrText>
      </w:r>
      <w:r w:rsidR="001132AD" w:rsidRPr="001132AD">
        <w:instrText xml:space="preserve">\f “c” </w:instrText>
      </w:r>
      <w:r w:rsidR="001132AD">
        <w:fldChar w:fldCharType="end"/>
      </w:r>
    </w:p>
    <w:p w14:paraId="0F62DBDE" w14:textId="3CAFE62F" w:rsidR="00FF01A9" w:rsidRPr="001F4BAA" w:rsidRDefault="00FF01A9" w:rsidP="002344FD">
      <w:pPr>
        <w:pStyle w:val="ICD10"/>
        <w:shd w:val="clear" w:color="auto" w:fill="F2F2F2" w:themeFill="background1" w:themeFillShade="F2"/>
        <w:tabs>
          <w:tab w:val="left" w:pos="2753"/>
        </w:tabs>
      </w:pPr>
      <w:r w:rsidRPr="001F4BAA">
        <w:t>J18.0-2/J18</w:t>
      </w:r>
      <w:r w:rsidR="008F50BF">
        <w:t>.8</w:t>
      </w:r>
      <w:r w:rsidRPr="001F4BAA">
        <w:t>-9</w:t>
      </w:r>
    </w:p>
    <w:p w14:paraId="437A0171" w14:textId="12021AF1" w:rsidR="00FF01A9" w:rsidRPr="001F4BAA" w:rsidRDefault="00FF01A9" w:rsidP="005A7A1F">
      <w:r w:rsidRPr="001F4BAA">
        <w:t>A chest X-ray should ideally be taken in all patients to confirm the diagnosis. Send one sputum specimen for TB DNA PCR (Xpert</w:t>
      </w:r>
      <w:r w:rsidR="001F7CD1" w:rsidRPr="00821956">
        <w:rPr>
          <w:rFonts w:cs="Arial"/>
          <w:vertAlign w:val="superscript"/>
        </w:rPr>
        <w:t>®</w:t>
      </w:r>
      <w:r w:rsidRPr="001F4BAA">
        <w:t xml:space="preserve"> MTB/RIF) to exclude pulmonary tuberculosis.</w:t>
      </w:r>
    </w:p>
    <w:p w14:paraId="3A963134" w14:textId="77777777" w:rsidR="00FF01A9" w:rsidRPr="001F4BAA" w:rsidRDefault="00FF01A9" w:rsidP="00FF01A9">
      <w:pPr>
        <w:pStyle w:val="NoSpacing"/>
      </w:pPr>
      <w:r w:rsidRPr="001F4BAA">
        <w:t>Common underlying conditions include:</w:t>
      </w:r>
    </w:p>
    <w:tbl>
      <w:tblPr>
        <w:tblW w:w="0" w:type="auto"/>
        <w:tblInd w:w="-113" w:type="dxa"/>
        <w:tblLook w:val="04A0" w:firstRow="1" w:lastRow="0" w:firstColumn="1" w:lastColumn="0" w:noHBand="0" w:noVBand="1"/>
      </w:tblPr>
      <w:tblGrid>
        <w:gridCol w:w="3399"/>
        <w:gridCol w:w="3403"/>
      </w:tblGrid>
      <w:tr w:rsidR="00FF01A9" w:rsidRPr="001F4BAA" w14:paraId="25A567AC" w14:textId="77777777" w:rsidTr="005A7A1F">
        <w:tc>
          <w:tcPr>
            <w:tcW w:w="3453" w:type="dxa"/>
          </w:tcPr>
          <w:p w14:paraId="2EEA79F9" w14:textId="77777777" w:rsidR="00FF01A9" w:rsidRPr="001F4BAA" w:rsidRDefault="00FF01A9" w:rsidP="005A7A1F">
            <w:pPr>
              <w:pStyle w:val="ListParagraph"/>
            </w:pPr>
            <w:r w:rsidRPr="001F4BAA">
              <w:t>Diabetes mellitus.</w:t>
            </w:r>
          </w:p>
        </w:tc>
        <w:tc>
          <w:tcPr>
            <w:tcW w:w="3453" w:type="dxa"/>
          </w:tcPr>
          <w:p w14:paraId="74561660" w14:textId="77777777" w:rsidR="00FF01A9" w:rsidRPr="001F4BAA" w:rsidRDefault="00FF01A9" w:rsidP="005A7A1F">
            <w:pPr>
              <w:pStyle w:val="ListParagraph"/>
            </w:pPr>
            <w:r w:rsidRPr="001F4BAA">
              <w:t>Alcoholism.</w:t>
            </w:r>
          </w:p>
        </w:tc>
      </w:tr>
      <w:tr w:rsidR="00FF01A9" w:rsidRPr="001F4BAA" w14:paraId="4A3DBCB9" w14:textId="77777777" w:rsidTr="005A7A1F">
        <w:tc>
          <w:tcPr>
            <w:tcW w:w="3453" w:type="dxa"/>
          </w:tcPr>
          <w:p w14:paraId="558702A1" w14:textId="77777777" w:rsidR="00FF01A9" w:rsidRPr="001F4BAA" w:rsidRDefault="00FF01A9" w:rsidP="005A7A1F">
            <w:pPr>
              <w:pStyle w:val="ListParagraph"/>
            </w:pPr>
            <w:r w:rsidRPr="001F4BAA">
              <w:t>HIV infection.</w:t>
            </w:r>
          </w:p>
        </w:tc>
        <w:tc>
          <w:tcPr>
            <w:tcW w:w="3453" w:type="dxa"/>
          </w:tcPr>
          <w:p w14:paraId="377CCFD4" w14:textId="77777777" w:rsidR="00FF01A9" w:rsidRPr="001F4BAA" w:rsidRDefault="00FF01A9" w:rsidP="005A7A1F">
            <w:pPr>
              <w:pStyle w:val="ListParagraph"/>
            </w:pPr>
            <w:r w:rsidRPr="001F4BAA">
              <w:t xml:space="preserve">Chronic liver disease. </w:t>
            </w:r>
          </w:p>
        </w:tc>
      </w:tr>
      <w:tr w:rsidR="00FF01A9" w:rsidRPr="001F4BAA" w14:paraId="2EC613B3" w14:textId="77777777" w:rsidTr="005A7A1F">
        <w:tc>
          <w:tcPr>
            <w:tcW w:w="3453" w:type="dxa"/>
          </w:tcPr>
          <w:p w14:paraId="3D7DF4B3" w14:textId="77777777" w:rsidR="00FF01A9" w:rsidRPr="001F4BAA" w:rsidRDefault="00FF01A9" w:rsidP="005A7A1F">
            <w:pPr>
              <w:pStyle w:val="ListParagraph"/>
            </w:pPr>
            <w:r w:rsidRPr="001F4BAA">
              <w:t>Cardiac failure.</w:t>
            </w:r>
          </w:p>
        </w:tc>
        <w:tc>
          <w:tcPr>
            <w:tcW w:w="3453" w:type="dxa"/>
          </w:tcPr>
          <w:p w14:paraId="24215BA8" w14:textId="77777777" w:rsidR="00FF01A9" w:rsidRPr="001F4BAA" w:rsidRDefault="00FF01A9" w:rsidP="005A7A1F">
            <w:pPr>
              <w:pStyle w:val="ListParagraph"/>
            </w:pPr>
            <w:r w:rsidRPr="001F4BAA">
              <w:t>Chronic kidney disease.</w:t>
            </w:r>
          </w:p>
        </w:tc>
      </w:tr>
      <w:tr w:rsidR="00FF01A9" w:rsidRPr="001F4BAA" w14:paraId="1C49CB14" w14:textId="77777777" w:rsidTr="005A7A1F">
        <w:tc>
          <w:tcPr>
            <w:tcW w:w="3453" w:type="dxa"/>
          </w:tcPr>
          <w:p w14:paraId="7FEE816E" w14:textId="77777777" w:rsidR="00FF01A9" w:rsidRPr="001F4BAA" w:rsidRDefault="00FF01A9" w:rsidP="005A7A1F">
            <w:pPr>
              <w:pStyle w:val="ListParagraph"/>
            </w:pPr>
            <w:r w:rsidRPr="001F4BAA">
              <w:t>COPD.</w:t>
            </w:r>
          </w:p>
        </w:tc>
        <w:tc>
          <w:tcPr>
            <w:tcW w:w="3453" w:type="dxa"/>
          </w:tcPr>
          <w:p w14:paraId="7BE85D22" w14:textId="77777777" w:rsidR="00FF01A9" w:rsidRPr="001F4BAA" w:rsidRDefault="00FF01A9" w:rsidP="005A7A1F">
            <w:pPr>
              <w:pStyle w:val="NoSpacing"/>
            </w:pPr>
          </w:p>
        </w:tc>
      </w:tr>
    </w:tbl>
    <w:p w14:paraId="56007D21" w14:textId="77777777" w:rsidR="00FF01A9" w:rsidRPr="001F4BAA" w:rsidRDefault="00FF01A9" w:rsidP="00FF01A9">
      <w:pPr>
        <w:pStyle w:val="NoSpacing"/>
      </w:pPr>
      <w:r w:rsidRPr="001F4BAA">
        <w:t>Most of these patients will require referral to a doctor.</w:t>
      </w:r>
    </w:p>
    <w:p w14:paraId="3CB8006F" w14:textId="77777777" w:rsidR="00FF01A9" w:rsidRPr="001F4BAA" w:rsidRDefault="00FF01A9" w:rsidP="00211F80">
      <w:pPr>
        <w:pStyle w:val="Heading5"/>
      </w:pPr>
      <w:r w:rsidRPr="001F4BAA">
        <w:lastRenderedPageBreak/>
        <w:t>MEDICINE TREATMENT</w:t>
      </w:r>
    </w:p>
    <w:p w14:paraId="79F58334" w14:textId="77777777" w:rsidR="00FF01A9" w:rsidRPr="001F4BAA" w:rsidRDefault="00FF01A9" w:rsidP="00134535">
      <w:pPr>
        <w:pStyle w:val="Heading6"/>
      </w:pPr>
      <w:r w:rsidRPr="001F4BAA">
        <w:t>Mild pneumonia:</w:t>
      </w:r>
    </w:p>
    <w:p w14:paraId="5AB75CC6" w14:textId="03D934B6" w:rsidR="00FF01A9" w:rsidRPr="001F4BAA" w:rsidRDefault="00FF01A9" w:rsidP="008542CC">
      <w:pPr>
        <w:pStyle w:val="BulletMedicine"/>
        <w:numPr>
          <w:ilvl w:val="0"/>
          <w:numId w:val="32"/>
        </w:numPr>
      </w:pPr>
      <w:r w:rsidRPr="001F4BAA">
        <w:t>Amoxicillin/clavulanic acid</w:t>
      </w:r>
      <w:r w:rsidR="00812598">
        <w:fldChar w:fldCharType="begin"/>
      </w:r>
      <w:r w:rsidR="00812598">
        <w:instrText xml:space="preserve"> XE “Amoxicillin/clavulanic acid” \f “m” </w:instrText>
      </w:r>
      <w:r w:rsidR="00812598">
        <w:fldChar w:fldCharType="end"/>
      </w:r>
      <w:r w:rsidRPr="001F4BAA">
        <w:t xml:space="preserve"> 875/125 mg, oral, 12 hourly for 5 days.</w:t>
      </w:r>
      <w:r w:rsidR="00B75193" w:rsidRPr="00B75193">
        <w:rPr>
          <w:b/>
          <w:noProof/>
        </w:rPr>
        <w:t xml:space="preserve"> </w:t>
      </w:r>
      <w:r w:rsidR="00B75193" w:rsidRPr="00804EB1">
        <w:rPr>
          <w:b/>
          <w:noProof/>
          <w:lang w:eastAsia="en-ZA"/>
        </w:rPr>
        <w:drawing>
          <wp:inline distT="0" distB="0" distL="0" distR="0" wp14:anchorId="073E62D7" wp14:editId="45CDEEB0">
            <wp:extent cx="145966" cy="143197"/>
            <wp:effectExtent l="0" t="0" r="6985" b="0"/>
            <wp:docPr id="10891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81" cy="145665"/>
                    </a:xfrm>
                    <a:prstGeom prst="rect">
                      <a:avLst/>
                    </a:prstGeom>
                    <a:noFill/>
                    <a:ln>
                      <a:noFill/>
                    </a:ln>
                  </pic:spPr>
                </pic:pic>
              </a:graphicData>
            </a:graphic>
          </wp:inline>
        </w:drawing>
      </w:r>
    </w:p>
    <w:p w14:paraId="42AA27CA" w14:textId="77777777" w:rsidR="005A7A1F" w:rsidRDefault="00FF01A9" w:rsidP="005A7A1F">
      <w:pPr>
        <w:pStyle w:val="Heading6"/>
      </w:pPr>
      <w:r w:rsidRPr="001F4BAA">
        <w:t xml:space="preserve">Severe Penicillin allergy: </w:t>
      </w:r>
    </w:p>
    <w:tbl>
      <w:tblPr>
        <w:tblpPr w:leftFromText="180" w:rightFromText="180" w:vertAnchor="text" w:horzAnchor="margin" w:tblpXSpec="right" w:tblpY="11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E01A78" w:rsidRPr="001F4BAA" w14:paraId="2055414A" w14:textId="77777777" w:rsidTr="00E01A78">
        <w:tc>
          <w:tcPr>
            <w:tcW w:w="907" w:type="dxa"/>
          </w:tcPr>
          <w:p w14:paraId="0B0029EE" w14:textId="77777777" w:rsidR="00E01A78" w:rsidRPr="002344FD" w:rsidRDefault="00E01A78" w:rsidP="00E01A78">
            <w:pPr>
              <w:pStyle w:val="LoEText"/>
              <w:framePr w:hSpace="0" w:wrap="auto" w:vAnchor="margin" w:hAnchor="text" w:xAlign="left" w:yAlign="inline"/>
              <w:suppressOverlap w:val="0"/>
              <w:rPr>
                <w:sz w:val="14"/>
                <w:szCs w:val="14"/>
              </w:rPr>
            </w:pPr>
            <w:r w:rsidRPr="002344FD">
              <w:rPr>
                <w:sz w:val="14"/>
                <w:szCs w:val="14"/>
              </w:rPr>
              <w:t>LoE:IIIb</w:t>
            </w:r>
            <w:r w:rsidRPr="002344FD">
              <w:rPr>
                <w:rStyle w:val="EndnoteReference8"/>
                <w:sz w:val="14"/>
                <w:szCs w:val="14"/>
              </w:rPr>
              <w:endnoteReference w:id="22"/>
            </w:r>
          </w:p>
        </w:tc>
      </w:tr>
    </w:tbl>
    <w:p w14:paraId="059CEB7C" w14:textId="05C5F13A" w:rsidR="00FF01A9" w:rsidRPr="001F4BAA" w:rsidRDefault="00FF01A9" w:rsidP="005A7A1F">
      <w:pPr>
        <w:pStyle w:val="ICD10"/>
      </w:pPr>
      <w:r w:rsidRPr="001F4BAA">
        <w:t>Z88.0</w:t>
      </w:r>
    </w:p>
    <w:p w14:paraId="7002A7AB" w14:textId="2B1A1C9B" w:rsidR="00FF01A9" w:rsidRPr="001F4BAA" w:rsidRDefault="00FF01A9" w:rsidP="008542CC">
      <w:pPr>
        <w:pStyle w:val="BulletMedicine"/>
        <w:numPr>
          <w:ilvl w:val="0"/>
          <w:numId w:val="33"/>
        </w:numPr>
      </w:pPr>
      <w:r w:rsidRPr="001F4BAA">
        <w:t>Moxifloxacin, oral</w:t>
      </w:r>
      <w:r w:rsidR="00812598">
        <w:fldChar w:fldCharType="begin"/>
      </w:r>
      <w:r w:rsidR="00812598">
        <w:instrText xml:space="preserve"> XE “Moxifloxacin, oral” \f “m” </w:instrText>
      </w:r>
      <w:r w:rsidR="00812598">
        <w:fldChar w:fldCharType="end"/>
      </w:r>
      <w:r w:rsidRPr="001F4BAA">
        <w:t>, 400 mg daily for 5 days.</w:t>
      </w:r>
      <w:r w:rsidR="00B75193" w:rsidRPr="00B75193">
        <w:t xml:space="preserve"> </w:t>
      </w:r>
      <w:r w:rsidR="00B75193">
        <w:rPr>
          <w:noProof/>
          <w:lang w:eastAsia="en-ZA"/>
        </w:rPr>
        <w:drawing>
          <wp:inline distT="0" distB="0" distL="0" distR="0" wp14:anchorId="1ED68D80" wp14:editId="69819410">
            <wp:extent cx="142875" cy="152400"/>
            <wp:effectExtent l="0" t="0" r="9525" b="0"/>
            <wp:docPr id="9832330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
    <w:p w14:paraId="76B7F9F2" w14:textId="5F0C8F71" w:rsidR="00FF01A9" w:rsidRPr="001F4BAA" w:rsidRDefault="00FF01A9" w:rsidP="00FF01A9">
      <w:pPr>
        <w:pStyle w:val="NoSpacing"/>
      </w:pPr>
      <w:r w:rsidRPr="001F4BAA">
        <w:t xml:space="preserve">A follow-up chest X-ray should ideally be taken to ensure resolution of the pneumonia in patients </w:t>
      </w:r>
      <w:r w:rsidR="007277E7">
        <w:t>&gt;</w:t>
      </w:r>
      <w:r w:rsidRPr="001F4BAA">
        <w:t>50 years of age.</w:t>
      </w:r>
    </w:p>
    <w:p w14:paraId="0AFCA497" w14:textId="233BE58D" w:rsidR="00134535" w:rsidRDefault="00134535">
      <w:pPr>
        <w:spacing w:before="0" w:after="0"/>
        <w:jc w:val="left"/>
        <w:rPr>
          <w:lang w:val="en-ZA"/>
        </w:rPr>
      </w:pPr>
    </w:p>
    <w:p w14:paraId="1942E915" w14:textId="4B802833" w:rsidR="00FF01A9" w:rsidRPr="007C2B34" w:rsidRDefault="00211F80" w:rsidP="007C2B34">
      <w:pPr>
        <w:pStyle w:val="Heading8"/>
      </w:pPr>
      <w:bookmarkStart w:id="84" w:name="_Toc177054037"/>
      <w:r w:rsidRPr="007C2B34">
        <w:t>Severe pneumonia</w:t>
      </w:r>
      <w:bookmarkEnd w:id="84"/>
      <w:r w:rsidR="001132AD">
        <w:fldChar w:fldCharType="begin"/>
      </w:r>
      <w:r w:rsidR="001132AD">
        <w:instrText xml:space="preserve"> XE "</w:instrText>
      </w:r>
      <w:r w:rsidR="001132AD" w:rsidRPr="004A0AEB">
        <w:instrText>Severe pneumonia</w:instrText>
      </w:r>
      <w:r w:rsidR="001132AD">
        <w:instrText xml:space="preserve">" </w:instrText>
      </w:r>
      <w:r w:rsidR="001132AD" w:rsidRPr="001132AD">
        <w:instrText xml:space="preserve">\f “c” </w:instrText>
      </w:r>
      <w:r w:rsidR="001132AD">
        <w:fldChar w:fldCharType="end"/>
      </w:r>
    </w:p>
    <w:p w14:paraId="36F49542" w14:textId="77777777" w:rsidR="00FF01A9" w:rsidRPr="001F4BAA" w:rsidRDefault="00FF01A9" w:rsidP="002344FD">
      <w:pPr>
        <w:pStyle w:val="ICD10"/>
        <w:shd w:val="clear" w:color="auto" w:fill="F2F2F2" w:themeFill="background1" w:themeFillShade="F2"/>
        <w:tabs>
          <w:tab w:val="left" w:pos="2753"/>
        </w:tabs>
      </w:pPr>
      <w:r w:rsidRPr="001F4BAA">
        <w:t>J18.0-2/J18.8-9</w:t>
      </w:r>
    </w:p>
    <w:p w14:paraId="35084F4A" w14:textId="77777777" w:rsidR="00FF01A9" w:rsidRPr="001F4BAA" w:rsidRDefault="00FF01A9" w:rsidP="007C2B34">
      <w:pPr>
        <w:pStyle w:val="Heading5"/>
      </w:pPr>
      <w:r w:rsidRPr="001F4BAA">
        <w:t>DESCRIPTION</w:t>
      </w:r>
    </w:p>
    <w:p w14:paraId="1AD698C9" w14:textId="43ABEF23" w:rsidR="00FF01A9" w:rsidRPr="001F4BAA" w:rsidRDefault="00FF01A9" w:rsidP="00FF01A9">
      <w:pPr>
        <w:pStyle w:val="NoSpacing"/>
      </w:pPr>
      <w:r w:rsidRPr="001F4BAA">
        <w:t>Severe pneumonia is defined as ≥</w:t>
      </w:r>
      <w:r w:rsidR="007611C9">
        <w:t xml:space="preserve"> </w:t>
      </w:r>
      <w:r w:rsidRPr="001F4BAA">
        <w:t>2 of the following:</w:t>
      </w:r>
    </w:p>
    <w:tbl>
      <w:tblPr>
        <w:tblW w:w="0" w:type="auto"/>
        <w:tblInd w:w="-113" w:type="dxa"/>
        <w:tblLook w:val="04A0" w:firstRow="1" w:lastRow="0" w:firstColumn="1" w:lastColumn="0" w:noHBand="0" w:noVBand="1"/>
      </w:tblPr>
      <w:tblGrid>
        <w:gridCol w:w="4106"/>
        <w:gridCol w:w="2574"/>
      </w:tblGrid>
      <w:tr w:rsidR="00FF01A9" w:rsidRPr="001F4BAA" w14:paraId="483C389C" w14:textId="77777777" w:rsidTr="001679F7">
        <w:tc>
          <w:tcPr>
            <w:tcW w:w="4106" w:type="dxa"/>
          </w:tcPr>
          <w:p w14:paraId="35B014C3" w14:textId="77777777" w:rsidR="00FF01A9" w:rsidRPr="001F4BAA" w:rsidRDefault="00FF01A9" w:rsidP="001679F7">
            <w:pPr>
              <w:pStyle w:val="ListParagraph"/>
            </w:pPr>
            <w:r w:rsidRPr="001F4BAA">
              <w:t>confusion/ decreased level of consciousness</w:t>
            </w:r>
          </w:p>
        </w:tc>
        <w:tc>
          <w:tcPr>
            <w:tcW w:w="2574" w:type="dxa"/>
          </w:tcPr>
          <w:p w14:paraId="3F194A17" w14:textId="7FE7C627" w:rsidR="00FF01A9" w:rsidRPr="001F4BAA" w:rsidRDefault="00FF01A9" w:rsidP="001679F7">
            <w:pPr>
              <w:pStyle w:val="ListParagraph"/>
            </w:pPr>
            <w:r w:rsidRPr="001F4BAA">
              <w:t xml:space="preserve">systolic BP </w:t>
            </w:r>
            <w:r w:rsidR="007277E7">
              <w:t>&lt;</w:t>
            </w:r>
            <w:r w:rsidRPr="001F4BAA">
              <w:t>90 mmHg</w:t>
            </w:r>
          </w:p>
        </w:tc>
      </w:tr>
      <w:tr w:rsidR="00FF01A9" w:rsidRPr="001F4BAA" w14:paraId="7916BEC2" w14:textId="77777777" w:rsidTr="001679F7">
        <w:tc>
          <w:tcPr>
            <w:tcW w:w="4106" w:type="dxa"/>
          </w:tcPr>
          <w:p w14:paraId="495493DC" w14:textId="7F0A1D0D" w:rsidR="00FF01A9" w:rsidRPr="001F4BAA" w:rsidRDefault="00FF01A9" w:rsidP="001679F7">
            <w:pPr>
              <w:pStyle w:val="ListParagraph"/>
            </w:pPr>
            <w:r w:rsidRPr="001F4BAA">
              <w:t>respiratory rate of ≥</w:t>
            </w:r>
            <w:r w:rsidR="007611C9">
              <w:t xml:space="preserve"> </w:t>
            </w:r>
            <w:r w:rsidRPr="001F4BAA">
              <w:t xml:space="preserve">30 breaths/minute </w:t>
            </w:r>
          </w:p>
        </w:tc>
        <w:tc>
          <w:tcPr>
            <w:tcW w:w="2574" w:type="dxa"/>
          </w:tcPr>
          <w:p w14:paraId="4CB93AEF" w14:textId="79A9B9C7" w:rsidR="00FF01A9" w:rsidRPr="001F4BAA" w:rsidRDefault="00FF01A9" w:rsidP="001679F7">
            <w:pPr>
              <w:pStyle w:val="ListParagraph"/>
            </w:pPr>
            <w:r w:rsidRPr="001F4BAA">
              <w:t xml:space="preserve">diastolic BP </w:t>
            </w:r>
            <w:r w:rsidR="007277E7">
              <w:t>&lt;</w:t>
            </w:r>
            <w:r w:rsidRPr="001F4BAA">
              <w:t>60 mmHg</w:t>
            </w:r>
          </w:p>
        </w:tc>
      </w:tr>
      <w:tr w:rsidR="00FF01A9" w:rsidRPr="001F4BAA" w14:paraId="4B80406A" w14:textId="77777777" w:rsidTr="001679F7">
        <w:tc>
          <w:tcPr>
            <w:tcW w:w="4106" w:type="dxa"/>
          </w:tcPr>
          <w:p w14:paraId="78A113CE" w14:textId="7F4911FB" w:rsidR="00FF01A9" w:rsidRPr="001F4BAA" w:rsidRDefault="007277E7" w:rsidP="001679F7">
            <w:pPr>
              <w:pStyle w:val="ListParagraph"/>
            </w:pPr>
            <w:r>
              <w:t>&gt;</w:t>
            </w:r>
            <w:r w:rsidR="00FF01A9" w:rsidRPr="001F4BAA">
              <w:t>65 years of age</w:t>
            </w:r>
          </w:p>
        </w:tc>
        <w:tc>
          <w:tcPr>
            <w:tcW w:w="2574" w:type="dxa"/>
          </w:tcPr>
          <w:p w14:paraId="5681C570" w14:textId="77777777" w:rsidR="00FF01A9" w:rsidRPr="001F4BAA" w:rsidRDefault="00FF01A9" w:rsidP="004A7096">
            <w:pPr>
              <w:pStyle w:val="NoSpacing"/>
            </w:pPr>
          </w:p>
        </w:tc>
      </w:tr>
    </w:tbl>
    <w:p w14:paraId="6F8FD210" w14:textId="77777777" w:rsidR="00FF01A9" w:rsidRPr="001F4BAA" w:rsidRDefault="00FF01A9" w:rsidP="007C2B34">
      <w:pPr>
        <w:pStyle w:val="Heading5"/>
      </w:pPr>
      <w:r w:rsidRPr="00801F2D">
        <w:t>MEDICINE TREATMENT</w:t>
      </w:r>
    </w:p>
    <w:p w14:paraId="7B7A981C" w14:textId="77777777" w:rsidR="00FF01A9" w:rsidRPr="001F4BAA" w:rsidRDefault="00FF01A9" w:rsidP="00E01A78">
      <w:pPr>
        <w:pStyle w:val="Heading6"/>
        <w:spacing w:before="0"/>
      </w:pPr>
      <w:r w:rsidRPr="001F4BAA">
        <w:t>While awaiting transfer:</w:t>
      </w:r>
    </w:p>
    <w:p w14:paraId="292A6462" w14:textId="78CB8DA4" w:rsidR="00FF01A9" w:rsidRPr="001F4BAA" w:rsidRDefault="00FF01A9" w:rsidP="008542CC">
      <w:pPr>
        <w:pStyle w:val="BulletMedicine"/>
        <w:numPr>
          <w:ilvl w:val="0"/>
          <w:numId w:val="34"/>
        </w:numPr>
      </w:pPr>
      <w:r w:rsidRPr="001F4BAA">
        <w:t>Oxygen</w:t>
      </w:r>
      <w:r w:rsidR="00812598">
        <w:fldChar w:fldCharType="begin"/>
      </w:r>
      <w:r w:rsidR="00812598">
        <w:instrText xml:space="preserve"> XE "Oxygen" \f "m" </w:instrText>
      </w:r>
      <w:r w:rsidR="00812598">
        <w:fldChar w:fldCharType="end"/>
      </w:r>
      <w:r w:rsidRPr="001F4BAA">
        <w:t>, to achieve a saturation of 92%.</w:t>
      </w:r>
    </w:p>
    <w:p w14:paraId="5A59C0F7" w14:textId="22626618" w:rsidR="00FF01A9" w:rsidRPr="001F4BAA" w:rsidRDefault="00FF01A9" w:rsidP="008542CC">
      <w:pPr>
        <w:pStyle w:val="BulletMedicine"/>
        <w:numPr>
          <w:ilvl w:val="0"/>
          <w:numId w:val="34"/>
        </w:numPr>
      </w:pPr>
      <w:r w:rsidRPr="001F4BAA">
        <w:t>Ceftriaxone</w:t>
      </w:r>
      <w:r w:rsidR="00812598">
        <w:fldChar w:fldCharType="begin"/>
      </w:r>
      <w:r w:rsidR="00812598">
        <w:instrText xml:space="preserve"> XE “Ceftriaxone” \f “m” </w:instrText>
      </w:r>
      <w:r w:rsidR="00812598">
        <w:fldChar w:fldCharType="end"/>
      </w:r>
      <w:r w:rsidRPr="001F4BAA">
        <w:t>, IV/IM, 1 g, as a single dose before referral.</w:t>
      </w:r>
    </w:p>
    <w:p w14:paraId="07459D31" w14:textId="42098B23" w:rsidR="00D20741" w:rsidRDefault="001679F7" w:rsidP="001679F7">
      <w:pPr>
        <w:pStyle w:val="Centeredbox"/>
      </w:pPr>
      <w:r w:rsidRPr="001679F7">
        <w:rPr>
          <w:rStyle w:val="Strong"/>
        </w:rPr>
        <w:t>CAUTION</w:t>
      </w:r>
      <w:r>
        <w:br/>
        <w:t xml:space="preserve">Do not administer calcium containing </w:t>
      </w:r>
      <w:r w:rsidR="00D20741">
        <w:t xml:space="preserve">intravenous </w:t>
      </w:r>
      <w:r>
        <w:t xml:space="preserve">fluids, e.g. </w:t>
      </w:r>
      <w:r>
        <w:br/>
        <w:t>Ringer</w:t>
      </w:r>
      <w:r w:rsidR="00AC0FAD">
        <w:t xml:space="preserve"> </w:t>
      </w:r>
      <w:r>
        <w:t xml:space="preserve">Lactate, concurrently with </w:t>
      </w:r>
      <w:r w:rsidR="00D20741">
        <w:t xml:space="preserve">IV </w:t>
      </w:r>
      <w:r>
        <w:t xml:space="preserve">ceftriaxone. </w:t>
      </w:r>
    </w:p>
    <w:p w14:paraId="5209F577" w14:textId="77777777" w:rsidR="003007FE" w:rsidRDefault="003007FE" w:rsidP="007C2B34">
      <w:pPr>
        <w:pStyle w:val="Heading5"/>
      </w:pPr>
    </w:p>
    <w:p w14:paraId="14CA4552" w14:textId="3FD7BA11" w:rsidR="00FF01A9" w:rsidRPr="001F4BAA" w:rsidRDefault="00FF01A9" w:rsidP="007C2B34">
      <w:pPr>
        <w:pStyle w:val="Heading5"/>
      </w:pPr>
      <w:r w:rsidRPr="001F4BAA">
        <w:t>REFERRAL</w:t>
      </w:r>
    </w:p>
    <w:p w14:paraId="2ED20832" w14:textId="77777777" w:rsidR="00FF01A9" w:rsidRPr="001679F7" w:rsidRDefault="00FF01A9" w:rsidP="00FF01A9">
      <w:pPr>
        <w:pStyle w:val="NoSpacing"/>
        <w:rPr>
          <w:rStyle w:val="Strong"/>
        </w:rPr>
      </w:pPr>
      <w:r w:rsidRPr="001679F7">
        <w:rPr>
          <w:rStyle w:val="Strong"/>
        </w:rPr>
        <w:t>Urgent</w:t>
      </w:r>
    </w:p>
    <w:p w14:paraId="4A9142DA" w14:textId="77777777" w:rsidR="00FF01A9" w:rsidRPr="001F4BAA" w:rsidRDefault="00FF01A9" w:rsidP="00FF01A9">
      <w:pPr>
        <w:pStyle w:val="NoSpacing"/>
      </w:pPr>
      <w:r w:rsidRPr="001F4BAA">
        <w:t>All patients.</w:t>
      </w:r>
    </w:p>
    <w:p w14:paraId="42534281" w14:textId="3714AD4B" w:rsidR="00FF01A9" w:rsidRPr="007C2B34" w:rsidRDefault="007C2B34" w:rsidP="007C2B34">
      <w:pPr>
        <w:pStyle w:val="Heading8"/>
      </w:pPr>
      <w:bookmarkStart w:id="85" w:name="_Toc177054038"/>
      <w:r w:rsidRPr="007C2B34">
        <w:t>Pneumocystis pneumonia</w:t>
      </w:r>
      <w:bookmarkEnd w:id="85"/>
      <w:r w:rsidR="001132AD">
        <w:fldChar w:fldCharType="begin"/>
      </w:r>
      <w:r w:rsidR="001132AD">
        <w:instrText xml:space="preserve"> XE "</w:instrText>
      </w:r>
      <w:r w:rsidR="001132AD" w:rsidRPr="004A0AEB">
        <w:instrText>Pneumocystis pneumonia</w:instrText>
      </w:r>
      <w:r w:rsidR="001132AD">
        <w:instrText xml:space="preserve">" </w:instrText>
      </w:r>
      <w:r w:rsidR="001132AD" w:rsidRPr="001132AD">
        <w:instrText xml:space="preserve">\f “c” </w:instrText>
      </w:r>
      <w:r w:rsidR="001132AD">
        <w:fldChar w:fldCharType="end"/>
      </w:r>
    </w:p>
    <w:p w14:paraId="0F2B2B54" w14:textId="77777777" w:rsidR="00FF01A9" w:rsidRPr="001F4BAA" w:rsidRDefault="00FF01A9" w:rsidP="002344FD">
      <w:pPr>
        <w:pStyle w:val="ICD10"/>
        <w:shd w:val="clear" w:color="auto" w:fill="F2F2F2" w:themeFill="background1" w:themeFillShade="F2"/>
        <w:tabs>
          <w:tab w:val="left" w:pos="2753"/>
        </w:tabs>
      </w:pPr>
      <w:r w:rsidRPr="001F4BAA">
        <w:t>B20.6</w:t>
      </w:r>
    </w:p>
    <w:p w14:paraId="11B0E061" w14:textId="77777777" w:rsidR="00FF01A9" w:rsidRPr="001F4BAA" w:rsidRDefault="00FF01A9" w:rsidP="007C2B34">
      <w:pPr>
        <w:pStyle w:val="Heading5"/>
      </w:pPr>
      <w:r w:rsidRPr="001F4BAA">
        <w:t>DESCRIPTION</w:t>
      </w:r>
    </w:p>
    <w:p w14:paraId="499C9E36" w14:textId="032B8AAC" w:rsidR="00FF01A9" w:rsidRPr="001F4BAA" w:rsidRDefault="00FF01A9" w:rsidP="00FF01A9">
      <w:pPr>
        <w:pStyle w:val="NoSpacing"/>
      </w:pPr>
      <w:r w:rsidRPr="001F4BAA">
        <w:t xml:space="preserve">Interstitial pneumonia occurring with advanced HIV infection due to </w:t>
      </w:r>
      <w:r w:rsidRPr="002827F6">
        <w:rPr>
          <w:rStyle w:val="Emphasis"/>
        </w:rPr>
        <w:t>Pneumocystis jiroveci</w:t>
      </w:r>
      <w:r w:rsidRPr="001F4BAA">
        <w:t xml:space="preserve"> (formerly </w:t>
      </w:r>
      <w:r w:rsidRPr="002827F6">
        <w:rPr>
          <w:rStyle w:val="Emphasis"/>
        </w:rPr>
        <w:t>carinii</w:t>
      </w:r>
      <w:r w:rsidRPr="001F4BAA">
        <w:t>). Patients usually present with shortness of breath or dry cough. Chest X</w:t>
      </w:r>
      <w:r w:rsidR="00B05817">
        <w:noBreakHyphen/>
      </w:r>
      <w:r w:rsidRPr="001F4BAA">
        <w:t>ray may be normal in the early stages, but typically shows bilateral interstitial or ground glass pattern.</w:t>
      </w:r>
    </w:p>
    <w:p w14:paraId="5E87F95F" w14:textId="77777777" w:rsidR="00FF01A9" w:rsidRPr="001F4BAA" w:rsidRDefault="00FF01A9" w:rsidP="007C2B34">
      <w:pPr>
        <w:pStyle w:val="Heading5"/>
      </w:pPr>
      <w:r w:rsidRPr="001F4BAA">
        <w:t>GENERAL MEASURES</w:t>
      </w:r>
    </w:p>
    <w:p w14:paraId="2176873B" w14:textId="77777777" w:rsidR="00FF01A9" w:rsidRPr="001F4BAA" w:rsidRDefault="00FF01A9" w:rsidP="00FF01A9">
      <w:pPr>
        <w:pStyle w:val="NoSpacing"/>
      </w:pPr>
      <w:r w:rsidRPr="001F4BAA">
        <w:t>Ensure adequate hydration.</w:t>
      </w:r>
    </w:p>
    <w:p w14:paraId="29CEA88E" w14:textId="77777777" w:rsidR="00FF01A9" w:rsidRPr="001F4BAA" w:rsidRDefault="00FF01A9" w:rsidP="007C2B34">
      <w:pPr>
        <w:pStyle w:val="Heading5"/>
      </w:pPr>
      <w:r w:rsidRPr="001F4BAA">
        <w:lastRenderedPageBreak/>
        <w:t>MEDICINE TREATMENT</w:t>
      </w:r>
    </w:p>
    <w:p w14:paraId="78250934" w14:textId="77777777" w:rsidR="00FF01A9" w:rsidRPr="001F4BAA" w:rsidRDefault="00FF01A9" w:rsidP="002827F6">
      <w:pPr>
        <w:pStyle w:val="Heading6"/>
      </w:pPr>
      <w:r w:rsidRPr="001F4BAA">
        <w:t>Adults</w:t>
      </w:r>
    </w:p>
    <w:p w14:paraId="3FDF03E1" w14:textId="46DA6559" w:rsidR="00FF01A9" w:rsidRPr="001F4BAA" w:rsidRDefault="003258FB" w:rsidP="008542CC">
      <w:pPr>
        <w:pStyle w:val="BulletMedicine"/>
        <w:numPr>
          <w:ilvl w:val="0"/>
          <w:numId w:val="35"/>
        </w:numPr>
      </w:pPr>
      <w:r w:rsidRPr="001F4BAA">
        <w:t>Cotrimoxazole, oral</w:t>
      </w:r>
      <w:r>
        <w:fldChar w:fldCharType="begin"/>
      </w:r>
      <w:r>
        <w:instrText xml:space="preserve"> XE “Cotrimoxazole, oral” \f “m” </w:instrText>
      </w:r>
      <w:r>
        <w:fldChar w:fldCharType="end"/>
      </w:r>
      <w:r w:rsidR="00812598">
        <w:fldChar w:fldCharType="begin"/>
      </w:r>
      <w:r w:rsidR="00812598">
        <w:instrText xml:space="preserve"> XE “Cotrimoxazole, oral” \f “m” </w:instrText>
      </w:r>
      <w:r w:rsidR="00812598">
        <w:fldChar w:fldCharType="end"/>
      </w:r>
      <w:r w:rsidR="00FF01A9" w:rsidRPr="001F4BAA">
        <w:t>, 6 hourly for 3 weeks.</w:t>
      </w:r>
      <w:r w:rsidR="00801F2D" w:rsidRPr="00801F2D">
        <w:rPr>
          <w:b/>
          <w:noProof/>
        </w:rPr>
        <w:t xml:space="preserve"> </w:t>
      </w:r>
      <w:r w:rsidR="00801F2D" w:rsidRPr="00804EB1">
        <w:rPr>
          <w:b/>
          <w:noProof/>
          <w:lang w:eastAsia="en-ZA"/>
        </w:rPr>
        <w:drawing>
          <wp:inline distT="0" distB="0" distL="0" distR="0" wp14:anchorId="4E2B2E69" wp14:editId="67807323">
            <wp:extent cx="145966" cy="143197"/>
            <wp:effectExtent l="0" t="0" r="6985" b="0"/>
            <wp:docPr id="920568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81" cy="145665"/>
                    </a:xfrm>
                    <a:prstGeom prst="rect">
                      <a:avLst/>
                    </a:prstGeom>
                    <a:noFill/>
                    <a:ln>
                      <a:noFill/>
                    </a:ln>
                  </pic:spPr>
                </pic:pic>
              </a:graphicData>
            </a:graphic>
          </wp:inline>
        </w:drawing>
      </w:r>
    </w:p>
    <w:tbl>
      <w:tblPr>
        <w:tblStyle w:val="SamplePHCTable"/>
        <w:tblW w:w="0" w:type="auto"/>
        <w:tblLook w:val="0020" w:firstRow="1" w:lastRow="0" w:firstColumn="0" w:lastColumn="0" w:noHBand="0" w:noVBand="0"/>
      </w:tblPr>
      <w:tblGrid>
        <w:gridCol w:w="2299"/>
        <w:gridCol w:w="2182"/>
        <w:gridCol w:w="2198"/>
      </w:tblGrid>
      <w:tr w:rsidR="00FF01A9" w:rsidRPr="001F4BAA" w14:paraId="1B80F939" w14:textId="77777777" w:rsidTr="002827F6">
        <w:trPr>
          <w:cnfStyle w:val="100000000000" w:firstRow="1" w:lastRow="0" w:firstColumn="0" w:lastColumn="0" w:oddVBand="0" w:evenVBand="0" w:oddHBand="0" w:evenHBand="0" w:firstRowFirstColumn="0" w:firstRowLastColumn="0" w:lastRowFirstColumn="0" w:lastRowLastColumn="0"/>
        </w:trPr>
        <w:tc>
          <w:tcPr>
            <w:tcW w:w="2376" w:type="dxa"/>
            <w:vMerge w:val="restart"/>
          </w:tcPr>
          <w:p w14:paraId="69A4AF78" w14:textId="77777777" w:rsidR="00FF01A9" w:rsidRPr="001F4BAA" w:rsidRDefault="00FF01A9" w:rsidP="004A7096">
            <w:pPr>
              <w:pStyle w:val="NoSpacing"/>
            </w:pPr>
            <w:r w:rsidRPr="001F4BAA">
              <w:t>Approx. weight</w:t>
            </w:r>
          </w:p>
          <w:p w14:paraId="6DEC7B89" w14:textId="77777777" w:rsidR="00FF01A9" w:rsidRPr="00124435" w:rsidRDefault="00FF01A9" w:rsidP="004A7096">
            <w:pPr>
              <w:pStyle w:val="NoSpacing"/>
              <w:rPr>
                <w:b w:val="0"/>
                <w:bCs/>
              </w:rPr>
            </w:pPr>
            <w:r w:rsidRPr="00124435">
              <w:rPr>
                <w:b w:val="0"/>
                <w:bCs/>
              </w:rPr>
              <w:t>kg</w:t>
            </w:r>
          </w:p>
        </w:tc>
        <w:tc>
          <w:tcPr>
            <w:tcW w:w="4530" w:type="dxa"/>
            <w:gridSpan w:val="2"/>
          </w:tcPr>
          <w:p w14:paraId="244C3B05" w14:textId="38738A81" w:rsidR="00FF01A9" w:rsidRPr="001F4BAA" w:rsidRDefault="00FF01A9" w:rsidP="004A7096">
            <w:pPr>
              <w:pStyle w:val="NoSpacing"/>
            </w:pPr>
            <w:r w:rsidRPr="001F4BAA">
              <w:t>Use one of the following tablet</w:t>
            </w:r>
            <w:r w:rsidR="00997ADE">
              <w:t xml:space="preserve"> formulations</w:t>
            </w:r>
          </w:p>
        </w:tc>
      </w:tr>
      <w:tr w:rsidR="00FF01A9" w:rsidRPr="001F4BAA" w14:paraId="52BAA9D7" w14:textId="77777777" w:rsidTr="00124435">
        <w:tc>
          <w:tcPr>
            <w:tcW w:w="2376" w:type="dxa"/>
            <w:vMerge/>
          </w:tcPr>
          <w:p w14:paraId="3DE5C158" w14:textId="77777777" w:rsidR="00FF01A9" w:rsidRPr="001F4BAA" w:rsidRDefault="00FF01A9" w:rsidP="004A7096">
            <w:pPr>
              <w:pStyle w:val="NoSpacing"/>
            </w:pPr>
          </w:p>
        </w:tc>
        <w:tc>
          <w:tcPr>
            <w:tcW w:w="2259" w:type="dxa"/>
            <w:shd w:val="clear" w:color="auto" w:fill="D9D9D9" w:themeFill="background1" w:themeFillShade="D9"/>
          </w:tcPr>
          <w:p w14:paraId="32372B4E" w14:textId="77777777" w:rsidR="00FF01A9" w:rsidRPr="001F4BAA" w:rsidRDefault="00FF01A9" w:rsidP="004A7096">
            <w:pPr>
              <w:pStyle w:val="NoSpacing"/>
            </w:pPr>
            <w:r w:rsidRPr="001F4BAA">
              <w:t>80/400 mg</w:t>
            </w:r>
          </w:p>
        </w:tc>
        <w:tc>
          <w:tcPr>
            <w:tcW w:w="2271" w:type="dxa"/>
            <w:shd w:val="clear" w:color="auto" w:fill="D9D9D9" w:themeFill="background1" w:themeFillShade="D9"/>
          </w:tcPr>
          <w:p w14:paraId="09851D1D" w14:textId="77777777" w:rsidR="00FF01A9" w:rsidRPr="001F4BAA" w:rsidRDefault="00FF01A9" w:rsidP="004A7096">
            <w:pPr>
              <w:pStyle w:val="NoSpacing"/>
            </w:pPr>
            <w:r w:rsidRPr="001F4BAA">
              <w:t>160/800 mg</w:t>
            </w:r>
          </w:p>
        </w:tc>
      </w:tr>
      <w:tr w:rsidR="00FF01A9" w:rsidRPr="001F4BAA" w14:paraId="59260BBA" w14:textId="77777777" w:rsidTr="002827F6">
        <w:tc>
          <w:tcPr>
            <w:tcW w:w="2376" w:type="dxa"/>
          </w:tcPr>
          <w:p w14:paraId="5E1281CF" w14:textId="77777777" w:rsidR="00FF01A9" w:rsidRPr="001F4BAA" w:rsidRDefault="00FF01A9" w:rsidP="004A7096">
            <w:pPr>
              <w:pStyle w:val="NoSpacing"/>
            </w:pPr>
            <w:r w:rsidRPr="001F4BAA">
              <w:t>&lt;40 kg</w:t>
            </w:r>
          </w:p>
        </w:tc>
        <w:tc>
          <w:tcPr>
            <w:tcW w:w="2259" w:type="dxa"/>
          </w:tcPr>
          <w:p w14:paraId="070AC0D6" w14:textId="77777777" w:rsidR="00FF01A9" w:rsidRPr="001F4BAA" w:rsidRDefault="00FF01A9" w:rsidP="004A7096">
            <w:pPr>
              <w:pStyle w:val="NoSpacing"/>
            </w:pPr>
            <w:r w:rsidRPr="001F4BAA">
              <w:t>2 tablets</w:t>
            </w:r>
          </w:p>
        </w:tc>
        <w:tc>
          <w:tcPr>
            <w:tcW w:w="2271" w:type="dxa"/>
          </w:tcPr>
          <w:p w14:paraId="42949507" w14:textId="77777777" w:rsidR="00FF01A9" w:rsidRPr="001F4BAA" w:rsidRDefault="00FF01A9" w:rsidP="004A7096">
            <w:pPr>
              <w:pStyle w:val="NoSpacing"/>
            </w:pPr>
            <w:r w:rsidRPr="001F4BAA">
              <w:t>1 tablet</w:t>
            </w:r>
          </w:p>
        </w:tc>
      </w:tr>
      <w:tr w:rsidR="00FF01A9" w:rsidRPr="001F4BAA" w14:paraId="03098F1D" w14:textId="77777777" w:rsidTr="002827F6">
        <w:tc>
          <w:tcPr>
            <w:tcW w:w="2376" w:type="dxa"/>
          </w:tcPr>
          <w:p w14:paraId="239CC4C6" w14:textId="77777777" w:rsidR="00FF01A9" w:rsidRPr="001F4BAA" w:rsidRDefault="00FF01A9" w:rsidP="004A7096">
            <w:pPr>
              <w:pStyle w:val="NoSpacing"/>
            </w:pPr>
            <w:r w:rsidRPr="001F4BAA">
              <w:t>&gt;40–56 kg</w:t>
            </w:r>
          </w:p>
        </w:tc>
        <w:tc>
          <w:tcPr>
            <w:tcW w:w="2259" w:type="dxa"/>
          </w:tcPr>
          <w:p w14:paraId="5035B07A" w14:textId="77777777" w:rsidR="00FF01A9" w:rsidRPr="001F4BAA" w:rsidRDefault="00FF01A9" w:rsidP="004A7096">
            <w:pPr>
              <w:pStyle w:val="NoSpacing"/>
            </w:pPr>
            <w:r w:rsidRPr="001F4BAA">
              <w:t>3 tablets</w:t>
            </w:r>
          </w:p>
        </w:tc>
        <w:tc>
          <w:tcPr>
            <w:tcW w:w="2271" w:type="dxa"/>
          </w:tcPr>
          <w:p w14:paraId="36C01C47" w14:textId="77777777" w:rsidR="00FF01A9" w:rsidRPr="001F4BAA" w:rsidRDefault="00FF01A9" w:rsidP="004A7096">
            <w:pPr>
              <w:pStyle w:val="NoSpacing"/>
            </w:pPr>
            <w:r w:rsidRPr="001F4BAA">
              <w:t>1½ tablets</w:t>
            </w:r>
          </w:p>
        </w:tc>
      </w:tr>
      <w:tr w:rsidR="00FF01A9" w:rsidRPr="001F4BAA" w14:paraId="0CC0A1A2" w14:textId="77777777" w:rsidTr="002827F6">
        <w:tc>
          <w:tcPr>
            <w:tcW w:w="2376" w:type="dxa"/>
          </w:tcPr>
          <w:p w14:paraId="20C3EB4F" w14:textId="77777777" w:rsidR="00FF01A9" w:rsidRPr="001F4BAA" w:rsidRDefault="00FF01A9" w:rsidP="004A7096">
            <w:pPr>
              <w:pStyle w:val="NoSpacing"/>
            </w:pPr>
            <w:r w:rsidRPr="001F4BAA">
              <w:t>&gt;56 kg</w:t>
            </w:r>
          </w:p>
        </w:tc>
        <w:tc>
          <w:tcPr>
            <w:tcW w:w="2259" w:type="dxa"/>
          </w:tcPr>
          <w:p w14:paraId="1726E9C8" w14:textId="77777777" w:rsidR="00FF01A9" w:rsidRPr="001F4BAA" w:rsidRDefault="00FF01A9" w:rsidP="004A7096">
            <w:pPr>
              <w:pStyle w:val="NoSpacing"/>
            </w:pPr>
            <w:r w:rsidRPr="001F4BAA">
              <w:t>4 tablets</w:t>
            </w:r>
          </w:p>
        </w:tc>
        <w:tc>
          <w:tcPr>
            <w:tcW w:w="2271" w:type="dxa"/>
          </w:tcPr>
          <w:p w14:paraId="4AE34AFD" w14:textId="77777777" w:rsidR="00FF01A9" w:rsidRPr="001F4BAA" w:rsidRDefault="00FF01A9" w:rsidP="004A7096">
            <w:pPr>
              <w:pStyle w:val="NoSpacing"/>
            </w:pPr>
            <w:r w:rsidRPr="001F4BAA">
              <w:t>2 tablets</w:t>
            </w:r>
          </w:p>
        </w:tc>
      </w:tr>
    </w:tbl>
    <w:p w14:paraId="4C94B0A3" w14:textId="77777777" w:rsidR="00FF01A9" w:rsidRPr="001F4BAA" w:rsidRDefault="00FF01A9" w:rsidP="00124435">
      <w:pPr>
        <w:pStyle w:val="Heading6"/>
      </w:pPr>
      <w:r w:rsidRPr="001F4BAA">
        <w:t>For secondary prophylaxis</w:t>
      </w:r>
    </w:p>
    <w:p w14:paraId="7F493D32" w14:textId="3F64F9C9" w:rsidR="00FF01A9" w:rsidRPr="001F4BAA" w:rsidRDefault="00FF01A9" w:rsidP="008542CC">
      <w:pPr>
        <w:pStyle w:val="BulletMedicine"/>
        <w:numPr>
          <w:ilvl w:val="0"/>
          <w:numId w:val="36"/>
        </w:numPr>
      </w:pPr>
      <w:r w:rsidRPr="001F4BAA">
        <w:t>Cotrimoxazole, oral</w:t>
      </w:r>
      <w:r w:rsidR="00812598">
        <w:fldChar w:fldCharType="begin"/>
      </w:r>
      <w:r w:rsidR="00812598">
        <w:instrText xml:space="preserve"> XE “Cotrimoxazole, oral” \f “m” </w:instrText>
      </w:r>
      <w:r w:rsidR="00812598">
        <w:fldChar w:fldCharType="end"/>
      </w:r>
      <w:r w:rsidRPr="001F4BAA">
        <w:t>, daily.</w:t>
      </w:r>
      <w:r w:rsidR="00801F2D" w:rsidRPr="00801F2D">
        <w:rPr>
          <w:b/>
          <w:noProof/>
        </w:rPr>
        <w:t xml:space="preserve"> </w:t>
      </w:r>
      <w:r w:rsidR="00801F2D" w:rsidRPr="00804EB1">
        <w:rPr>
          <w:b/>
          <w:noProof/>
          <w:lang w:eastAsia="en-ZA"/>
        </w:rPr>
        <w:drawing>
          <wp:inline distT="0" distB="0" distL="0" distR="0" wp14:anchorId="466FFFE6" wp14:editId="0DB8040F">
            <wp:extent cx="145966" cy="143197"/>
            <wp:effectExtent l="0" t="0" r="6985" b="0"/>
            <wp:docPr id="1068021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481" cy="145665"/>
                    </a:xfrm>
                    <a:prstGeom prst="rect">
                      <a:avLst/>
                    </a:prstGeom>
                    <a:noFill/>
                    <a:ln>
                      <a:noFill/>
                    </a:ln>
                  </pic:spPr>
                </pic:pic>
              </a:graphicData>
            </a:graphic>
          </wp:inline>
        </w:drawing>
      </w:r>
    </w:p>
    <w:tbl>
      <w:tblPr>
        <w:tblStyle w:val="SamplePHCTable"/>
        <w:tblW w:w="5000" w:type="pct"/>
        <w:tblLook w:val="0020" w:firstRow="1" w:lastRow="0" w:firstColumn="0" w:lastColumn="0" w:noHBand="0" w:noVBand="0"/>
      </w:tblPr>
      <w:tblGrid>
        <w:gridCol w:w="3255"/>
        <w:gridCol w:w="3424"/>
      </w:tblGrid>
      <w:tr w:rsidR="00FF01A9" w:rsidRPr="001F4BAA" w14:paraId="7FF607E6" w14:textId="77777777" w:rsidTr="0012443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7BD9B27" w14:textId="43953C2D" w:rsidR="00FF01A9" w:rsidRPr="001F4BAA" w:rsidRDefault="00FF01A9" w:rsidP="004A7096">
            <w:pPr>
              <w:pStyle w:val="NoSpacing"/>
            </w:pPr>
            <w:r w:rsidRPr="001F4BAA">
              <w:t>Use one of the following tablet</w:t>
            </w:r>
            <w:r w:rsidR="00646103">
              <w:t xml:space="preserve"> f</w:t>
            </w:r>
            <w:r w:rsidR="000F671E">
              <w:t>ormulations</w:t>
            </w:r>
          </w:p>
        </w:tc>
      </w:tr>
      <w:tr w:rsidR="00FF01A9" w:rsidRPr="001F4BAA" w14:paraId="22DD630A" w14:textId="77777777" w:rsidTr="00821956">
        <w:tc>
          <w:tcPr>
            <w:tcW w:w="0" w:type="pct"/>
            <w:shd w:val="clear" w:color="auto" w:fill="D9D9D9" w:themeFill="background1" w:themeFillShade="D9"/>
          </w:tcPr>
          <w:p w14:paraId="1C99EF81" w14:textId="77777777" w:rsidR="00FF01A9" w:rsidRPr="001F4BAA" w:rsidRDefault="00FF01A9" w:rsidP="004A7096">
            <w:pPr>
              <w:pStyle w:val="NoSpacing"/>
            </w:pPr>
            <w:r w:rsidRPr="001F4BAA">
              <w:t>80/400 mg</w:t>
            </w:r>
          </w:p>
        </w:tc>
        <w:tc>
          <w:tcPr>
            <w:tcW w:w="0" w:type="pct"/>
            <w:shd w:val="clear" w:color="auto" w:fill="D9D9D9" w:themeFill="background1" w:themeFillShade="D9"/>
          </w:tcPr>
          <w:p w14:paraId="5885DF89" w14:textId="77777777" w:rsidR="00FF01A9" w:rsidRPr="001F4BAA" w:rsidRDefault="00FF01A9" w:rsidP="004A7096">
            <w:pPr>
              <w:pStyle w:val="NoSpacing"/>
            </w:pPr>
            <w:r w:rsidRPr="001F4BAA">
              <w:t>160/800 mg</w:t>
            </w:r>
          </w:p>
        </w:tc>
      </w:tr>
      <w:tr w:rsidR="00FF01A9" w:rsidRPr="001F4BAA" w14:paraId="726B7E63" w14:textId="77777777" w:rsidTr="00903DEE">
        <w:tc>
          <w:tcPr>
            <w:tcW w:w="2437" w:type="pct"/>
          </w:tcPr>
          <w:p w14:paraId="222D2910" w14:textId="77777777" w:rsidR="00FF01A9" w:rsidRPr="001F4BAA" w:rsidRDefault="00FF01A9" w:rsidP="00821956">
            <w:pPr>
              <w:pStyle w:val="NoSpacing"/>
              <w:jc w:val="left"/>
            </w:pPr>
            <w:r w:rsidRPr="001F4BAA">
              <w:t>2 tablets</w:t>
            </w:r>
          </w:p>
        </w:tc>
        <w:tc>
          <w:tcPr>
            <w:tcW w:w="2563" w:type="pct"/>
          </w:tcPr>
          <w:p w14:paraId="398D07A8" w14:textId="77777777" w:rsidR="00FF01A9" w:rsidRPr="001F4BAA" w:rsidRDefault="00FF01A9" w:rsidP="00821956">
            <w:pPr>
              <w:pStyle w:val="NoSpacing"/>
              <w:jc w:val="left"/>
            </w:pPr>
            <w:r w:rsidRPr="001F4BAA">
              <w:t>1 tablet</w:t>
            </w:r>
          </w:p>
        </w:tc>
      </w:tr>
    </w:tbl>
    <w:p w14:paraId="47D92C8A" w14:textId="11F9FB3B" w:rsidR="00FF01A9" w:rsidRPr="00903DEE" w:rsidRDefault="00A2351E" w:rsidP="00FF01A9">
      <w:pPr>
        <w:pStyle w:val="NoSpacing"/>
        <w:rPr>
          <w:rStyle w:val="Strong"/>
        </w:rPr>
      </w:pPr>
      <w:r>
        <w:rPr>
          <w:rStyle w:val="Strong"/>
        </w:rPr>
        <w:t xml:space="preserve">Note: </w:t>
      </w:r>
      <w:r w:rsidR="00FF01A9" w:rsidRPr="00821956">
        <w:rPr>
          <w:rStyle w:val="Strong"/>
          <w:b w:val="0"/>
          <w:bCs w:val="0"/>
        </w:rPr>
        <w:t xml:space="preserve">Discontinue cotrimoxazole prophylaxis </w:t>
      </w:r>
      <w:r w:rsidR="00D467EE" w:rsidRPr="00821956">
        <w:rPr>
          <w:rStyle w:val="Strong"/>
          <w:b w:val="0"/>
          <w:bCs w:val="0"/>
        </w:rPr>
        <w:t>once</w:t>
      </w:r>
      <w:r w:rsidR="00FF01A9" w:rsidRPr="00821956">
        <w:rPr>
          <w:rStyle w:val="Strong"/>
          <w:b w:val="0"/>
          <w:bCs w:val="0"/>
        </w:rPr>
        <w:t xml:space="preserve"> the CD4 count increases on ART to </w:t>
      </w:r>
      <w:r w:rsidR="007277E7">
        <w:rPr>
          <w:rStyle w:val="Strong"/>
          <w:b w:val="0"/>
          <w:bCs w:val="0"/>
        </w:rPr>
        <w:t>&gt;</w:t>
      </w:r>
      <w:r w:rsidR="00FF01A9" w:rsidRPr="00821956">
        <w:rPr>
          <w:rStyle w:val="Strong"/>
          <w:b w:val="0"/>
          <w:bCs w:val="0"/>
        </w:rPr>
        <w:t>200</w:t>
      </w:r>
      <w:r w:rsidR="00903DEE" w:rsidRPr="00821956">
        <w:rPr>
          <w:rStyle w:val="Strong"/>
          <w:b w:val="0"/>
          <w:bCs w:val="0"/>
        </w:rPr>
        <w:t> </w:t>
      </w:r>
      <w:r w:rsidR="00FF01A9" w:rsidRPr="00821956">
        <w:rPr>
          <w:rStyle w:val="Strong"/>
          <w:b w:val="0"/>
          <w:bCs w:val="0"/>
        </w:rPr>
        <w:t>cells/mm</w:t>
      </w:r>
      <w:r w:rsidR="00FF01A9" w:rsidRPr="00821956">
        <w:rPr>
          <w:rStyle w:val="Strong"/>
          <w:b w:val="0"/>
          <w:bCs w:val="0"/>
          <w:vertAlign w:val="superscript"/>
        </w:rPr>
        <w:t>3</w:t>
      </w:r>
      <w:r w:rsidR="00FF01A9" w:rsidRPr="00821956">
        <w:rPr>
          <w:rStyle w:val="Strong"/>
          <w:b w:val="0"/>
          <w:bCs w:val="0"/>
        </w:rPr>
        <w:t xml:space="preserve"> for at least 6 months.</w:t>
      </w:r>
    </w:p>
    <w:p w14:paraId="0669369A" w14:textId="77777777" w:rsidR="00FF01A9" w:rsidRPr="001F4BAA" w:rsidRDefault="00FF01A9" w:rsidP="007C2B34">
      <w:pPr>
        <w:pStyle w:val="Heading5"/>
      </w:pPr>
      <w:r w:rsidRPr="001F4BAA">
        <w:t>REFERRAL</w:t>
      </w:r>
    </w:p>
    <w:p w14:paraId="0D607143" w14:textId="77777777" w:rsidR="00FF01A9" w:rsidRPr="001F4BAA" w:rsidRDefault="00FF01A9" w:rsidP="00F86903">
      <w:pPr>
        <w:pStyle w:val="ListParagraph"/>
      </w:pPr>
      <w:r w:rsidRPr="001F4BAA">
        <w:t>All children.</w:t>
      </w:r>
    </w:p>
    <w:p w14:paraId="47E5DD79" w14:textId="3E27BF3B" w:rsidR="00FF01A9" w:rsidRPr="001F4BAA" w:rsidRDefault="00FF01A9" w:rsidP="00F86903">
      <w:pPr>
        <w:pStyle w:val="ListParagraph"/>
      </w:pPr>
      <w:r w:rsidRPr="001F4BAA">
        <w:t xml:space="preserve">Breathing rate </w:t>
      </w:r>
      <w:r w:rsidR="007277E7">
        <w:t>&gt;</w:t>
      </w:r>
      <w:r w:rsidRPr="001F4BAA">
        <w:t>24 breaths/minute.</w:t>
      </w:r>
    </w:p>
    <w:p w14:paraId="586E4565" w14:textId="77777777" w:rsidR="00FF01A9" w:rsidRPr="001F4BAA" w:rsidRDefault="00FF01A9" w:rsidP="00F86903">
      <w:pPr>
        <w:pStyle w:val="ListParagraph"/>
      </w:pPr>
      <w:r w:rsidRPr="001F4BAA">
        <w:t>Shortness of breath with mild effort.</w:t>
      </w:r>
    </w:p>
    <w:p w14:paraId="196916C0" w14:textId="77777777" w:rsidR="00FF01A9" w:rsidRPr="001F4BAA" w:rsidRDefault="00FF01A9" w:rsidP="00F86903">
      <w:pPr>
        <w:pStyle w:val="ListParagraph"/>
      </w:pPr>
      <w:r w:rsidRPr="001F4BAA">
        <w:t>Cyanosed patients.</w:t>
      </w:r>
    </w:p>
    <w:p w14:paraId="149A7536" w14:textId="77777777" w:rsidR="00FF01A9" w:rsidRPr="001F4BAA" w:rsidRDefault="00FF01A9" w:rsidP="00FF01A9">
      <w:pPr>
        <w:pStyle w:val="NoSpacing"/>
      </w:pPr>
    </w:p>
    <w:p w14:paraId="048F4833" w14:textId="7260CEC2" w:rsidR="00FF01A9" w:rsidRPr="007C2B34" w:rsidRDefault="007C2B34" w:rsidP="007C2B34">
      <w:pPr>
        <w:pStyle w:val="Heading2"/>
      </w:pPr>
      <w:bookmarkStart w:id="86" w:name="_Toc57837004"/>
      <w:bookmarkStart w:id="87" w:name="_Toc57838387"/>
      <w:bookmarkStart w:id="88" w:name="_Toc57838484"/>
      <w:bookmarkStart w:id="89" w:name="_Toc57839901"/>
      <w:bookmarkStart w:id="90" w:name="_Toc57840038"/>
      <w:bookmarkStart w:id="91" w:name="_Toc177054039"/>
      <w:r w:rsidRPr="007C2B34">
        <w:t>Pulmonary tuberculosis (TB)</w:t>
      </w:r>
      <w:bookmarkEnd w:id="86"/>
      <w:bookmarkEnd w:id="87"/>
      <w:bookmarkEnd w:id="88"/>
      <w:bookmarkEnd w:id="89"/>
      <w:bookmarkEnd w:id="90"/>
      <w:bookmarkEnd w:id="91"/>
      <w:r w:rsidR="001132AD">
        <w:fldChar w:fldCharType="begin"/>
      </w:r>
      <w:r w:rsidR="001132AD">
        <w:instrText xml:space="preserve"> XE "</w:instrText>
      </w:r>
      <w:r w:rsidR="001132AD" w:rsidRPr="004A0AEB">
        <w:instrText>Pulmonary tuberculosis (TB)</w:instrText>
      </w:r>
      <w:r w:rsidR="001132AD">
        <w:instrText xml:space="preserve">" </w:instrText>
      </w:r>
      <w:r w:rsidR="001132AD" w:rsidRPr="001132AD">
        <w:instrText xml:space="preserve">\f “c” </w:instrText>
      </w:r>
      <w:r w:rsidR="001132AD">
        <w:fldChar w:fldCharType="end"/>
      </w:r>
    </w:p>
    <w:p w14:paraId="07D18D1F" w14:textId="77777777" w:rsidR="00FF01A9" w:rsidRPr="00F86903" w:rsidRDefault="00FF01A9" w:rsidP="00FF01A9">
      <w:pPr>
        <w:pStyle w:val="NoSpacing"/>
        <w:rPr>
          <w:rStyle w:val="Strong"/>
        </w:rPr>
      </w:pPr>
      <w:r w:rsidRPr="00F86903">
        <w:rPr>
          <w:rStyle w:val="Strong"/>
        </w:rPr>
        <w:t>Note: TB is a notifiable disease.</w:t>
      </w:r>
    </w:p>
    <w:p w14:paraId="7D0424DA" w14:textId="2E5976AA" w:rsidR="00F86903" w:rsidRDefault="00F86903" w:rsidP="00F86903">
      <w:pPr>
        <w:pStyle w:val="Centeredbox"/>
      </w:pPr>
      <w:r>
        <w:t xml:space="preserve">TB guidelines are updated regularly. </w:t>
      </w:r>
      <w:r>
        <w:br/>
        <w:t>Consult the most recent National Tuberculosis Control Programme Guidelines.</w:t>
      </w:r>
    </w:p>
    <w:p w14:paraId="7A66E5AE" w14:textId="77777777" w:rsidR="00FF01A9" w:rsidRPr="001F4BAA" w:rsidRDefault="00FF01A9" w:rsidP="007C2B34">
      <w:pPr>
        <w:pStyle w:val="Heading5"/>
      </w:pPr>
      <w:r w:rsidRPr="001F4BAA">
        <w:t>DESCRIPTION</w:t>
      </w:r>
    </w:p>
    <w:p w14:paraId="58863DF8" w14:textId="70AEC7EA" w:rsidR="00FF01A9" w:rsidRPr="001F4BAA" w:rsidRDefault="00FF01A9" w:rsidP="00FF01A9">
      <w:pPr>
        <w:pStyle w:val="NoSpacing"/>
      </w:pPr>
      <w:r w:rsidRPr="001F4BAA">
        <w:t xml:space="preserve">Tuberculosis is an infection caused by </w:t>
      </w:r>
      <w:r w:rsidRPr="00821956">
        <w:rPr>
          <w:i/>
          <w:iCs/>
        </w:rPr>
        <w:t>Mycobacterium tuberculosis</w:t>
      </w:r>
      <w:r w:rsidRPr="001F4BAA">
        <w:t xml:space="preserve">. </w:t>
      </w:r>
      <w:r w:rsidR="0048171D">
        <w:rPr>
          <w:rFonts w:eastAsia="Calibri" w:cs="Times New Roman"/>
        </w:rPr>
        <w:t>The risk of developing TB disease is higher among people living with HIV</w:t>
      </w:r>
      <w:r w:rsidR="0058205E">
        <w:rPr>
          <w:rFonts w:eastAsia="Calibri" w:cs="Times New Roman"/>
        </w:rPr>
        <w:t xml:space="preserve">. </w:t>
      </w:r>
    </w:p>
    <w:p w14:paraId="31043361" w14:textId="77777777" w:rsidR="00FF01A9" w:rsidRDefault="00FF01A9" w:rsidP="00FF01A9">
      <w:pPr>
        <w:pStyle w:val="NoSpacing"/>
      </w:pPr>
    </w:p>
    <w:p w14:paraId="181E588F" w14:textId="77777777" w:rsidR="00E01A78" w:rsidRPr="001F4BAA" w:rsidRDefault="00E01A78" w:rsidP="00FF01A9">
      <w:pPr>
        <w:pStyle w:val="NoSpacing"/>
      </w:pPr>
    </w:p>
    <w:p w14:paraId="0933D361" w14:textId="5173795A" w:rsidR="00FF01A9" w:rsidRPr="007C2B34" w:rsidRDefault="007C2B34" w:rsidP="007C2B34">
      <w:pPr>
        <w:pStyle w:val="Heading3"/>
      </w:pPr>
      <w:bookmarkStart w:id="92" w:name="_Toc177054040"/>
      <w:r w:rsidRPr="007C2B34">
        <w:t>Pulmonary tuberculosis (TB) in adults</w:t>
      </w:r>
      <w:bookmarkEnd w:id="92"/>
      <w:r w:rsidR="001132AD">
        <w:fldChar w:fldCharType="begin"/>
      </w:r>
      <w:r w:rsidR="001132AD">
        <w:instrText xml:space="preserve"> XE "</w:instrText>
      </w:r>
      <w:r w:rsidR="001132AD" w:rsidRPr="004A0AEB">
        <w:instrText>Pulmonary tuberculosis (TB) in adults</w:instrText>
      </w:r>
      <w:r w:rsidR="001132AD">
        <w:instrText xml:space="preserve">" </w:instrText>
      </w:r>
      <w:r w:rsidR="001132AD" w:rsidRPr="001132AD">
        <w:instrText xml:space="preserve">\f “c” </w:instrText>
      </w:r>
      <w:r w:rsidR="001132AD">
        <w:fldChar w:fldCharType="end"/>
      </w:r>
    </w:p>
    <w:p w14:paraId="25F7BF12" w14:textId="66380BDD" w:rsidR="0081219A" w:rsidRPr="001F4BAA" w:rsidRDefault="0081219A" w:rsidP="002344FD">
      <w:pPr>
        <w:pStyle w:val="ICD10"/>
        <w:shd w:val="clear" w:color="auto" w:fill="F2F2F2" w:themeFill="background1" w:themeFillShade="F2"/>
        <w:tabs>
          <w:tab w:val="left" w:pos="2753"/>
        </w:tabs>
      </w:pPr>
      <w:r w:rsidRPr="001404C6">
        <w:t>A15.0-3/A15.7-8/A16.0</w:t>
      </w:r>
      <w:r w:rsidR="00F55869">
        <w:t>-2/A16.4/</w:t>
      </w:r>
      <w:r w:rsidRPr="001404C6">
        <w:t xml:space="preserve">A16.7-9 + </w:t>
      </w:r>
      <w:r>
        <w:t>(</w:t>
      </w:r>
      <w:r w:rsidRPr="001F4BAA">
        <w:t>B20.0</w:t>
      </w:r>
      <w:r>
        <w:t>)</w:t>
      </w:r>
    </w:p>
    <w:p w14:paraId="0A39808E" w14:textId="77777777" w:rsidR="00FF01A9" w:rsidRPr="001F4BAA" w:rsidRDefault="00FF01A9" w:rsidP="007C2B34">
      <w:pPr>
        <w:pStyle w:val="Heading5"/>
      </w:pPr>
      <w:r w:rsidRPr="001F4BAA">
        <w:t>DIAGNOSIS</w:t>
      </w:r>
    </w:p>
    <w:p w14:paraId="5B058C38" w14:textId="5906F075" w:rsidR="00FF01A9" w:rsidRPr="001F4BAA" w:rsidRDefault="00FF01A9" w:rsidP="003D4712">
      <w:pPr>
        <w:pStyle w:val="NoSpacing"/>
      </w:pPr>
      <w:r w:rsidRPr="001F4BAA">
        <w:t xml:space="preserve">Pulmonary TB is diagnosed on </w:t>
      </w:r>
      <w:r w:rsidR="0048171D">
        <w:rPr>
          <w:rFonts w:eastAsia="Calibri" w:cs="Times New Roman"/>
        </w:rPr>
        <w:t>sputum by TB nucleic acid amplification tests (TB-NAAT)</w:t>
      </w:r>
      <w:r w:rsidR="002B79DF">
        <w:rPr>
          <w:rFonts w:eastAsia="Calibri" w:cs="Times New Roman"/>
        </w:rPr>
        <w:t xml:space="preserve"> </w:t>
      </w:r>
      <w:r w:rsidR="0048171D">
        <w:rPr>
          <w:rFonts w:eastAsia="Calibri" w:cs="Times New Roman"/>
        </w:rPr>
        <w:t>such as</w:t>
      </w:r>
      <w:r w:rsidR="0048171D" w:rsidRPr="00034FDD">
        <w:rPr>
          <w:rFonts w:eastAsia="Calibri" w:cs="Times New Roman"/>
        </w:rPr>
        <w:t xml:space="preserve"> </w:t>
      </w:r>
      <w:r w:rsidRPr="001F4BAA">
        <w:t>Xpert</w:t>
      </w:r>
      <w:r w:rsidR="0048171D" w:rsidRPr="00821956">
        <w:rPr>
          <w:rFonts w:cs="Arial"/>
          <w:vertAlign w:val="superscript"/>
        </w:rPr>
        <w:t>®</w:t>
      </w:r>
      <w:r w:rsidRPr="001F4BAA">
        <w:t xml:space="preserve"> MTB/RIF</w:t>
      </w:r>
      <w:r w:rsidR="0048171D">
        <w:t xml:space="preserve"> Ultra</w:t>
      </w:r>
      <w:r w:rsidRPr="001F4BAA">
        <w:t>, sputum smear</w:t>
      </w:r>
      <w:r w:rsidR="00A05595">
        <w:t>,</w:t>
      </w:r>
      <w:r w:rsidRPr="001F4BAA">
        <w:t xml:space="preserve"> or culture.</w:t>
      </w:r>
    </w:p>
    <w:p w14:paraId="7EE128DD" w14:textId="318A452D" w:rsidR="00FF01A9" w:rsidRDefault="00FF01A9" w:rsidP="003D4712">
      <w:pPr>
        <w:pStyle w:val="ListParagraph"/>
      </w:pPr>
      <w:r w:rsidRPr="001F4BAA">
        <w:t>Send 1 sputum specimen for</w:t>
      </w:r>
      <w:r w:rsidR="0048171D">
        <w:t xml:space="preserve"> </w:t>
      </w:r>
      <w:r w:rsidR="0048171D">
        <w:rPr>
          <w:rFonts w:eastAsia="Calibri" w:cs="Times New Roman"/>
        </w:rPr>
        <w:t>TB-NAAT</w:t>
      </w:r>
      <w:r w:rsidRPr="001F4BAA">
        <w:t xml:space="preserve">. </w:t>
      </w:r>
    </w:p>
    <w:p w14:paraId="55EA373C" w14:textId="7B2FC2C0"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unsuccessful: collect another sample and repeat TB-NAAT</w:t>
      </w:r>
      <w:r w:rsidR="00A05595">
        <w:rPr>
          <w:rFonts w:eastAsia="Calibri" w:cs="Times New Roman"/>
          <w:lang w:val="en-ZA"/>
        </w:rPr>
        <w:t>.</w:t>
      </w:r>
    </w:p>
    <w:p w14:paraId="1555E79E" w14:textId="3EBF4E40"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trace (</w:t>
      </w:r>
      <w:r w:rsidR="0037179B">
        <w:rPr>
          <w:rFonts w:eastAsia="Calibri" w:cs="Times New Roman"/>
          <w:lang w:val="en-ZA"/>
        </w:rPr>
        <w:t xml:space="preserve">only applies to </w:t>
      </w:r>
      <w:r w:rsidRPr="0048171D">
        <w:rPr>
          <w:rFonts w:eastAsia="Calibri" w:cs="Times New Roman"/>
          <w:lang w:val="en-ZA"/>
        </w:rPr>
        <w:t>Xpert</w:t>
      </w:r>
      <w:r w:rsidRPr="0048171D">
        <w:rPr>
          <w:rFonts w:eastAsia="Times New Roman" w:cs="Arial"/>
          <w:bCs/>
          <w:color w:val="000000"/>
          <w:spacing w:val="0"/>
          <w:vertAlign w:val="superscript"/>
        </w:rPr>
        <w:t>®</w:t>
      </w:r>
      <w:r w:rsidR="0037179B">
        <w:rPr>
          <w:rFonts w:eastAsia="Calibri" w:cs="Times New Roman"/>
          <w:lang w:val="en-ZA"/>
        </w:rPr>
        <w:t xml:space="preserve"> MTB/RIFUltra</w:t>
      </w:r>
      <w:r w:rsidRPr="0048171D">
        <w:rPr>
          <w:rFonts w:eastAsia="Calibri" w:cs="Times New Roman"/>
          <w:lang w:val="en-ZA"/>
        </w:rPr>
        <w:t>): If the clinical presentation and chest X-ray are suggestive of TB</w:t>
      </w:r>
      <w:r w:rsidR="00BD33BB">
        <w:rPr>
          <w:rFonts w:eastAsia="Calibri" w:cs="Times New Roman"/>
          <w:lang w:val="en-ZA"/>
        </w:rPr>
        <w:t>,</w:t>
      </w:r>
      <w:r w:rsidRPr="0048171D">
        <w:rPr>
          <w:rFonts w:eastAsia="Calibri" w:cs="Times New Roman"/>
          <w:lang w:val="en-ZA"/>
        </w:rPr>
        <w:t xml:space="preserve"> treat for drug-sensitive TB (DS-TB), and collect sputum specimen for TB culture and drug sensitivity testing </w:t>
      </w:r>
      <w:r w:rsidRPr="0048171D">
        <w:rPr>
          <w:rFonts w:eastAsia="Calibri" w:cs="Times New Roman"/>
          <w:lang w:val="en-ZA"/>
        </w:rPr>
        <w:lastRenderedPageBreak/>
        <w:t>(DST). If the patient is asymptomatic, with no abnormalities on chest X-ray, continue routine care with close follow-up</w:t>
      </w:r>
      <w:r w:rsidR="00E65C22">
        <w:rPr>
          <w:rFonts w:eastAsia="Calibri" w:cs="Times New Roman"/>
          <w:lang w:val="en-ZA"/>
        </w:rPr>
        <w:t xml:space="preserve"> for features of TB</w:t>
      </w:r>
      <w:r w:rsidR="00DC0150">
        <w:rPr>
          <w:rFonts w:eastAsia="Calibri" w:cs="Times New Roman"/>
          <w:lang w:val="en-ZA"/>
        </w:rPr>
        <w:t>.</w:t>
      </w:r>
      <w:r w:rsidR="00DC0150" w:rsidRPr="0048171D">
        <w:rPr>
          <w:rFonts w:eastAsia="Calibri" w:cs="Times New Roman"/>
          <w:lang w:val="en-ZA"/>
        </w:rPr>
        <w:t xml:space="preserve"> </w:t>
      </w:r>
    </w:p>
    <w:p w14:paraId="1BA364AE" w14:textId="16A37E76"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positive and susceptible to rifampicin: treat for DS-TB and send a sputum specimen for baseline smear microscopy (</w:t>
      </w:r>
      <w:r w:rsidR="00076D5F">
        <w:rPr>
          <w:rFonts w:eastAsia="Calibri" w:cs="Times New Roman"/>
          <w:lang w:val="en-ZA"/>
        </w:rPr>
        <w:t>t</w:t>
      </w:r>
      <w:r w:rsidRPr="0048171D">
        <w:rPr>
          <w:rFonts w:eastAsia="Calibri" w:cs="Times New Roman"/>
          <w:lang w:val="en-ZA"/>
        </w:rPr>
        <w:t>he smear is used for reporting, not for diagnosis).</w:t>
      </w:r>
    </w:p>
    <w:p w14:paraId="665A173D" w14:textId="45BB3096"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positive, susceptible to rifampicin and resistant to isoniazid: treat for isoniazid monoresistant TB</w:t>
      </w:r>
      <w:r w:rsidR="00076D5F">
        <w:rPr>
          <w:rFonts w:eastAsia="Calibri" w:cs="Times New Roman"/>
          <w:lang w:val="en-ZA"/>
        </w:rPr>
        <w:t xml:space="preserve"> (See Section 17.4.4.1: </w:t>
      </w:r>
      <w:r w:rsidR="0085005C" w:rsidRPr="0085005C">
        <w:rPr>
          <w:rFonts w:eastAsia="Calibri" w:cs="Times New Roman"/>
          <w:lang w:val="en-ZA"/>
        </w:rPr>
        <w:t>Isoniazid mono-resistant tuberculosis in adults</w:t>
      </w:r>
      <w:r w:rsidR="0085005C">
        <w:rPr>
          <w:rFonts w:eastAsia="Calibri" w:cs="Times New Roman"/>
          <w:lang w:val="en-ZA"/>
        </w:rPr>
        <w:t>)</w:t>
      </w:r>
      <w:r w:rsidRPr="0048171D">
        <w:rPr>
          <w:rFonts w:eastAsia="Calibri" w:cs="Times New Roman"/>
          <w:lang w:val="en-ZA"/>
        </w:rPr>
        <w:t xml:space="preserve">. Collect sputum sample for reflex testing of fluoroquinolone susceptibility. </w:t>
      </w:r>
    </w:p>
    <w:p w14:paraId="293A698F" w14:textId="7A4393FD"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positive and rifampicin unsuccessful: start DS-TB treatment and collect another sputum sample for smear, culture and drug sensitivity testing (DST). Follow-up culture and DST results</w:t>
      </w:r>
      <w:r w:rsidR="007F4CDF">
        <w:rPr>
          <w:rFonts w:eastAsia="Calibri" w:cs="Times New Roman"/>
          <w:lang w:val="en-ZA"/>
        </w:rPr>
        <w:t>.</w:t>
      </w:r>
    </w:p>
    <w:p w14:paraId="40F06A17" w14:textId="0D9148CC"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positive and resistant to rifampicin (with or without isoniazid resistance): treat for rifampicin resistant TB and send sputum sample for further reflex testing and DST.</w:t>
      </w:r>
    </w:p>
    <w:tbl>
      <w:tblPr>
        <w:tblpPr w:leftFromText="180" w:rightFromText="180" w:vertAnchor="text" w:horzAnchor="margin" w:tblpXSpec="right" w:tblpY="74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E01A78" w:rsidRPr="007B04C4" w14:paraId="0D527054" w14:textId="77777777" w:rsidTr="00E01A78">
        <w:tc>
          <w:tcPr>
            <w:tcW w:w="907" w:type="dxa"/>
          </w:tcPr>
          <w:p w14:paraId="37D8A583" w14:textId="77777777" w:rsidR="00E01A78" w:rsidRPr="007B04C4" w:rsidRDefault="00E01A78" w:rsidP="00E01A78">
            <w:pPr>
              <w:spacing w:before="0" w:after="0"/>
              <w:jc w:val="right"/>
              <w:rPr>
                <w:rFonts w:eastAsia="Calibri" w:cs="Times New Roman"/>
                <w:i/>
                <w:sz w:val="16"/>
                <w:szCs w:val="16"/>
                <w:lang w:val="en-ZA"/>
              </w:rPr>
            </w:pPr>
            <w:r w:rsidRPr="007B04C4">
              <w:rPr>
                <w:rFonts w:eastAsia="Calibri" w:cs="Times New Roman"/>
                <w:i/>
                <w:sz w:val="16"/>
                <w:szCs w:val="16"/>
                <w:lang w:val="en-ZA"/>
              </w:rPr>
              <w:t>LoE:I</w:t>
            </w:r>
            <w:r w:rsidRPr="007B04C4">
              <w:rPr>
                <w:rFonts w:eastAsia="Calibri" w:cs="Times New Roman"/>
                <w:i/>
                <w:sz w:val="16"/>
                <w:szCs w:val="16"/>
                <w:vertAlign w:val="superscript"/>
                <w:lang w:val="en-ZA"/>
              </w:rPr>
              <w:endnoteReference w:id="23"/>
            </w:r>
          </w:p>
        </w:tc>
      </w:tr>
    </w:tbl>
    <w:p w14:paraId="6222D7B5" w14:textId="15E00823" w:rsidR="0048171D"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 xml:space="preserve">If TB-NAAT is negative and patient is </w:t>
      </w:r>
      <w:r w:rsidR="00715E4D">
        <w:rPr>
          <w:rFonts w:eastAsia="Calibri" w:cs="Times New Roman"/>
          <w:lang w:val="en-ZA"/>
        </w:rPr>
        <w:t xml:space="preserve">living with </w:t>
      </w:r>
      <w:r w:rsidRPr="0048171D">
        <w:rPr>
          <w:rFonts w:eastAsia="Calibri" w:cs="Times New Roman"/>
          <w:lang w:val="en-ZA"/>
        </w:rPr>
        <w:t>HIV: send sputum for TB culture and perform chest X-ray.</w:t>
      </w:r>
      <w:r w:rsidRPr="0048171D" w:rsidDel="002E72F7">
        <w:rPr>
          <w:rFonts w:eastAsia="Calibri" w:cs="Times New Roman"/>
          <w:lang w:val="en-ZA"/>
        </w:rPr>
        <w:t xml:space="preserve"> </w:t>
      </w:r>
      <w:r w:rsidRPr="0048171D">
        <w:rPr>
          <w:rFonts w:eastAsia="Calibri" w:cs="Times New Roman"/>
          <w:lang w:val="en-ZA"/>
        </w:rPr>
        <w:t xml:space="preserve">If CD4 </w:t>
      </w:r>
      <w:r w:rsidR="007277E7">
        <w:rPr>
          <w:rFonts w:eastAsia="Calibri" w:cs="Times New Roman"/>
          <w:lang w:val="en-ZA"/>
        </w:rPr>
        <w:t>&lt;</w:t>
      </w:r>
      <w:r w:rsidRPr="0048171D">
        <w:rPr>
          <w:rFonts w:eastAsia="Calibri" w:cs="Times New Roman"/>
          <w:lang w:val="en-ZA"/>
        </w:rPr>
        <w:t>200 within the last 6 months</w:t>
      </w:r>
      <w:r w:rsidR="0037179B">
        <w:rPr>
          <w:rFonts w:eastAsia="Calibri" w:cs="Times New Roman"/>
          <w:lang w:val="en-ZA"/>
        </w:rPr>
        <w:t xml:space="preserve"> and they have signs and symptoms of TB (pulmonary or extrapulmonary)</w:t>
      </w:r>
      <w:r w:rsidRPr="0048171D">
        <w:rPr>
          <w:rFonts w:eastAsia="Calibri" w:cs="Times New Roman"/>
          <w:lang w:val="en-ZA"/>
        </w:rPr>
        <w:t xml:space="preserve">, the patient has advanced HIV disease or the patient is currently seriously ill and requiring hospitalization, perform urine LAM (U-LAM) test. </w:t>
      </w:r>
    </w:p>
    <w:p w14:paraId="362FA923" w14:textId="77777777" w:rsidR="007B04C4" w:rsidRPr="0048171D" w:rsidRDefault="0048171D" w:rsidP="0037179B">
      <w:pPr>
        <w:numPr>
          <w:ilvl w:val="1"/>
          <w:numId w:val="4"/>
        </w:numPr>
        <w:spacing w:before="0" w:after="0" w:line="259" w:lineRule="auto"/>
        <w:contextualSpacing/>
        <w:rPr>
          <w:rFonts w:eastAsia="Calibri" w:cs="Times New Roman"/>
          <w:lang w:val="en-ZA"/>
        </w:rPr>
      </w:pPr>
      <w:r w:rsidRPr="0048171D">
        <w:rPr>
          <w:rFonts w:eastAsia="Calibri" w:cs="Times New Roman"/>
          <w:lang w:val="en-ZA"/>
        </w:rPr>
        <w:t>If TB-NAAT is negative and patient is HIV negative: treat with antibiotics and consider further investigation only if symptoms persist.</w:t>
      </w:r>
      <w:r w:rsidR="007B04C4">
        <w:rPr>
          <w:rFonts w:eastAsia="Calibri" w:cs="Times New Roman"/>
          <w:lang w:val="en-ZA"/>
        </w:rPr>
        <w:t xml:space="preserve">   </w:t>
      </w:r>
    </w:p>
    <w:p w14:paraId="2E3F2DEC" w14:textId="01C4630B" w:rsidR="00CB6C19" w:rsidRDefault="00CB6C19" w:rsidP="00CB6C19">
      <w:pPr>
        <w:pStyle w:val="Centeredbox"/>
      </w:pPr>
      <w:r w:rsidRPr="00CB6C19">
        <w:rPr>
          <w:rStyle w:val="Strong"/>
        </w:rPr>
        <w:t>Note:</w:t>
      </w:r>
      <w:r>
        <w:t xml:space="preserve"> </w:t>
      </w:r>
      <w:r w:rsidR="0048171D">
        <w:rPr>
          <w:rFonts w:eastAsia="Calibri" w:cs="Times New Roman"/>
        </w:rPr>
        <w:t xml:space="preserve">Patients with a history of TB can remain TB-NAAT positive for </w:t>
      </w:r>
      <w:r w:rsidR="0037179B">
        <w:rPr>
          <w:rFonts w:eastAsia="Calibri" w:cs="Times New Roman"/>
        </w:rPr>
        <w:t>several</w:t>
      </w:r>
      <w:r w:rsidR="0048171D">
        <w:rPr>
          <w:rFonts w:eastAsia="Calibri" w:cs="Times New Roman"/>
        </w:rPr>
        <w:t xml:space="preserve"> years after completion of appropriate anti-TB treatment.  To diagnose a new episode of TB</w:t>
      </w:r>
      <w:r w:rsidR="003E724E">
        <w:t xml:space="preserve"> in previously treated patients,</w:t>
      </w:r>
      <w:r>
        <w:t xml:space="preserve"> </w:t>
      </w:r>
      <w:r w:rsidR="0048171D">
        <w:t>s</w:t>
      </w:r>
      <w:r>
        <w:t>end sputum for smear microscopy and culture instead.</w:t>
      </w:r>
    </w:p>
    <w:p w14:paraId="2B30D33E" w14:textId="77777777" w:rsidR="00FF01A9" w:rsidRPr="001F4BAA" w:rsidRDefault="00FF01A9" w:rsidP="007C2B34">
      <w:pPr>
        <w:pStyle w:val="Heading5"/>
      </w:pPr>
      <w:r w:rsidRPr="001F4BAA">
        <w:t>GENERAL MEASURES</w:t>
      </w:r>
    </w:p>
    <w:p w14:paraId="0B24CD77" w14:textId="47F67CE1" w:rsidR="00FF01A9" w:rsidRPr="001F4BAA" w:rsidRDefault="00FF01A9" w:rsidP="00CB6C19">
      <w:pPr>
        <w:pStyle w:val="ListParagraph"/>
      </w:pPr>
      <w:r w:rsidRPr="001F4BAA">
        <w:t>Counsel patients about the disease</w:t>
      </w:r>
      <w:r w:rsidR="0048171D">
        <w:t xml:space="preserve"> </w:t>
      </w:r>
      <w:r w:rsidR="0048171D">
        <w:rPr>
          <w:rFonts w:eastAsia="Calibri" w:cs="Times New Roman"/>
        </w:rPr>
        <w:t>and infection control in the home</w:t>
      </w:r>
      <w:r w:rsidRPr="001F4BAA">
        <w:t>. Explain the importance of completing treatment.</w:t>
      </w:r>
    </w:p>
    <w:p w14:paraId="1DEAFCD7" w14:textId="7CA428DA" w:rsidR="00FF01A9" w:rsidRPr="001F4BAA" w:rsidRDefault="0048171D" w:rsidP="00CB6C19">
      <w:pPr>
        <w:pStyle w:val="ListParagraph"/>
      </w:pPr>
      <w:r>
        <w:t xml:space="preserve">Advise against </w:t>
      </w:r>
      <w:r w:rsidR="00FF01A9" w:rsidRPr="001F4BAA">
        <w:t>the use of tobacco</w:t>
      </w:r>
      <w:r>
        <w:t xml:space="preserve"> and excessive alcohol</w:t>
      </w:r>
      <w:r w:rsidR="00FF01A9" w:rsidRPr="001F4BAA">
        <w:t>.</w:t>
      </w:r>
    </w:p>
    <w:p w14:paraId="22C5A219" w14:textId="77777777" w:rsidR="00FF01A9" w:rsidRPr="001F4BAA" w:rsidRDefault="00FF01A9" w:rsidP="00CB6C19">
      <w:pPr>
        <w:pStyle w:val="ListParagraph"/>
      </w:pPr>
      <w:r w:rsidRPr="001F4BAA">
        <w:t>If more than two doses of treatment are missed, extra effort should be made to identify and manage any problems the patient might have.</w:t>
      </w:r>
    </w:p>
    <w:p w14:paraId="7529D77B" w14:textId="77777777" w:rsidR="00FF01A9" w:rsidRPr="001F4BAA" w:rsidRDefault="00FF01A9" w:rsidP="007C2B34">
      <w:pPr>
        <w:pStyle w:val="Heading5"/>
      </w:pPr>
      <w:r w:rsidRPr="001F4BAA">
        <w:t>MEDICINE TREATMENT</w:t>
      </w:r>
    </w:p>
    <w:p w14:paraId="613C78A7" w14:textId="77777777" w:rsidR="00FF01A9" w:rsidRPr="001F4BAA" w:rsidRDefault="00FF01A9" w:rsidP="00FF01A9">
      <w:pPr>
        <w:pStyle w:val="NoSpacing"/>
      </w:pPr>
      <w:r w:rsidRPr="001F4BAA">
        <w:t>Administer total daily amount of each medicine in one dose and not as divided doses.</w:t>
      </w:r>
    </w:p>
    <w:p w14:paraId="67ED78F4" w14:textId="77777777" w:rsidR="00FF01A9" w:rsidRPr="001F4BAA" w:rsidRDefault="00FF01A9" w:rsidP="00CB6C19">
      <w:pPr>
        <w:pStyle w:val="Heading6"/>
      </w:pPr>
      <w:r w:rsidRPr="001F4BAA">
        <w:t>Important medicine interactions</w:t>
      </w:r>
    </w:p>
    <w:p w14:paraId="1C462420" w14:textId="1C1D9015" w:rsidR="00FF01A9" w:rsidRPr="001F4BAA" w:rsidRDefault="00FF01A9" w:rsidP="00FF01A9">
      <w:pPr>
        <w:pStyle w:val="NoSpacing"/>
      </w:pPr>
      <w:r w:rsidRPr="001F4BAA">
        <w:t>Rifampicin may reduce the efficacy of low dose combined oral contraceptives</w:t>
      </w:r>
      <w:r w:rsidR="00DC0150">
        <w:t xml:space="preserve"> and progestin-only implants</w:t>
      </w:r>
      <w:r w:rsidRPr="001F4BAA">
        <w:t>, resulting in possible unplanned pregnancies</w:t>
      </w:r>
      <w:r w:rsidR="00801F2D">
        <w:t>.</w:t>
      </w:r>
      <w:r w:rsidRPr="001F4BAA">
        <w:t xml:space="preserve"> (See Chapter 7: Family planning</w:t>
      </w:r>
      <w:r w:rsidR="00801F2D">
        <w:t>.</w:t>
      </w:r>
      <w:r w:rsidRPr="001F4BAA">
        <w:t>)</w:t>
      </w:r>
    </w:p>
    <w:p w14:paraId="2876CECA" w14:textId="22A16329" w:rsidR="00DC0150" w:rsidRDefault="00DC0150" w:rsidP="00DC0150">
      <w:pPr>
        <w:pStyle w:val="ListParagraph"/>
      </w:pPr>
      <w:r>
        <w:t>Use of alternative contraceptive method</w:t>
      </w:r>
      <w:r w:rsidR="00146372">
        <w:t>s</w:t>
      </w:r>
      <w:r>
        <w:t>, such as IUD or DMPA, should be advised.</w:t>
      </w:r>
    </w:p>
    <w:p w14:paraId="70E7E017" w14:textId="0A8CC1DA" w:rsidR="00DC0150" w:rsidRPr="00DC0150" w:rsidRDefault="00DC0150" w:rsidP="00DC0150">
      <w:pPr>
        <w:pStyle w:val="ListParagraph"/>
        <w:numPr>
          <w:ilvl w:val="0"/>
          <w:numId w:val="0"/>
        </w:numPr>
        <w:ind w:left="284"/>
        <w:rPr>
          <w:b/>
        </w:rPr>
      </w:pPr>
      <w:r w:rsidRPr="00DC0150">
        <w:rPr>
          <w:b/>
        </w:rPr>
        <w:t>OR</w:t>
      </w:r>
    </w:p>
    <w:p w14:paraId="62E6075B" w14:textId="30386427" w:rsidR="00FF01A9" w:rsidRPr="001F4BAA" w:rsidRDefault="00146372" w:rsidP="003937E2">
      <w:pPr>
        <w:pStyle w:val="ListParagraph"/>
      </w:pPr>
      <w:r>
        <w:lastRenderedPageBreak/>
        <w:t>Women choosing to u</w:t>
      </w:r>
      <w:r w:rsidR="00FF01A9" w:rsidRPr="001F4BAA">
        <w:t xml:space="preserve">se a progestin-only subdermal implant </w:t>
      </w:r>
      <w:r>
        <w:t xml:space="preserve">should be advised to use </w:t>
      </w:r>
      <w:r w:rsidRPr="001F4BAA">
        <w:t xml:space="preserve">additional contraception </w:t>
      </w:r>
      <w:r w:rsidR="00FF01A9" w:rsidRPr="001F4BAA">
        <w:t>for the duration of TB therapy. See Section 11.1</w:t>
      </w:r>
      <w:r w:rsidR="001A6C28">
        <w:t>:</w:t>
      </w:r>
      <w:r w:rsidR="00FF01A9" w:rsidRPr="001F4BAA">
        <w:t xml:space="preserve"> Antiretroviral therapy, adults</w:t>
      </w:r>
      <w:r w:rsidR="00690583">
        <w:t xml:space="preserve"> </w:t>
      </w:r>
      <w:r w:rsidR="00690583" w:rsidRPr="00690583">
        <w:t>and adolescents</w:t>
      </w:r>
      <w:r w:rsidR="00FF01A9" w:rsidRPr="001F4BAA">
        <w:t>.</w:t>
      </w:r>
    </w:p>
    <w:p w14:paraId="3BBA9980" w14:textId="3B80DDF8" w:rsidR="00FB705C" w:rsidRDefault="00FB705C" w:rsidP="00FB705C">
      <w:pPr>
        <w:pStyle w:val="Centeredbox"/>
      </w:pPr>
      <w:r>
        <w:t>CAUTION</w:t>
      </w:r>
      <w:r>
        <w:br/>
        <w:t>Antiretroviral medicines frequently interact with TB medicines.</w:t>
      </w:r>
      <w:r>
        <w:br/>
        <w:t>Consult the National Department of Health antiretroviral treatment guidelines.</w:t>
      </w:r>
    </w:p>
    <w:p w14:paraId="7F1295EE" w14:textId="2767238D" w:rsidR="00FF01A9" w:rsidRPr="001F4BAA" w:rsidRDefault="00FF01A9" w:rsidP="00CB6C19">
      <w:pPr>
        <w:pStyle w:val="Heading6"/>
      </w:pPr>
      <w:r w:rsidRPr="001F4BAA">
        <w:t>Dose adjustment</w:t>
      </w:r>
      <w:r w:rsidR="0048171D">
        <w:t xml:space="preserve"> </w:t>
      </w:r>
      <w:r w:rsidR="0048171D">
        <w:rPr>
          <w:rFonts w:eastAsia="Calibri" w:cs="Times New Roman"/>
        </w:rPr>
        <w:t xml:space="preserve">in renal impairment (eGFR </w:t>
      </w:r>
      <w:r w:rsidR="007277E7">
        <w:rPr>
          <w:rFonts w:eastAsia="Calibri" w:cs="Times New Roman"/>
        </w:rPr>
        <w:t>&lt;</w:t>
      </w:r>
      <w:r w:rsidR="0048171D">
        <w:rPr>
          <w:rFonts w:eastAsia="Calibri" w:cs="Times New Roman"/>
        </w:rPr>
        <w:t>30 mL/min)</w:t>
      </w:r>
      <w:r w:rsidR="00801F2D">
        <w:rPr>
          <w:rFonts w:eastAsia="Calibri" w:cs="Times New Roman"/>
        </w:rPr>
        <w:t>.</w:t>
      </w:r>
    </w:p>
    <w:p w14:paraId="4BB7EE97" w14:textId="1DD9D58D" w:rsidR="00E86828" w:rsidRPr="00E86828" w:rsidRDefault="00E86828" w:rsidP="008542CC">
      <w:pPr>
        <w:pStyle w:val="ListParagraph"/>
        <w:numPr>
          <w:ilvl w:val="0"/>
          <w:numId w:val="57"/>
        </w:numPr>
        <w:shd w:val="clear" w:color="auto" w:fill="FFFFFF"/>
        <w:rPr>
          <w:rFonts w:cs="Arial"/>
          <w:color w:val="222222"/>
        </w:rPr>
      </w:pPr>
      <w:r w:rsidRPr="00E86828">
        <w:rPr>
          <w:rFonts w:cs="Arial"/>
          <w:color w:val="222222"/>
        </w:rPr>
        <w:t>Ethambutol 15 – 25mg/kg three times weekly</w:t>
      </w:r>
      <w:r w:rsidR="00801F2D">
        <w:rPr>
          <w:rFonts w:cs="Arial"/>
          <w:color w:val="222222"/>
        </w:rPr>
        <w:t>.</w:t>
      </w:r>
    </w:p>
    <w:p w14:paraId="6A48F2A4" w14:textId="28FF702E" w:rsidR="00E86828" w:rsidRPr="00E86828" w:rsidRDefault="00E86828" w:rsidP="008542CC">
      <w:pPr>
        <w:pStyle w:val="ListParagraph"/>
        <w:numPr>
          <w:ilvl w:val="0"/>
          <w:numId w:val="57"/>
        </w:numPr>
        <w:shd w:val="clear" w:color="auto" w:fill="FFFFFF"/>
        <w:rPr>
          <w:rFonts w:cs="Arial"/>
          <w:color w:val="222222"/>
        </w:rPr>
      </w:pPr>
      <w:r w:rsidRPr="00E86828">
        <w:rPr>
          <w:rFonts w:cs="Arial"/>
          <w:color w:val="222222"/>
        </w:rPr>
        <w:t>Pyrazinamide 20 – 30 mg/kg three times weekly</w:t>
      </w:r>
      <w:r w:rsidR="00801F2D">
        <w:rPr>
          <w:rFonts w:cs="Arial"/>
          <w:color w:val="222222"/>
        </w:rPr>
        <w:t>.</w:t>
      </w:r>
    </w:p>
    <w:p w14:paraId="0B916AFA" w14:textId="77777777" w:rsidR="00E86828" w:rsidRPr="00E86828" w:rsidRDefault="00E86828" w:rsidP="008542CC">
      <w:pPr>
        <w:pStyle w:val="ListParagraph"/>
        <w:numPr>
          <w:ilvl w:val="0"/>
          <w:numId w:val="57"/>
        </w:numPr>
        <w:shd w:val="clear" w:color="auto" w:fill="FFFFFF"/>
        <w:rPr>
          <w:rFonts w:cs="Arial"/>
          <w:color w:val="222222"/>
        </w:rPr>
      </w:pPr>
      <w:r w:rsidRPr="00E86828">
        <w:rPr>
          <w:rFonts w:cs="Arial"/>
          <w:color w:val="222222"/>
        </w:rPr>
        <w:t>Rifampicin and isoniazid do not require dose adjustment.</w:t>
      </w:r>
    </w:p>
    <w:p w14:paraId="1AFEF6F9" w14:textId="77777777" w:rsidR="00D05FAD" w:rsidRDefault="00D05FAD" w:rsidP="00D05FAD">
      <w:pPr>
        <w:pStyle w:val="Heading6"/>
        <w:shd w:val="clear" w:color="auto" w:fill="FFFFFF"/>
        <w:spacing w:before="0"/>
        <w:rPr>
          <w:rFonts w:eastAsia="Calibri" w:cs="Arial"/>
          <w:b w:val="0"/>
          <w:u w:val="single"/>
        </w:rPr>
      </w:pPr>
    </w:p>
    <w:p w14:paraId="761B2458" w14:textId="507972C0" w:rsidR="00E86828" w:rsidRPr="00D05FAD" w:rsidRDefault="00E86828" w:rsidP="00D05FAD">
      <w:pPr>
        <w:pStyle w:val="Heading6"/>
        <w:shd w:val="clear" w:color="auto" w:fill="FFFFFF"/>
        <w:spacing w:before="0"/>
        <w:ind w:firstLine="284"/>
        <w:rPr>
          <w:rFonts w:eastAsia="Calibri" w:cs="Arial"/>
          <w:b w:val="0"/>
          <w:u w:val="single"/>
        </w:rPr>
      </w:pPr>
      <w:r w:rsidRPr="00D05FAD">
        <w:rPr>
          <w:rFonts w:eastAsia="Calibri" w:cs="Arial"/>
          <w:b w:val="0"/>
          <w:u w:val="single"/>
        </w:rPr>
        <w:t xml:space="preserve">Intensive phase of treatment: </w:t>
      </w:r>
    </w:p>
    <w:p w14:paraId="0A4E4D9E" w14:textId="3ACB901F" w:rsidR="00E86828" w:rsidRPr="00D05FAD" w:rsidRDefault="00E86828" w:rsidP="008542CC">
      <w:pPr>
        <w:pStyle w:val="ListParagraph"/>
        <w:numPr>
          <w:ilvl w:val="0"/>
          <w:numId w:val="57"/>
        </w:numPr>
        <w:shd w:val="clear" w:color="auto" w:fill="FFFFFF"/>
        <w:rPr>
          <w:rFonts w:cs="Arial"/>
          <w:color w:val="222222"/>
        </w:rPr>
      </w:pPr>
      <w:r w:rsidRPr="00D05FAD">
        <w:rPr>
          <w:rFonts w:cs="Arial"/>
          <w:color w:val="222222"/>
        </w:rPr>
        <w:t>Alternate day dosing of RH and RHZE</w:t>
      </w:r>
      <w:r w:rsidR="00801F2D">
        <w:rPr>
          <w:rFonts w:cs="Arial"/>
          <w:color w:val="222222"/>
        </w:rPr>
        <w:t>.</w:t>
      </w:r>
    </w:p>
    <w:p w14:paraId="79044D6F" w14:textId="17B22CD1" w:rsidR="00E86828" w:rsidRPr="00D05FAD" w:rsidRDefault="00E86828" w:rsidP="008542CC">
      <w:pPr>
        <w:pStyle w:val="BulletDirectionsInstructions"/>
        <w:numPr>
          <w:ilvl w:val="1"/>
          <w:numId w:val="58"/>
        </w:numPr>
        <w:ind w:left="1080"/>
      </w:pPr>
      <w:r w:rsidRPr="00D05FAD">
        <w:t>Administer standard weight-based dosing of RH on Tuesday, Thursday, Saturday, Sunday</w:t>
      </w:r>
      <w:r w:rsidR="00D05FAD">
        <w:t>.</w:t>
      </w:r>
      <w:r w:rsidRPr="00D05FAD">
        <w:t> </w:t>
      </w:r>
    </w:p>
    <w:p w14:paraId="351B8D84" w14:textId="77777777" w:rsidR="00E86828" w:rsidRPr="00D05FAD" w:rsidRDefault="00E86828" w:rsidP="00D05FAD">
      <w:pPr>
        <w:pStyle w:val="Heading6"/>
        <w:shd w:val="clear" w:color="auto" w:fill="FFFFFF"/>
        <w:spacing w:before="0"/>
        <w:ind w:left="283" w:firstLine="284"/>
        <w:rPr>
          <w:rFonts w:cs="Arial"/>
          <w:color w:val="222222"/>
        </w:rPr>
      </w:pPr>
      <w:r w:rsidRPr="00D05FAD">
        <w:rPr>
          <w:rFonts w:cs="Arial"/>
          <w:color w:val="222222"/>
        </w:rPr>
        <w:t>AND</w:t>
      </w:r>
    </w:p>
    <w:p w14:paraId="7D10D3E5" w14:textId="5A26A5C4" w:rsidR="00E86828" w:rsidRPr="00D05FAD" w:rsidRDefault="00E86828" w:rsidP="008542CC">
      <w:pPr>
        <w:pStyle w:val="BulletDirectionsInstructions"/>
        <w:numPr>
          <w:ilvl w:val="0"/>
          <w:numId w:val="58"/>
        </w:numPr>
      </w:pPr>
      <w:r w:rsidRPr="00D05FAD">
        <w:rPr>
          <w:rFonts w:cs="Arial"/>
          <w:color w:val="222222"/>
        </w:rPr>
        <w:t>Administer standard weight-based dosing with RHZE on Monday, Wednesday</w:t>
      </w:r>
      <w:r w:rsidRPr="00D05FAD">
        <w:t>, Friday</w:t>
      </w:r>
      <w:r w:rsidR="00D05FAD">
        <w:t>.</w:t>
      </w:r>
    </w:p>
    <w:p w14:paraId="099DFB52" w14:textId="77777777" w:rsidR="00E86828" w:rsidRPr="00D05FAD" w:rsidRDefault="00E86828" w:rsidP="00D05FAD">
      <w:pPr>
        <w:shd w:val="clear" w:color="auto" w:fill="FFFFFF"/>
        <w:spacing w:before="0" w:after="0"/>
        <w:rPr>
          <w:rFonts w:cs="Arial"/>
          <w:b/>
          <w:bCs/>
          <w:color w:val="222222"/>
        </w:rPr>
      </w:pPr>
    </w:p>
    <w:tbl>
      <w:tblPr>
        <w:tblpPr w:leftFromText="180" w:rightFromText="180" w:vertAnchor="text" w:horzAnchor="margin" w:tblpXSpec="right" w:tblpY="13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E01A78" w:rsidRPr="001F4BAA" w14:paraId="0A1F2226" w14:textId="77777777" w:rsidTr="00E01A78">
        <w:tc>
          <w:tcPr>
            <w:tcW w:w="907" w:type="dxa"/>
            <w:shd w:val="clear" w:color="auto" w:fill="FFFFFF" w:themeFill="background1"/>
          </w:tcPr>
          <w:p w14:paraId="619E1F2E" w14:textId="77777777" w:rsidR="00E01A78" w:rsidRPr="001F4BAA" w:rsidRDefault="00E01A78" w:rsidP="00E01A78">
            <w:pPr>
              <w:pStyle w:val="LoEText"/>
              <w:framePr w:hSpace="0" w:wrap="auto" w:vAnchor="margin" w:hAnchor="text" w:xAlign="left" w:yAlign="inline"/>
              <w:suppressOverlap w:val="0"/>
            </w:pPr>
            <w:r w:rsidRPr="001F4BAA">
              <w:t>LoE:I</w:t>
            </w:r>
            <w:r>
              <w:t>Vb</w:t>
            </w:r>
          </w:p>
        </w:tc>
      </w:tr>
    </w:tbl>
    <w:p w14:paraId="0CBF2779" w14:textId="77777777" w:rsidR="00E86828" w:rsidRPr="00D05FAD" w:rsidRDefault="00E86828" w:rsidP="00D05FAD">
      <w:pPr>
        <w:shd w:val="clear" w:color="auto" w:fill="FFFFFF"/>
        <w:spacing w:before="0" w:after="0"/>
        <w:ind w:firstLine="284"/>
        <w:rPr>
          <w:rFonts w:cs="Arial"/>
          <w:color w:val="222222"/>
          <w:u w:val="single"/>
        </w:rPr>
      </w:pPr>
      <w:r w:rsidRPr="00D05FAD">
        <w:rPr>
          <w:rFonts w:cs="Arial"/>
          <w:bCs/>
          <w:color w:val="222222"/>
          <w:u w:val="single"/>
        </w:rPr>
        <w:t>Continuation phase of treatment:</w:t>
      </w:r>
      <w:r w:rsidRPr="00D05FAD">
        <w:rPr>
          <w:rFonts w:cs="Arial"/>
          <w:color w:val="222222"/>
          <w:u w:val="single"/>
        </w:rPr>
        <w:t> </w:t>
      </w:r>
    </w:p>
    <w:p w14:paraId="1C5A06A8" w14:textId="77777777" w:rsidR="00E86828" w:rsidRPr="00D05FAD" w:rsidRDefault="00E86828" w:rsidP="008542CC">
      <w:pPr>
        <w:pStyle w:val="ListParagraph"/>
        <w:numPr>
          <w:ilvl w:val="0"/>
          <w:numId w:val="57"/>
        </w:numPr>
        <w:shd w:val="clear" w:color="auto" w:fill="FFFFFF"/>
        <w:rPr>
          <w:rFonts w:cs="Arial"/>
          <w:color w:val="222222"/>
        </w:rPr>
      </w:pPr>
      <w:r w:rsidRPr="00D05FAD">
        <w:rPr>
          <w:rFonts w:cs="Arial"/>
          <w:color w:val="222222"/>
        </w:rPr>
        <w:t xml:space="preserve">Rifampicin and isoniazid </w:t>
      </w:r>
    </w:p>
    <w:p w14:paraId="35820803" w14:textId="44BE0943" w:rsidR="00E86828" w:rsidRPr="00D05FAD" w:rsidRDefault="00E86828" w:rsidP="008542CC">
      <w:pPr>
        <w:pStyle w:val="BulletDirectionsInstructions"/>
        <w:numPr>
          <w:ilvl w:val="0"/>
          <w:numId w:val="58"/>
        </w:numPr>
        <w:rPr>
          <w:rFonts w:cs="Arial"/>
          <w:color w:val="222222"/>
        </w:rPr>
      </w:pPr>
      <w:r w:rsidRPr="00D05FAD">
        <w:rPr>
          <w:rFonts w:cs="Arial"/>
          <w:color w:val="222222"/>
        </w:rPr>
        <w:t>Do not require dose adjustment. Continue daily weight-based dosing of RH.</w:t>
      </w:r>
    </w:p>
    <w:p w14:paraId="66BCA5A1" w14:textId="42556AD9" w:rsidR="008E7E44" w:rsidRPr="00BD302A" w:rsidRDefault="008E7E44" w:rsidP="00BD302A">
      <w:pPr>
        <w:spacing w:before="0" w:after="0"/>
        <w:rPr>
          <w:rFonts w:eastAsia="Calibri" w:cs="Times New Roman"/>
          <w:lang w:val="en-ZA"/>
        </w:rPr>
      </w:pPr>
    </w:p>
    <w:p w14:paraId="43CB7714" w14:textId="77777777" w:rsidR="00FF01A9" w:rsidRPr="001F4BAA" w:rsidRDefault="00FF01A9" w:rsidP="00E01A78">
      <w:pPr>
        <w:pStyle w:val="Heading6"/>
        <w:spacing w:before="0"/>
      </w:pPr>
      <w:r w:rsidRPr="001F4BAA">
        <w:t>Adverse effects of TB medicines include:</w:t>
      </w:r>
    </w:p>
    <w:p w14:paraId="6FA414DA" w14:textId="59FC0115" w:rsidR="00FF01A9" w:rsidRPr="001F4BAA" w:rsidRDefault="00FF01A9" w:rsidP="003937E2">
      <w:pPr>
        <w:pStyle w:val="ListParagraph"/>
      </w:pPr>
      <w:r w:rsidRPr="001F4BAA">
        <w:t>Nausea</w:t>
      </w:r>
      <w:r w:rsidR="00CC11C6">
        <w:t>:</w:t>
      </w:r>
    </w:p>
    <w:p w14:paraId="04C0E031" w14:textId="77777777" w:rsidR="00FF01A9" w:rsidRPr="001F4BAA" w:rsidRDefault="00FF01A9" w:rsidP="003937E2">
      <w:pPr>
        <w:pStyle w:val="ListParagraph"/>
        <w:numPr>
          <w:ilvl w:val="1"/>
          <w:numId w:val="4"/>
        </w:numPr>
      </w:pPr>
      <w:r w:rsidRPr="001F4BAA">
        <w:t>Taking medicines with meals can minimise nausea.</w:t>
      </w:r>
    </w:p>
    <w:p w14:paraId="766567FA" w14:textId="247D7B03" w:rsidR="00FF01A9" w:rsidRPr="001F4BAA" w:rsidRDefault="00FF01A9" w:rsidP="00BD302A">
      <w:pPr>
        <w:pStyle w:val="ListParagraph"/>
        <w:numPr>
          <w:ilvl w:val="1"/>
          <w:numId w:val="4"/>
        </w:numPr>
      </w:pPr>
      <w:r w:rsidRPr="001F4BAA">
        <w:t>Hepatitis must be excluded, if there is new onset nausea. Request serum alanine aminotransferase test urgently in these patients.</w:t>
      </w:r>
    </w:p>
    <w:p w14:paraId="2B52DA28" w14:textId="6222C9BB" w:rsidR="00FF01A9" w:rsidRPr="001F4BAA" w:rsidRDefault="00FF01A9" w:rsidP="003937E2">
      <w:pPr>
        <w:pStyle w:val="ListParagraph"/>
      </w:pPr>
      <w:r w:rsidRPr="001F4BAA">
        <w:t>Hepatitis (drug induced liver injury)</w:t>
      </w:r>
      <w:r w:rsidR="00CC11C6">
        <w:t>:</w:t>
      </w:r>
    </w:p>
    <w:p w14:paraId="2487FF95" w14:textId="77777777" w:rsidR="00FF01A9" w:rsidRPr="001F4BAA" w:rsidRDefault="00FF01A9" w:rsidP="00C31D0B">
      <w:pPr>
        <w:pStyle w:val="ListParagraph"/>
        <w:numPr>
          <w:ilvl w:val="1"/>
          <w:numId w:val="4"/>
        </w:numPr>
      </w:pPr>
      <w:r w:rsidRPr="001F4BAA">
        <w:t>Rifampicin, isoniazid and pyrazinamide may cause hepatitis. Cotrimoxazole and antiretrovirals (efavirenz, nevirapine, lopinavir + ritonavir) can also cause hepatitis.</w:t>
      </w:r>
    </w:p>
    <w:p w14:paraId="1064C2CF" w14:textId="77777777" w:rsidR="00FF01A9" w:rsidRPr="001F4BAA" w:rsidRDefault="00FF01A9" w:rsidP="00C31D0B">
      <w:pPr>
        <w:pStyle w:val="ListParagraph"/>
        <w:numPr>
          <w:ilvl w:val="1"/>
          <w:numId w:val="4"/>
        </w:numPr>
      </w:pPr>
      <w:r w:rsidRPr="001F4BAA">
        <w:t>Patient may present with jaundice and/or complaining of hepatitis symptoms (e.g. nausea, malaise, abdominal pain).</w:t>
      </w:r>
    </w:p>
    <w:p w14:paraId="04924436" w14:textId="64B0FC42" w:rsidR="00FF01A9" w:rsidRPr="001F4BAA" w:rsidRDefault="00FF01A9" w:rsidP="00C31D0B">
      <w:pPr>
        <w:pStyle w:val="ListParagraph"/>
        <w:numPr>
          <w:ilvl w:val="1"/>
          <w:numId w:val="4"/>
        </w:numPr>
      </w:pPr>
      <w:r w:rsidRPr="001F4BAA">
        <w:t>Refer to hospital for urgent (same day) ALT and further management</w:t>
      </w:r>
      <w:r w:rsidR="00EC087A">
        <w:t>.</w:t>
      </w:r>
    </w:p>
    <w:p w14:paraId="7A4F8A41" w14:textId="2B9E2050" w:rsidR="00FF01A9" w:rsidRPr="001F4BAA" w:rsidRDefault="00FF01A9" w:rsidP="00C31D0B">
      <w:pPr>
        <w:pStyle w:val="ListParagraph"/>
        <w:numPr>
          <w:ilvl w:val="1"/>
          <w:numId w:val="4"/>
        </w:numPr>
      </w:pPr>
      <w:r w:rsidRPr="001F4BAA">
        <w:t>If jaundiced, stop TB treatment and medicines known to cause hepatitis before referring. See Section: 11.1</w:t>
      </w:r>
      <w:r w:rsidR="00EC087A">
        <w:t>:</w:t>
      </w:r>
      <w:r w:rsidRPr="001F4BAA">
        <w:t xml:space="preserve"> Antiretroviral therapy, adults</w:t>
      </w:r>
      <w:r w:rsidR="00E03EDB">
        <w:t xml:space="preserve"> and adolescents</w:t>
      </w:r>
      <w:r w:rsidR="00FC5756">
        <w:t xml:space="preserve"> (Rifampicin-based TB treatment)</w:t>
      </w:r>
      <w:r w:rsidRPr="001F4BAA">
        <w:t>.</w:t>
      </w:r>
    </w:p>
    <w:p w14:paraId="5877DA1F" w14:textId="361BEC84" w:rsidR="00FF01A9" w:rsidRPr="001F4BAA" w:rsidRDefault="00FF01A9" w:rsidP="003937E2">
      <w:pPr>
        <w:pStyle w:val="ListParagraph"/>
      </w:pPr>
      <w:r w:rsidRPr="001F4BAA">
        <w:t>New onset skin rash</w:t>
      </w:r>
      <w:r w:rsidR="00CC11C6">
        <w:t>:</w:t>
      </w:r>
    </w:p>
    <w:p w14:paraId="08F7B081" w14:textId="77777777" w:rsidR="00FF01A9" w:rsidRPr="001F4BAA" w:rsidRDefault="00FF01A9" w:rsidP="00C31D0B">
      <w:pPr>
        <w:pStyle w:val="ListParagraph"/>
        <w:numPr>
          <w:ilvl w:val="1"/>
          <w:numId w:val="4"/>
        </w:numPr>
      </w:pPr>
      <w:r w:rsidRPr="001F4BAA">
        <w:t>Refer if suspected drug rash.</w:t>
      </w:r>
    </w:p>
    <w:p w14:paraId="213B0527" w14:textId="684D449D" w:rsidR="00FF01A9" w:rsidRPr="001F4BAA" w:rsidRDefault="00FF01A9" w:rsidP="003937E2">
      <w:pPr>
        <w:pStyle w:val="ListParagraph"/>
      </w:pPr>
      <w:r w:rsidRPr="001F4BAA">
        <w:t>Neuropathy</w:t>
      </w:r>
      <w:r w:rsidR="00CC11C6">
        <w:t>:</w:t>
      </w:r>
    </w:p>
    <w:p w14:paraId="70417D29" w14:textId="77777777" w:rsidR="00FF01A9" w:rsidRPr="001F4BAA" w:rsidRDefault="00FF01A9" w:rsidP="00C31D0B">
      <w:pPr>
        <w:pStyle w:val="ListParagraph"/>
        <w:numPr>
          <w:ilvl w:val="1"/>
          <w:numId w:val="4"/>
        </w:numPr>
      </w:pPr>
      <w:r w:rsidRPr="001F4BAA">
        <w:t>Can be prevented by taking pyridoxine.</w:t>
      </w:r>
    </w:p>
    <w:p w14:paraId="1B6B7F7D" w14:textId="774E31DE" w:rsidR="00FF01A9" w:rsidRPr="001F4BAA" w:rsidRDefault="00FF01A9" w:rsidP="003937E2">
      <w:pPr>
        <w:pStyle w:val="ListParagraph"/>
      </w:pPr>
      <w:r w:rsidRPr="001F4BAA">
        <w:t>Arthralgia</w:t>
      </w:r>
      <w:r w:rsidR="00CC11C6">
        <w:t>:</w:t>
      </w:r>
    </w:p>
    <w:p w14:paraId="06069FFA" w14:textId="77777777" w:rsidR="00FF01A9" w:rsidRPr="001F4BAA" w:rsidRDefault="00FF01A9" w:rsidP="00C31D0B">
      <w:pPr>
        <w:pStyle w:val="ListParagraph"/>
        <w:numPr>
          <w:ilvl w:val="1"/>
          <w:numId w:val="4"/>
        </w:numPr>
      </w:pPr>
      <w:r w:rsidRPr="001F4BAA">
        <w:t>Exclude gout, and treat symptomatically.</w:t>
      </w:r>
    </w:p>
    <w:p w14:paraId="4733EAD3" w14:textId="77777777" w:rsidR="00FF01A9" w:rsidRPr="001F4BAA" w:rsidRDefault="00FF01A9" w:rsidP="00FF01A9">
      <w:pPr>
        <w:pStyle w:val="NoSpacing"/>
      </w:pPr>
    </w:p>
    <w:p w14:paraId="646B5327" w14:textId="4CE61CB0" w:rsidR="00FF01A9" w:rsidRPr="00BA1E41" w:rsidRDefault="007C2B34" w:rsidP="00BA1E41">
      <w:pPr>
        <w:pStyle w:val="Heading4"/>
      </w:pPr>
      <w:bookmarkStart w:id="93" w:name="_Toc177054041"/>
      <w:r w:rsidRPr="00BA1E41">
        <w:lastRenderedPageBreak/>
        <w:t>T</w:t>
      </w:r>
      <w:r w:rsidR="00BA1E41" w:rsidRPr="00BA1E41">
        <w:t>B</w:t>
      </w:r>
      <w:r w:rsidRPr="00BA1E41">
        <w:t xml:space="preserve"> chemoprophylaxis</w:t>
      </w:r>
      <w:r w:rsidR="00FF01A9" w:rsidRPr="00BA1E41">
        <w:t>/</w:t>
      </w:r>
      <w:r w:rsidRPr="00BA1E41">
        <w:t>isoniazid preventive therapy (</w:t>
      </w:r>
      <w:r w:rsidR="00BA1E41" w:rsidRPr="00BA1E41">
        <w:t>IPT</w:t>
      </w:r>
      <w:r w:rsidRPr="00BA1E41">
        <w:t>) in adults</w:t>
      </w:r>
      <w:bookmarkEnd w:id="93"/>
      <w:r w:rsidR="001132AD">
        <w:fldChar w:fldCharType="begin"/>
      </w:r>
      <w:r w:rsidR="001132AD">
        <w:instrText xml:space="preserve"> XE "</w:instrText>
      </w:r>
      <w:r w:rsidR="001132AD" w:rsidRPr="004A0AEB">
        <w:instrText>TB chemoprophylaxis/isoniazid preventive therapy (IPT) in adults</w:instrText>
      </w:r>
      <w:r w:rsidR="001132AD">
        <w:instrText xml:space="preserve">" </w:instrText>
      </w:r>
      <w:r w:rsidR="001132AD" w:rsidRPr="001132AD">
        <w:instrText xml:space="preserve">\f “c” </w:instrText>
      </w:r>
      <w:r w:rsidR="001132AD">
        <w:fldChar w:fldCharType="end"/>
      </w:r>
    </w:p>
    <w:p w14:paraId="0461E766" w14:textId="4F1E6483" w:rsidR="00FF01A9" w:rsidRPr="001F4BAA" w:rsidRDefault="00FF01A9" w:rsidP="00FF01A9">
      <w:pPr>
        <w:pStyle w:val="NoSpacing"/>
      </w:pPr>
      <w:r w:rsidRPr="001F4BAA">
        <w:t xml:space="preserve">See Section 11.2.2: </w:t>
      </w:r>
      <w:r w:rsidR="00A661DC">
        <w:t xml:space="preserve">Tuberculosis </w:t>
      </w:r>
      <w:r w:rsidRPr="001F4BAA">
        <w:t>preventive therapy</w:t>
      </w:r>
      <w:r w:rsidR="00B47F48">
        <w:t xml:space="preserve"> (TPT)</w:t>
      </w:r>
      <w:r w:rsidRPr="001F4BAA">
        <w:t>.</w:t>
      </w:r>
    </w:p>
    <w:p w14:paraId="3AF6DA92" w14:textId="77777777" w:rsidR="00FF01A9" w:rsidRPr="001F4BAA" w:rsidRDefault="00FF01A9" w:rsidP="00FF01A9">
      <w:pPr>
        <w:pStyle w:val="NoSpacing"/>
      </w:pPr>
    </w:p>
    <w:p w14:paraId="4B822F92" w14:textId="624BB594" w:rsidR="00FF01A9" w:rsidRPr="00E90935" w:rsidRDefault="00BA1E41" w:rsidP="00E90935">
      <w:pPr>
        <w:pStyle w:val="Heading4"/>
      </w:pPr>
      <w:bookmarkStart w:id="94" w:name="_Toc177054042"/>
      <w:r w:rsidRPr="00E90935">
        <w:t>TB control programme</w:t>
      </w:r>
      <w:r w:rsidR="00FF01A9" w:rsidRPr="00E90935">
        <w:t xml:space="preserve">: </w:t>
      </w:r>
      <w:r w:rsidRPr="00E90935">
        <w:t>medicine</w:t>
      </w:r>
      <w:r w:rsidR="00FF01A9" w:rsidRPr="00E90935">
        <w:t xml:space="preserve"> </w:t>
      </w:r>
      <w:r w:rsidRPr="00E90935">
        <w:t>regimens</w:t>
      </w:r>
      <w:r w:rsidR="00FF01A9" w:rsidRPr="00E90935">
        <w:t xml:space="preserve"> </w:t>
      </w:r>
      <w:r w:rsidRPr="00E90935">
        <w:t>in adults</w:t>
      </w:r>
      <w:bookmarkEnd w:id="94"/>
      <w:r w:rsidR="001132AD">
        <w:fldChar w:fldCharType="begin"/>
      </w:r>
      <w:r w:rsidR="001132AD">
        <w:instrText xml:space="preserve"> XE "</w:instrText>
      </w:r>
      <w:r w:rsidR="001132AD" w:rsidRPr="004A0AEB">
        <w:instrText>TB control programme\: medicine regimens in adults</w:instrText>
      </w:r>
      <w:r w:rsidR="001132AD">
        <w:instrText xml:space="preserve">" </w:instrText>
      </w:r>
      <w:r w:rsidR="001132AD" w:rsidRPr="001132AD">
        <w:instrText xml:space="preserve">\f “c” </w:instrText>
      </w:r>
      <w:r w:rsidR="001132AD">
        <w:fldChar w:fldCharType="end"/>
      </w:r>
    </w:p>
    <w:p w14:paraId="5C67CE2D" w14:textId="70E57743" w:rsidR="00FF01A9" w:rsidRPr="001F4BAA" w:rsidRDefault="00FF01A9" w:rsidP="002344FD">
      <w:pPr>
        <w:pStyle w:val="ICD10"/>
        <w:shd w:val="clear" w:color="auto" w:fill="F2F2F2" w:themeFill="background1" w:themeFillShade="F2"/>
        <w:tabs>
          <w:tab w:val="left" w:pos="2753"/>
        </w:tabs>
      </w:pPr>
      <w:r w:rsidRPr="001F4BAA">
        <w:t>A15.0-3/A15.7-8/A16.0-2/</w:t>
      </w:r>
      <w:r w:rsidR="00F55869" w:rsidRPr="00F55869">
        <w:t xml:space="preserve"> </w:t>
      </w:r>
      <w:r w:rsidR="00F55869">
        <w:t>A16.4/</w:t>
      </w:r>
      <w:r w:rsidRPr="001F4BAA">
        <w:t>A16.7-8</w:t>
      </w:r>
      <w:r w:rsidR="0081219A">
        <w:t xml:space="preserve"> + (</w:t>
      </w:r>
      <w:r w:rsidR="0081219A" w:rsidRPr="001F4BAA">
        <w:t>B20.0</w:t>
      </w:r>
      <w:r w:rsidR="0081219A">
        <w:t>)</w:t>
      </w:r>
    </w:p>
    <w:p w14:paraId="3F4CF719" w14:textId="3573FC29" w:rsidR="00FF01A9" w:rsidRPr="001F4BAA" w:rsidRDefault="00FF01A9" w:rsidP="00672B64">
      <w:r w:rsidRPr="001F4BAA">
        <w:t>Treatment should be given once daily</w:t>
      </w:r>
      <w:r w:rsidR="000B34CA">
        <w:t>,</w:t>
      </w:r>
      <w:r w:rsidRPr="001F4BAA">
        <w:t xml:space="preserve"> </w:t>
      </w:r>
      <w:r w:rsidRPr="00672B64">
        <w:rPr>
          <w:rStyle w:val="Strong"/>
        </w:rPr>
        <w:t>seven days per week</w:t>
      </w:r>
      <w:r w:rsidR="000B34CA" w:rsidRPr="00821956">
        <w:rPr>
          <w:rStyle w:val="Strong"/>
          <w:b w:val="0"/>
          <w:bCs w:val="0"/>
        </w:rPr>
        <w:t>,</w:t>
      </w:r>
      <w:r w:rsidRPr="001F4BAA">
        <w:t xml:space="preserve"> in both the intensive and continuation phases.</w:t>
      </w:r>
    </w:p>
    <w:p w14:paraId="06B049CF" w14:textId="195FCCDF" w:rsidR="00FF01A9" w:rsidRPr="001F4BAA" w:rsidRDefault="00FF01A9" w:rsidP="00FF01A9">
      <w:pPr>
        <w:pStyle w:val="NoSpacing"/>
      </w:pPr>
      <w:r w:rsidRPr="001F4BAA">
        <w:t>R – Rifampicin</w:t>
      </w:r>
      <w:r w:rsidR="00DE7455">
        <w:fldChar w:fldCharType="begin"/>
      </w:r>
      <w:r w:rsidR="00DE7455">
        <w:instrText xml:space="preserve"> XE “Rifampicin, oral” \f “m” \f “m”</w:instrText>
      </w:r>
      <w:r w:rsidR="00DE7455">
        <w:fldChar w:fldCharType="end"/>
      </w:r>
    </w:p>
    <w:p w14:paraId="340C47DE" w14:textId="505E78C1" w:rsidR="00FF01A9" w:rsidRPr="001F4BAA" w:rsidRDefault="00FF01A9" w:rsidP="00FF01A9">
      <w:pPr>
        <w:pStyle w:val="NoSpacing"/>
      </w:pPr>
      <w:r w:rsidRPr="001F4BAA">
        <w:t>H – Isoniazid</w:t>
      </w:r>
      <w:r w:rsidR="00DE7455">
        <w:fldChar w:fldCharType="begin"/>
      </w:r>
      <w:r w:rsidR="00DE7455">
        <w:instrText xml:space="preserve"> XE "</w:instrText>
      </w:r>
      <w:r w:rsidR="00DE7455" w:rsidRPr="004A0AEB">
        <w:instrText>Isoniazid</w:instrText>
      </w:r>
      <w:r w:rsidR="00DE7455">
        <w:instrText>, oral" \f “m”</w:instrText>
      </w:r>
      <w:r w:rsidR="00DE7455">
        <w:fldChar w:fldCharType="end"/>
      </w:r>
    </w:p>
    <w:p w14:paraId="562DD5EE" w14:textId="4063C901" w:rsidR="00FF01A9" w:rsidRPr="001F4BAA" w:rsidRDefault="00FF01A9" w:rsidP="00FF01A9">
      <w:pPr>
        <w:pStyle w:val="NoSpacing"/>
      </w:pPr>
      <w:r w:rsidRPr="001F4BAA">
        <w:t>Z or PZA</w:t>
      </w:r>
      <w:r w:rsidR="00DE7455">
        <w:fldChar w:fldCharType="begin"/>
      </w:r>
      <w:r w:rsidR="00DE7455">
        <w:instrText xml:space="preserve"> XE “Pyrazinamide, oral” \F “M”" </w:instrText>
      </w:r>
      <w:r w:rsidR="00DE7455">
        <w:fldChar w:fldCharType="end"/>
      </w:r>
      <w:r w:rsidRPr="001F4BAA">
        <w:t>– Pyrazinamide</w:t>
      </w:r>
      <w:r w:rsidR="00DE7455">
        <w:fldChar w:fldCharType="begin"/>
      </w:r>
      <w:r w:rsidR="00DE7455">
        <w:instrText xml:space="preserve"> XE "</w:instrText>
      </w:r>
      <w:r w:rsidR="00DE7455" w:rsidRPr="004A0AEB">
        <w:instrText>Pyrazinamide</w:instrText>
      </w:r>
      <w:r w:rsidR="00DE7455">
        <w:instrText>, oral" \f “m”</w:instrText>
      </w:r>
      <w:r w:rsidR="00DE7455">
        <w:fldChar w:fldCharType="end"/>
      </w:r>
    </w:p>
    <w:p w14:paraId="3774F3D6" w14:textId="392F24E2" w:rsidR="00FF01A9" w:rsidRPr="001F4BAA" w:rsidRDefault="00FF01A9" w:rsidP="00FF01A9">
      <w:pPr>
        <w:pStyle w:val="NoSpacing"/>
      </w:pPr>
      <w:r w:rsidRPr="001F4BAA">
        <w:t>E or EMB</w:t>
      </w:r>
      <w:r w:rsidR="00DE7455">
        <w:fldChar w:fldCharType="begin"/>
      </w:r>
      <w:r w:rsidR="00DE7455">
        <w:instrText xml:space="preserve"> XE “Ethambutol, oral” \F “M” </w:instrText>
      </w:r>
      <w:r w:rsidR="00DE7455">
        <w:fldChar w:fldCharType="end"/>
      </w:r>
      <w:r w:rsidRPr="001F4BAA">
        <w:t xml:space="preserve"> – Ethambutol</w:t>
      </w:r>
      <w:r w:rsidR="00DE7455">
        <w:fldChar w:fldCharType="begin"/>
      </w:r>
      <w:r w:rsidR="00DE7455">
        <w:instrText xml:space="preserve"> XE "</w:instrText>
      </w:r>
      <w:r w:rsidR="00DE7455" w:rsidRPr="004A0AEB">
        <w:instrText>Ethambutol</w:instrText>
      </w:r>
      <w:r w:rsidR="00DE7455">
        <w:instrText>, oral" \f “m”</w:instrText>
      </w:r>
      <w:r w:rsidR="00DE7455">
        <w:fldChar w:fldCharType="end"/>
      </w:r>
    </w:p>
    <w:tbl>
      <w:tblPr>
        <w:tblStyle w:val="SamplePHCTable"/>
        <w:tblW w:w="5000" w:type="pct"/>
        <w:tblLook w:val="04A0" w:firstRow="1" w:lastRow="0" w:firstColumn="1" w:lastColumn="0" w:noHBand="0" w:noVBand="1"/>
      </w:tblPr>
      <w:tblGrid>
        <w:gridCol w:w="1665"/>
        <w:gridCol w:w="1703"/>
        <w:gridCol w:w="1652"/>
        <w:gridCol w:w="1659"/>
      </w:tblGrid>
      <w:tr w:rsidR="00FF01A9" w:rsidRPr="001F4BAA" w14:paraId="53469ABB" w14:textId="77777777" w:rsidTr="00352DC0">
        <w:trPr>
          <w:cnfStyle w:val="100000000000" w:firstRow="1" w:lastRow="0" w:firstColumn="0" w:lastColumn="0" w:oddVBand="0" w:evenVBand="0" w:oddHBand="0" w:evenHBand="0" w:firstRowFirstColumn="0" w:firstRowLastColumn="0" w:lastRowFirstColumn="0" w:lastRowLastColumn="0"/>
        </w:trPr>
        <w:tc>
          <w:tcPr>
            <w:tcW w:w="1246" w:type="pct"/>
            <w:vMerge w:val="restart"/>
          </w:tcPr>
          <w:p w14:paraId="54B5AE1E" w14:textId="77777777" w:rsidR="00FF01A9" w:rsidRPr="001F4BAA" w:rsidRDefault="00FF01A9" w:rsidP="004A7096">
            <w:pPr>
              <w:pStyle w:val="NoSpacing"/>
            </w:pPr>
            <w:r w:rsidRPr="001F4BAA">
              <w:t>Pre-treatment body weight</w:t>
            </w:r>
          </w:p>
          <w:p w14:paraId="58E5A571" w14:textId="77777777" w:rsidR="00FF01A9" w:rsidRPr="00352DC0" w:rsidRDefault="00FF01A9" w:rsidP="004A7096">
            <w:pPr>
              <w:pStyle w:val="NoSpacing"/>
              <w:rPr>
                <w:b w:val="0"/>
                <w:bCs/>
              </w:rPr>
            </w:pPr>
            <w:r w:rsidRPr="00352DC0">
              <w:rPr>
                <w:b w:val="0"/>
                <w:bCs/>
              </w:rPr>
              <w:t>kg</w:t>
            </w:r>
          </w:p>
        </w:tc>
        <w:tc>
          <w:tcPr>
            <w:tcW w:w="1275" w:type="pct"/>
          </w:tcPr>
          <w:p w14:paraId="7D08B325" w14:textId="77777777" w:rsidR="00FF01A9" w:rsidRPr="001F4BAA" w:rsidRDefault="00FF01A9" w:rsidP="004A7096">
            <w:pPr>
              <w:pStyle w:val="NoSpacing"/>
            </w:pPr>
            <w:r w:rsidRPr="001F4BAA">
              <w:t>Two months initial phase</w:t>
            </w:r>
          </w:p>
        </w:tc>
        <w:tc>
          <w:tcPr>
            <w:tcW w:w="2479" w:type="pct"/>
            <w:gridSpan w:val="2"/>
          </w:tcPr>
          <w:p w14:paraId="51CD7D23" w14:textId="77777777" w:rsidR="00FF01A9" w:rsidRPr="001F4BAA" w:rsidRDefault="00FF01A9" w:rsidP="004A7096">
            <w:pPr>
              <w:pStyle w:val="NoSpacing"/>
            </w:pPr>
            <w:r w:rsidRPr="001F4BAA">
              <w:t>Four months continuation phase</w:t>
            </w:r>
          </w:p>
        </w:tc>
      </w:tr>
      <w:tr w:rsidR="00FF01A9" w:rsidRPr="001F4BAA" w14:paraId="18FB432A" w14:textId="77777777" w:rsidTr="00352DC0">
        <w:tc>
          <w:tcPr>
            <w:tcW w:w="1246" w:type="pct"/>
            <w:vMerge/>
          </w:tcPr>
          <w:p w14:paraId="56AACACE" w14:textId="77777777" w:rsidR="00FF01A9" w:rsidRPr="001F4BAA" w:rsidRDefault="00FF01A9" w:rsidP="004A7096">
            <w:pPr>
              <w:pStyle w:val="NoSpacing"/>
            </w:pPr>
          </w:p>
        </w:tc>
        <w:tc>
          <w:tcPr>
            <w:tcW w:w="1275" w:type="pct"/>
            <w:shd w:val="clear" w:color="auto" w:fill="D9D9D9" w:themeFill="background1" w:themeFillShade="D9"/>
          </w:tcPr>
          <w:p w14:paraId="713316A0" w14:textId="3BB93CEA" w:rsidR="00FF01A9" w:rsidRPr="001F4BAA" w:rsidRDefault="00FF01A9" w:rsidP="004A7096">
            <w:pPr>
              <w:pStyle w:val="NoSpacing"/>
            </w:pPr>
            <w:r w:rsidRPr="001F4BAA">
              <w:t>RHZE</w:t>
            </w:r>
            <w:r w:rsidR="00DE7455">
              <w:fldChar w:fldCharType="begin"/>
            </w:r>
            <w:r w:rsidR="00DE7455">
              <w:instrText xml:space="preserve"> XE “Rifampicin/isoniazid/pyrazinamide/ethambutol” \F “M” </w:instrText>
            </w:r>
            <w:r w:rsidR="00DE7455">
              <w:fldChar w:fldCharType="end"/>
            </w:r>
          </w:p>
          <w:p w14:paraId="4FF7F781" w14:textId="77777777" w:rsidR="00FF01A9" w:rsidRPr="001F4BAA" w:rsidRDefault="00FF01A9" w:rsidP="004A7096">
            <w:pPr>
              <w:pStyle w:val="NoSpacing"/>
            </w:pPr>
            <w:r w:rsidRPr="001F4BAA">
              <w:t>(150/75/400/275)</w:t>
            </w:r>
          </w:p>
        </w:tc>
        <w:tc>
          <w:tcPr>
            <w:tcW w:w="1237" w:type="pct"/>
            <w:shd w:val="clear" w:color="auto" w:fill="D9D9D9" w:themeFill="background1" w:themeFillShade="D9"/>
          </w:tcPr>
          <w:p w14:paraId="2BA254B3" w14:textId="77777777" w:rsidR="00BD302A" w:rsidRDefault="00FF01A9" w:rsidP="004A7096">
            <w:pPr>
              <w:pStyle w:val="NoSpacing"/>
            </w:pPr>
            <w:r w:rsidRPr="001F4BAA">
              <w:t>RH</w:t>
            </w:r>
          </w:p>
          <w:p w14:paraId="76DEE19B" w14:textId="22A305CE" w:rsidR="00FF01A9" w:rsidRPr="001F4BAA" w:rsidRDefault="00BD302A" w:rsidP="004A7096">
            <w:pPr>
              <w:pStyle w:val="NoSpacing"/>
            </w:pPr>
            <w:r>
              <w:rPr>
                <w:rFonts w:eastAsia="Calibri" w:cs="Times New Roman"/>
              </w:rPr>
              <w:t>(150/75)</w:t>
            </w:r>
            <w:r w:rsidR="00DE7455">
              <w:fldChar w:fldCharType="begin"/>
            </w:r>
            <w:r w:rsidR="00DE7455">
              <w:instrText xml:space="preserve"> XE “Rifampicin/isoniazid” \F “M” </w:instrText>
            </w:r>
            <w:r w:rsidR="00DE7455">
              <w:fldChar w:fldCharType="end"/>
            </w:r>
          </w:p>
        </w:tc>
        <w:tc>
          <w:tcPr>
            <w:tcW w:w="1243" w:type="pct"/>
            <w:shd w:val="clear" w:color="auto" w:fill="D9D9D9" w:themeFill="background1" w:themeFillShade="D9"/>
          </w:tcPr>
          <w:p w14:paraId="5F81FE07" w14:textId="7FA2F3FA" w:rsidR="00FF01A9" w:rsidRPr="001F4BAA" w:rsidRDefault="00FF01A9" w:rsidP="004A7096">
            <w:pPr>
              <w:pStyle w:val="NoSpacing"/>
            </w:pPr>
            <w:r w:rsidRPr="001F4BAA">
              <w:t>RH</w:t>
            </w:r>
            <w:r w:rsidR="00DE7455">
              <w:fldChar w:fldCharType="begin"/>
            </w:r>
            <w:r w:rsidR="00DE7455">
              <w:instrText xml:space="preserve"> XE “Rifampicin/isoniazid” \F “M” </w:instrText>
            </w:r>
            <w:r w:rsidR="00DE7455">
              <w:fldChar w:fldCharType="end"/>
            </w:r>
            <w:r w:rsidRPr="001F4BAA">
              <w:br/>
              <w:t>(300/150)</w:t>
            </w:r>
          </w:p>
        </w:tc>
      </w:tr>
      <w:tr w:rsidR="00FF01A9" w:rsidRPr="001F4BAA" w14:paraId="66CDE12E" w14:textId="77777777" w:rsidTr="00352DC0">
        <w:tc>
          <w:tcPr>
            <w:tcW w:w="1246" w:type="pct"/>
          </w:tcPr>
          <w:p w14:paraId="7A4C55F5" w14:textId="77777777" w:rsidR="00FF01A9" w:rsidRPr="001F4BAA" w:rsidRDefault="00FF01A9" w:rsidP="004A7096">
            <w:pPr>
              <w:pStyle w:val="NoSpacing"/>
            </w:pPr>
            <w:r w:rsidRPr="001F4BAA">
              <w:t>30–37 kg</w:t>
            </w:r>
          </w:p>
        </w:tc>
        <w:tc>
          <w:tcPr>
            <w:tcW w:w="1275" w:type="pct"/>
          </w:tcPr>
          <w:p w14:paraId="5D8A7E94" w14:textId="77777777" w:rsidR="00FF01A9" w:rsidRPr="001F4BAA" w:rsidRDefault="00FF01A9" w:rsidP="004A7096">
            <w:pPr>
              <w:pStyle w:val="NoSpacing"/>
            </w:pPr>
            <w:r w:rsidRPr="001F4BAA">
              <w:t>2 tablets</w:t>
            </w:r>
          </w:p>
        </w:tc>
        <w:tc>
          <w:tcPr>
            <w:tcW w:w="1237" w:type="pct"/>
          </w:tcPr>
          <w:p w14:paraId="2526E73B" w14:textId="77777777" w:rsidR="00FF01A9" w:rsidRPr="001F4BAA" w:rsidRDefault="00FF01A9" w:rsidP="004A7096">
            <w:pPr>
              <w:pStyle w:val="NoSpacing"/>
            </w:pPr>
            <w:r w:rsidRPr="001F4BAA">
              <w:t>2 tablets</w:t>
            </w:r>
          </w:p>
        </w:tc>
        <w:tc>
          <w:tcPr>
            <w:tcW w:w="1243" w:type="pct"/>
            <w:vMerge w:val="restart"/>
            <w:shd w:val="clear" w:color="auto" w:fill="BFBFBF" w:themeFill="background1" w:themeFillShade="BF"/>
          </w:tcPr>
          <w:p w14:paraId="608198C0" w14:textId="77777777" w:rsidR="00FF01A9" w:rsidRPr="001F4BAA" w:rsidRDefault="00FF01A9" w:rsidP="004A7096">
            <w:pPr>
              <w:pStyle w:val="NoSpacing"/>
            </w:pPr>
          </w:p>
        </w:tc>
      </w:tr>
      <w:tr w:rsidR="00FF01A9" w:rsidRPr="001F4BAA" w14:paraId="4A783BFD" w14:textId="77777777" w:rsidTr="00352DC0">
        <w:tc>
          <w:tcPr>
            <w:tcW w:w="1246" w:type="pct"/>
          </w:tcPr>
          <w:p w14:paraId="03447CFA" w14:textId="77777777" w:rsidR="00FF01A9" w:rsidRPr="001F4BAA" w:rsidRDefault="00FF01A9" w:rsidP="004A7096">
            <w:pPr>
              <w:pStyle w:val="NoSpacing"/>
            </w:pPr>
            <w:r w:rsidRPr="001F4BAA">
              <w:t>38–54 kg</w:t>
            </w:r>
          </w:p>
        </w:tc>
        <w:tc>
          <w:tcPr>
            <w:tcW w:w="1275" w:type="pct"/>
          </w:tcPr>
          <w:p w14:paraId="757B3F6F" w14:textId="77777777" w:rsidR="00FF01A9" w:rsidRPr="001F4BAA" w:rsidRDefault="00FF01A9" w:rsidP="004A7096">
            <w:pPr>
              <w:pStyle w:val="NoSpacing"/>
            </w:pPr>
            <w:r w:rsidRPr="001F4BAA">
              <w:t>3 tablets</w:t>
            </w:r>
          </w:p>
        </w:tc>
        <w:tc>
          <w:tcPr>
            <w:tcW w:w="1237" w:type="pct"/>
          </w:tcPr>
          <w:p w14:paraId="143D8382" w14:textId="77777777" w:rsidR="00FF01A9" w:rsidRPr="001F4BAA" w:rsidRDefault="00FF01A9" w:rsidP="004A7096">
            <w:pPr>
              <w:pStyle w:val="NoSpacing"/>
            </w:pPr>
            <w:r w:rsidRPr="001F4BAA">
              <w:t>3 tablets</w:t>
            </w:r>
          </w:p>
        </w:tc>
        <w:tc>
          <w:tcPr>
            <w:tcW w:w="1243" w:type="pct"/>
            <w:vMerge/>
            <w:shd w:val="clear" w:color="auto" w:fill="BFBFBF" w:themeFill="background1" w:themeFillShade="BF"/>
          </w:tcPr>
          <w:p w14:paraId="16EAD84A" w14:textId="77777777" w:rsidR="00FF01A9" w:rsidRPr="001F4BAA" w:rsidRDefault="00FF01A9" w:rsidP="004A7096">
            <w:pPr>
              <w:pStyle w:val="NoSpacing"/>
            </w:pPr>
          </w:p>
        </w:tc>
      </w:tr>
      <w:tr w:rsidR="00FF01A9" w:rsidRPr="001F4BAA" w14:paraId="0DB88958" w14:textId="77777777" w:rsidTr="00352DC0">
        <w:tc>
          <w:tcPr>
            <w:tcW w:w="1246" w:type="pct"/>
          </w:tcPr>
          <w:p w14:paraId="01A24017" w14:textId="77777777" w:rsidR="00FF01A9" w:rsidRPr="001F4BAA" w:rsidRDefault="00FF01A9" w:rsidP="004A7096">
            <w:pPr>
              <w:pStyle w:val="NoSpacing"/>
            </w:pPr>
            <w:r w:rsidRPr="001F4BAA">
              <w:t>55–70 kg</w:t>
            </w:r>
          </w:p>
        </w:tc>
        <w:tc>
          <w:tcPr>
            <w:tcW w:w="1275" w:type="pct"/>
          </w:tcPr>
          <w:p w14:paraId="48816A67" w14:textId="77777777" w:rsidR="00FF01A9" w:rsidRPr="001F4BAA" w:rsidRDefault="00FF01A9" w:rsidP="004A7096">
            <w:pPr>
              <w:pStyle w:val="NoSpacing"/>
            </w:pPr>
            <w:r w:rsidRPr="001F4BAA">
              <w:t>4 tablets</w:t>
            </w:r>
          </w:p>
        </w:tc>
        <w:tc>
          <w:tcPr>
            <w:tcW w:w="1237" w:type="pct"/>
            <w:vMerge w:val="restart"/>
            <w:shd w:val="clear" w:color="auto" w:fill="BFBFBF" w:themeFill="background1" w:themeFillShade="BF"/>
          </w:tcPr>
          <w:p w14:paraId="27DBC62A" w14:textId="77777777" w:rsidR="00FF01A9" w:rsidRPr="001F4BAA" w:rsidRDefault="00FF01A9" w:rsidP="004A7096">
            <w:pPr>
              <w:pStyle w:val="NoSpacing"/>
            </w:pPr>
          </w:p>
        </w:tc>
        <w:tc>
          <w:tcPr>
            <w:tcW w:w="1243" w:type="pct"/>
          </w:tcPr>
          <w:p w14:paraId="354E08E8" w14:textId="77777777" w:rsidR="00FF01A9" w:rsidRPr="001F4BAA" w:rsidRDefault="00FF01A9" w:rsidP="004A7096">
            <w:pPr>
              <w:pStyle w:val="NoSpacing"/>
            </w:pPr>
            <w:r w:rsidRPr="001F4BAA">
              <w:t>2 tablets</w:t>
            </w:r>
          </w:p>
        </w:tc>
      </w:tr>
      <w:tr w:rsidR="00FF01A9" w:rsidRPr="001F4BAA" w14:paraId="44EE20AE" w14:textId="77777777" w:rsidTr="00352DC0">
        <w:tc>
          <w:tcPr>
            <w:tcW w:w="1246" w:type="pct"/>
          </w:tcPr>
          <w:p w14:paraId="7B79BF5F" w14:textId="77777777" w:rsidR="00FF01A9" w:rsidRPr="001F4BAA" w:rsidRDefault="00FF01A9" w:rsidP="004A7096">
            <w:pPr>
              <w:pStyle w:val="NoSpacing"/>
            </w:pPr>
            <w:r w:rsidRPr="001F4BAA">
              <w:t>≥71kg</w:t>
            </w:r>
          </w:p>
        </w:tc>
        <w:tc>
          <w:tcPr>
            <w:tcW w:w="1275" w:type="pct"/>
          </w:tcPr>
          <w:p w14:paraId="08AF8784" w14:textId="77777777" w:rsidR="00FF01A9" w:rsidRPr="001F4BAA" w:rsidRDefault="00FF01A9" w:rsidP="004A7096">
            <w:pPr>
              <w:pStyle w:val="NoSpacing"/>
            </w:pPr>
            <w:r w:rsidRPr="001F4BAA">
              <w:t>5 tablets</w:t>
            </w:r>
          </w:p>
        </w:tc>
        <w:tc>
          <w:tcPr>
            <w:tcW w:w="1237" w:type="pct"/>
            <w:vMerge/>
            <w:shd w:val="clear" w:color="auto" w:fill="BFBFBF" w:themeFill="background1" w:themeFillShade="BF"/>
          </w:tcPr>
          <w:p w14:paraId="50EE8AED" w14:textId="77777777" w:rsidR="00FF01A9" w:rsidRPr="001F4BAA" w:rsidRDefault="00FF01A9" w:rsidP="004A7096">
            <w:pPr>
              <w:pStyle w:val="NoSpacing"/>
            </w:pPr>
          </w:p>
        </w:tc>
        <w:tc>
          <w:tcPr>
            <w:tcW w:w="1243" w:type="pct"/>
          </w:tcPr>
          <w:p w14:paraId="6A5473DF" w14:textId="77777777" w:rsidR="00FF01A9" w:rsidRPr="001F4BAA" w:rsidRDefault="00FF01A9" w:rsidP="004A7096">
            <w:pPr>
              <w:pStyle w:val="NoSpacing"/>
            </w:pPr>
            <w:r w:rsidRPr="001F4BAA">
              <w:t>2 tablets</w:t>
            </w:r>
          </w:p>
        </w:tc>
      </w:tr>
    </w:tbl>
    <w:p w14:paraId="7E6897E9" w14:textId="22993D52" w:rsidR="00FF01A9" w:rsidRPr="001F4BAA" w:rsidRDefault="0098216F" w:rsidP="000F072F">
      <w:pPr>
        <w:pStyle w:val="ListParagraph"/>
      </w:pPr>
      <w:r>
        <w:t xml:space="preserve">Adhere </w:t>
      </w:r>
      <w:r w:rsidR="00FF01A9" w:rsidRPr="001F4BAA">
        <w:t>to the correct dose and the duration of treatment.</w:t>
      </w:r>
    </w:p>
    <w:p w14:paraId="0D98CAA5" w14:textId="77777777" w:rsidR="00FF01A9" w:rsidRPr="001F4BAA" w:rsidRDefault="00FF01A9" w:rsidP="000F072F">
      <w:pPr>
        <w:pStyle w:val="ListParagraph"/>
      </w:pPr>
      <w:r w:rsidRPr="001F4BAA">
        <w:t>Weigh patient frequently and adjust the dose according to current weight.</w:t>
      </w:r>
    </w:p>
    <w:p w14:paraId="39A2DF4D" w14:textId="77777777" w:rsidR="00FF01A9" w:rsidRPr="001F4BAA" w:rsidRDefault="00FF01A9" w:rsidP="00FF01A9">
      <w:pPr>
        <w:pStyle w:val="NoSpacing"/>
      </w:pPr>
    </w:p>
    <w:p w14:paraId="385D7220" w14:textId="3818174A" w:rsidR="00FF01A9" w:rsidRPr="00F1736F" w:rsidRDefault="00E90935" w:rsidP="00F1736F">
      <w:pPr>
        <w:pStyle w:val="Heading3"/>
      </w:pPr>
      <w:bookmarkStart w:id="95" w:name="_Toc177054043"/>
      <w:r w:rsidRPr="00F1736F">
        <w:t>Pulmonary tuberculosis (TB) in children</w:t>
      </w:r>
      <w:bookmarkEnd w:id="95"/>
      <w:r w:rsidR="001132AD">
        <w:fldChar w:fldCharType="begin"/>
      </w:r>
      <w:r w:rsidR="001132AD">
        <w:instrText xml:space="preserve"> XE "</w:instrText>
      </w:r>
      <w:r w:rsidR="001132AD" w:rsidRPr="004A0AEB">
        <w:instrText>Pulmonary tuberculosis (TB) in children</w:instrText>
      </w:r>
      <w:r w:rsidR="001132AD">
        <w:instrText xml:space="preserve">" </w:instrText>
      </w:r>
      <w:r w:rsidR="001132AD" w:rsidRPr="001132AD">
        <w:instrText xml:space="preserve">\f “c” </w:instrText>
      </w:r>
      <w:r w:rsidR="001132AD">
        <w:fldChar w:fldCharType="end"/>
      </w:r>
      <w:r w:rsidRPr="00F1736F">
        <w:t xml:space="preserve"> </w:t>
      </w:r>
    </w:p>
    <w:p w14:paraId="73F017B4" w14:textId="2E1D3D60" w:rsidR="00FF01A9" w:rsidRPr="001F4BAA" w:rsidRDefault="00FF01A9" w:rsidP="002344FD">
      <w:pPr>
        <w:pStyle w:val="ICD10"/>
        <w:shd w:val="clear" w:color="auto" w:fill="F2F2F2" w:themeFill="background1" w:themeFillShade="F2"/>
        <w:tabs>
          <w:tab w:val="left" w:pos="2753"/>
        </w:tabs>
      </w:pPr>
      <w:r w:rsidRPr="001F4BAA">
        <w:t>A15.0-3/A15.7-8/A16.0-2/</w:t>
      </w:r>
      <w:r w:rsidR="00F55869">
        <w:t>A16.4/</w:t>
      </w:r>
      <w:r w:rsidRPr="001F4BAA">
        <w:t>A16.7-8</w:t>
      </w:r>
      <w:r w:rsidR="0081219A">
        <w:t xml:space="preserve"> + </w:t>
      </w:r>
      <w:r w:rsidR="0081219A" w:rsidRPr="001F4BAA">
        <w:t>B20.0</w:t>
      </w:r>
    </w:p>
    <w:p w14:paraId="57C60C47" w14:textId="2E64BC12" w:rsidR="00FF01A9" w:rsidRPr="001F4BAA" w:rsidRDefault="00FF01A9" w:rsidP="000F072F">
      <w:r w:rsidRPr="001F4BAA">
        <w:t>Most children acquire tuberculosis from infected adults by inhalation. Malnourished, immunosuppressed (HIV and AIDS) children</w:t>
      </w:r>
      <w:r w:rsidR="0098216F">
        <w:t>,</w:t>
      </w:r>
      <w:r w:rsidRPr="001F4BAA">
        <w:t xml:space="preserve"> and children </w:t>
      </w:r>
      <w:r w:rsidR="007277E7">
        <w:t>&lt;</w:t>
      </w:r>
      <w:r w:rsidRPr="001F4BAA">
        <w:t>5 years of age</w:t>
      </w:r>
      <w:r w:rsidR="0098216F">
        <w:t>,</w:t>
      </w:r>
      <w:r w:rsidRPr="001F4BAA">
        <w:t xml:space="preserve"> are at increased risk for pulmonary tuberculosis. </w:t>
      </w:r>
    </w:p>
    <w:p w14:paraId="09065A72" w14:textId="77777777" w:rsidR="00FF01A9" w:rsidRPr="001F4BAA" w:rsidRDefault="00FF01A9" w:rsidP="00F1736F">
      <w:pPr>
        <w:pStyle w:val="Heading5"/>
      </w:pPr>
      <w:r w:rsidRPr="001F4BAA">
        <w:t xml:space="preserve">DIAGNOSIS </w:t>
      </w:r>
    </w:p>
    <w:p w14:paraId="53C869E1" w14:textId="77777777" w:rsidR="00FF01A9" w:rsidRPr="001F4BAA" w:rsidRDefault="00FF01A9" w:rsidP="00FF01A9">
      <w:pPr>
        <w:pStyle w:val="NoSpacing"/>
      </w:pPr>
      <w:r w:rsidRPr="001F4BAA">
        <w:t>Any child presenting with symptoms and signs suggestive of pulmonary TB is regarded as a case of TB if there is:</w:t>
      </w:r>
    </w:p>
    <w:p w14:paraId="4A92CBDB" w14:textId="545AB9A5" w:rsidR="00FF01A9" w:rsidRPr="001F4BAA" w:rsidRDefault="00FF01A9" w:rsidP="001A07D3">
      <w:pPr>
        <w:pStyle w:val="ListParagraph"/>
      </w:pPr>
      <w:r w:rsidRPr="001F4BAA">
        <w:t>A chest X-ray suggestive of TB,</w:t>
      </w:r>
    </w:p>
    <w:p w14:paraId="7CA378B5" w14:textId="77777777" w:rsidR="00FF01A9" w:rsidRPr="001A07D3" w:rsidRDefault="00FF01A9" w:rsidP="00FF01A9">
      <w:pPr>
        <w:pStyle w:val="NoSpacing"/>
        <w:rPr>
          <w:rStyle w:val="Strong"/>
        </w:rPr>
      </w:pPr>
      <w:r w:rsidRPr="001A07D3">
        <w:rPr>
          <w:rStyle w:val="Strong"/>
        </w:rPr>
        <w:t>AND/OR</w:t>
      </w:r>
    </w:p>
    <w:p w14:paraId="265AA407" w14:textId="0F5A4860" w:rsidR="00FF01A9" w:rsidRPr="001F4BAA" w:rsidRDefault="00FF01A9" w:rsidP="001A07D3">
      <w:pPr>
        <w:pStyle w:val="ListParagraph"/>
      </w:pPr>
      <w:r w:rsidRPr="001F4BAA">
        <w:t>History of exposure to an infectious TB case and/or positive tuberculin skin test (TST) e.g. Mantoux.</w:t>
      </w:r>
    </w:p>
    <w:p w14:paraId="6082B631" w14:textId="3CC05C33" w:rsidR="00FF01A9" w:rsidRPr="001F4BAA" w:rsidRDefault="00FF01A9" w:rsidP="001A07D3">
      <w:r w:rsidRPr="001F4BAA">
        <w:t xml:space="preserve">A positive </w:t>
      </w:r>
      <w:r w:rsidR="00BD302A">
        <w:t xml:space="preserve"> TB-NAAT </w:t>
      </w:r>
      <w:r w:rsidRPr="001F4BAA">
        <w:t>and/or smear microscopy and/or culture, on early morning gastric aspirate or induced sputum, confirms TB disease.</w:t>
      </w:r>
    </w:p>
    <w:p w14:paraId="01B498C5" w14:textId="77777777" w:rsidR="00FF01A9" w:rsidRPr="001F4BAA" w:rsidRDefault="00FF01A9" w:rsidP="001A07D3">
      <w:pPr>
        <w:pStyle w:val="Heading7"/>
      </w:pPr>
      <w:r w:rsidRPr="001F4BAA">
        <w:t>Signs and symptoms include:</w:t>
      </w:r>
    </w:p>
    <w:p w14:paraId="08558115" w14:textId="77777777" w:rsidR="00FF01A9" w:rsidRPr="001F4BAA" w:rsidRDefault="00FF01A9" w:rsidP="001A07D3">
      <w:pPr>
        <w:pStyle w:val="ListParagraph"/>
      </w:pPr>
      <w:r w:rsidRPr="001F4BAA">
        <w:t>unexplained weight loss or failure to thrive,</w:t>
      </w:r>
    </w:p>
    <w:p w14:paraId="5345A8FE" w14:textId="0C98018E" w:rsidR="00FF01A9" w:rsidRPr="001F4BAA" w:rsidRDefault="00FF01A9" w:rsidP="001A07D3">
      <w:pPr>
        <w:pStyle w:val="ListParagraph"/>
      </w:pPr>
      <w:r w:rsidRPr="001F4BAA">
        <w:t>unexplained fever for ≥</w:t>
      </w:r>
      <w:r w:rsidR="00AA23A3">
        <w:t xml:space="preserve"> </w:t>
      </w:r>
      <w:r w:rsidRPr="001F4BAA">
        <w:t>2 weeks,</w:t>
      </w:r>
    </w:p>
    <w:p w14:paraId="3271091B" w14:textId="4C6A4A0F" w:rsidR="00FF01A9" w:rsidRPr="001F4BAA" w:rsidRDefault="00FF01A9" w:rsidP="001A07D3">
      <w:pPr>
        <w:pStyle w:val="ListParagraph"/>
      </w:pPr>
      <w:r w:rsidRPr="001F4BAA">
        <w:t xml:space="preserve">chronic unremitting cough for </w:t>
      </w:r>
      <w:r w:rsidR="007277E7">
        <w:t>&gt;</w:t>
      </w:r>
      <w:r w:rsidRPr="001F4BAA">
        <w:t>14 days,</w:t>
      </w:r>
    </w:p>
    <w:p w14:paraId="3577307E" w14:textId="77777777" w:rsidR="00FF01A9" w:rsidRPr="001F4BAA" w:rsidRDefault="00FF01A9" w:rsidP="001A07D3">
      <w:pPr>
        <w:pStyle w:val="ListParagraph"/>
      </w:pPr>
      <w:r w:rsidRPr="001F4BAA">
        <w:t>lymphadenopathy (especially cervical, often matted),</w:t>
      </w:r>
    </w:p>
    <w:p w14:paraId="388C29E4" w14:textId="77777777" w:rsidR="00FF01A9" w:rsidRPr="001F4BAA" w:rsidRDefault="00FF01A9" w:rsidP="001A07D3">
      <w:pPr>
        <w:pStyle w:val="ListParagraph"/>
      </w:pPr>
      <w:r w:rsidRPr="001F4BAA">
        <w:t>hepatosplenomegaly,</w:t>
      </w:r>
    </w:p>
    <w:p w14:paraId="742FDAAE" w14:textId="77777777" w:rsidR="00FF01A9" w:rsidRPr="001F4BAA" w:rsidRDefault="00FF01A9" w:rsidP="001A07D3">
      <w:pPr>
        <w:pStyle w:val="ListParagraph"/>
      </w:pPr>
      <w:r w:rsidRPr="001F4BAA">
        <w:lastRenderedPageBreak/>
        <w:t>consolidation and pleural effusion.</w:t>
      </w:r>
    </w:p>
    <w:p w14:paraId="75888926" w14:textId="32C8656A" w:rsidR="00FF01A9" w:rsidRPr="001F4BAA" w:rsidRDefault="00FF01A9" w:rsidP="001A07D3">
      <w:pPr>
        <w:pStyle w:val="Heading7"/>
      </w:pPr>
      <w:r w:rsidRPr="001F4BAA">
        <w:t>Tuberculin skin test (TST), e.g. Mantoux</w:t>
      </w:r>
      <w:r w:rsidR="00A8111B">
        <w:t>:</w:t>
      </w:r>
    </w:p>
    <w:p w14:paraId="12027B35" w14:textId="24A8039B" w:rsidR="00FF01A9" w:rsidRPr="001F4BAA" w:rsidRDefault="00FF01A9" w:rsidP="001D5250">
      <w:pPr>
        <w:pStyle w:val="ListParagraph"/>
      </w:pPr>
      <w:r w:rsidRPr="001F4BAA">
        <w:t>A positive test: TST induration ≥10 mm.</w:t>
      </w:r>
    </w:p>
    <w:p w14:paraId="043D523C" w14:textId="77777777" w:rsidR="00FF01A9" w:rsidRPr="001F4BAA" w:rsidRDefault="00FF01A9" w:rsidP="001D5250">
      <w:pPr>
        <w:pStyle w:val="ListParagraph"/>
      </w:pPr>
      <w:r w:rsidRPr="001F4BAA">
        <w:t>A TST may be falsely negative in the presence of:</w:t>
      </w:r>
    </w:p>
    <w:p w14:paraId="3F888131" w14:textId="5C9F2933" w:rsidR="00FF01A9" w:rsidRPr="001F4BAA" w:rsidRDefault="00801F2D" w:rsidP="001D5250">
      <w:pPr>
        <w:pStyle w:val="ListParagraph"/>
        <w:numPr>
          <w:ilvl w:val="1"/>
          <w:numId w:val="4"/>
        </w:numPr>
      </w:pPr>
      <w:r>
        <w:t>m</w:t>
      </w:r>
      <w:r w:rsidR="00FF01A9" w:rsidRPr="001F4BAA">
        <w:t>alnutrition</w:t>
      </w:r>
      <w:r w:rsidR="000A2466">
        <w:t>,</w:t>
      </w:r>
    </w:p>
    <w:p w14:paraId="72D113E2" w14:textId="1916E350" w:rsidR="00FF01A9" w:rsidRPr="001F4BAA" w:rsidRDefault="00FF01A9" w:rsidP="001D5250">
      <w:pPr>
        <w:pStyle w:val="ListParagraph"/>
        <w:numPr>
          <w:ilvl w:val="1"/>
          <w:numId w:val="4"/>
        </w:numPr>
      </w:pPr>
      <w:r w:rsidRPr="001F4BAA">
        <w:t>immunodeficiency, e.g. HIV and AIDS</w:t>
      </w:r>
      <w:r w:rsidR="000A2466">
        <w:t>,</w:t>
      </w:r>
    </w:p>
    <w:p w14:paraId="59F4B232" w14:textId="4D4DB3AC" w:rsidR="00FF01A9" w:rsidRPr="001F4BAA" w:rsidRDefault="00FF01A9" w:rsidP="001D5250">
      <w:pPr>
        <w:pStyle w:val="ListParagraph"/>
        <w:numPr>
          <w:ilvl w:val="1"/>
          <w:numId w:val="4"/>
        </w:numPr>
      </w:pPr>
      <w:r w:rsidRPr="001F4BAA">
        <w:t>immunosuppression, e.g. steroid therapy, cancer chemotherapy</w:t>
      </w:r>
      <w:r w:rsidR="000A2466">
        <w:t>,</w:t>
      </w:r>
    </w:p>
    <w:p w14:paraId="1B6513FD" w14:textId="4F0FC7B9" w:rsidR="00FF01A9" w:rsidRPr="001F4BAA" w:rsidRDefault="00FF01A9" w:rsidP="001D5250">
      <w:pPr>
        <w:pStyle w:val="ListParagraph"/>
        <w:numPr>
          <w:ilvl w:val="1"/>
          <w:numId w:val="4"/>
        </w:numPr>
      </w:pPr>
      <w:r w:rsidRPr="001F4BAA">
        <w:t>following overwhelming viral infection, e.g. measles or post vaccination</w:t>
      </w:r>
      <w:r w:rsidR="000A2466">
        <w:t>.</w:t>
      </w:r>
    </w:p>
    <w:p w14:paraId="0FBC9300" w14:textId="60FC65D6" w:rsidR="00FF01A9" w:rsidRPr="001F4BAA" w:rsidRDefault="00FF01A9" w:rsidP="001D5250">
      <w:pPr>
        <w:pStyle w:val="NoSpacing"/>
        <w:ind w:left="284"/>
      </w:pPr>
      <w:r w:rsidRPr="001F4BAA">
        <w:t>In these circumstances a TST induration ≥5 mm may be regarded as positive. Frequently, the TST will be non-reactive in these cases. TB treatment should be considered, despite a negative TST.</w:t>
      </w:r>
    </w:p>
    <w:p w14:paraId="13153E49" w14:textId="77777777" w:rsidR="00FF01A9" w:rsidRPr="001F4BAA" w:rsidRDefault="00FF01A9" w:rsidP="001D5250">
      <w:pPr>
        <w:pStyle w:val="Heading7"/>
      </w:pPr>
      <w:r w:rsidRPr="001F4BAA">
        <w:t>The following may be evident on chest X-ray:</w:t>
      </w:r>
    </w:p>
    <w:p w14:paraId="31034113" w14:textId="61E48591" w:rsidR="00FF01A9" w:rsidRPr="001F4BAA" w:rsidRDefault="00FF01A9" w:rsidP="001D5250">
      <w:pPr>
        <w:pStyle w:val="ListParagraph"/>
      </w:pPr>
      <w:r w:rsidRPr="001F4BAA">
        <w:t>Direct or indirect evidence of hilar or mediastinal adenopathy</w:t>
      </w:r>
      <w:r w:rsidR="00E72AFF">
        <w:t>,</w:t>
      </w:r>
      <w:r w:rsidRPr="001F4BAA">
        <w:t xml:space="preserve"> with or without parenchymal opacification</w:t>
      </w:r>
      <w:r w:rsidR="00ED53F7">
        <w:t>,</w:t>
      </w:r>
      <w:r w:rsidRPr="001F4BAA">
        <w:t xml:space="preserve"> and/or bronchopneumonia.</w:t>
      </w:r>
    </w:p>
    <w:p w14:paraId="244A2F6A" w14:textId="77777777" w:rsidR="00FF01A9" w:rsidRPr="001F4BAA" w:rsidRDefault="00FF01A9" w:rsidP="00F1736F">
      <w:pPr>
        <w:pStyle w:val="Heading5"/>
      </w:pPr>
      <w:r w:rsidRPr="001F4BAA">
        <w:t>GENERAL MEASURES</w:t>
      </w:r>
    </w:p>
    <w:p w14:paraId="4D09C408" w14:textId="77777777" w:rsidR="00FF01A9" w:rsidRPr="001F4BAA" w:rsidRDefault="00FF01A9" w:rsidP="001D5250">
      <w:pPr>
        <w:pStyle w:val="ListParagraph"/>
      </w:pPr>
      <w:r w:rsidRPr="001F4BAA">
        <w:t>Identify and treat the source case.</w:t>
      </w:r>
    </w:p>
    <w:p w14:paraId="0AB24E89" w14:textId="77777777" w:rsidR="00FF01A9" w:rsidRPr="001F4BAA" w:rsidRDefault="00FF01A9" w:rsidP="001D5250">
      <w:pPr>
        <w:pStyle w:val="ListParagraph"/>
      </w:pPr>
      <w:r w:rsidRPr="001F4BAA">
        <w:t>Screen all contacts for TB infection.</w:t>
      </w:r>
    </w:p>
    <w:p w14:paraId="757B9942" w14:textId="77777777" w:rsidR="00FF01A9" w:rsidRPr="001F4BAA" w:rsidRDefault="00FF01A9" w:rsidP="001D5250">
      <w:pPr>
        <w:pStyle w:val="ListParagraph"/>
      </w:pPr>
      <w:r w:rsidRPr="001F4BAA">
        <w:t>Monitor the nutritional status of the child to assess response to treatment.</w:t>
      </w:r>
    </w:p>
    <w:p w14:paraId="21B381B9" w14:textId="77777777" w:rsidR="00FF01A9" w:rsidRPr="001F4BAA" w:rsidRDefault="00FF01A9" w:rsidP="00FF01A9">
      <w:pPr>
        <w:pStyle w:val="NoSpacing"/>
      </w:pPr>
    </w:p>
    <w:p w14:paraId="36E5AF66" w14:textId="4794EFF6" w:rsidR="00FF01A9" w:rsidRPr="00F1736F" w:rsidRDefault="00F1736F" w:rsidP="00F1736F">
      <w:pPr>
        <w:pStyle w:val="Heading4"/>
      </w:pPr>
      <w:bookmarkStart w:id="96" w:name="_Toc177054044"/>
      <w:r w:rsidRPr="00F1736F">
        <w:t>TB chemoprophylaxis</w:t>
      </w:r>
      <w:r w:rsidR="00FF01A9" w:rsidRPr="00F1736F">
        <w:t>/</w:t>
      </w:r>
      <w:r w:rsidRPr="00F1736F">
        <w:t>isoniazid preventive therapy (IPT) in children</w:t>
      </w:r>
      <w:bookmarkEnd w:id="96"/>
      <w:r w:rsidR="001132AD">
        <w:fldChar w:fldCharType="begin"/>
      </w:r>
      <w:r w:rsidR="001132AD">
        <w:instrText xml:space="preserve"> XE "</w:instrText>
      </w:r>
      <w:r w:rsidR="001132AD" w:rsidRPr="004A0AEB">
        <w:instrText>TB chemoprophylaxis/isoniazid preventive therapy (IPT) in children</w:instrText>
      </w:r>
      <w:r w:rsidR="001132AD">
        <w:instrText xml:space="preserve">" </w:instrText>
      </w:r>
      <w:r w:rsidR="001132AD" w:rsidRPr="001132AD">
        <w:instrText xml:space="preserve">\f “c” </w:instrText>
      </w:r>
      <w:r w:rsidR="001132AD">
        <w:fldChar w:fldCharType="end"/>
      </w:r>
    </w:p>
    <w:p w14:paraId="2486AA82" w14:textId="4CE76FAB" w:rsidR="00FF01A9" w:rsidRPr="001F4BAA" w:rsidRDefault="00FF01A9" w:rsidP="002344FD">
      <w:pPr>
        <w:pStyle w:val="ICD10"/>
        <w:shd w:val="clear" w:color="auto" w:fill="F2F2F2" w:themeFill="background1" w:themeFillShade="F2"/>
        <w:tabs>
          <w:tab w:val="left" w:pos="2753"/>
        </w:tabs>
      </w:pPr>
      <w:r w:rsidRPr="001F4BAA">
        <w:t>Z20.1</w:t>
      </w:r>
    </w:p>
    <w:p w14:paraId="08ED5BD8" w14:textId="2B442F7F" w:rsidR="001D5250" w:rsidRDefault="001D5250" w:rsidP="001D5250">
      <w:pPr>
        <w:pStyle w:val="Centeredbox"/>
      </w:pPr>
      <w:r>
        <w:t xml:space="preserve">Consider TB chemoprophylaxis/isoniazid preventive therapy (IPT) in all children </w:t>
      </w:r>
      <w:r w:rsidR="00BD302A">
        <w:rPr>
          <w:rFonts w:eastAsia="Calibri" w:cs="Times New Roman"/>
        </w:rPr>
        <w:t xml:space="preserve">younger than 5 years, or who are </w:t>
      </w:r>
      <w:r w:rsidR="00E01A78">
        <w:rPr>
          <w:rFonts w:eastAsia="Calibri" w:cs="Times New Roman"/>
        </w:rPr>
        <w:t xml:space="preserve">living with </w:t>
      </w:r>
      <w:r w:rsidR="00BD302A">
        <w:rPr>
          <w:rFonts w:eastAsia="Calibri" w:cs="Times New Roman"/>
        </w:rPr>
        <w:t>HIV, and</w:t>
      </w:r>
      <w:r w:rsidR="00BD302A" w:rsidRPr="00034FDD">
        <w:rPr>
          <w:rFonts w:eastAsia="Calibri" w:cs="Times New Roman"/>
        </w:rPr>
        <w:t xml:space="preserve"> </w:t>
      </w:r>
      <w:r>
        <w:t>exposed to a pulmonary TB contact.</w:t>
      </w:r>
    </w:p>
    <w:p w14:paraId="679681C5" w14:textId="77777777" w:rsidR="00FF01A9" w:rsidRPr="001F4BAA" w:rsidRDefault="00FF01A9" w:rsidP="00322604">
      <w:pPr>
        <w:pStyle w:val="Heading7"/>
      </w:pPr>
      <w:r w:rsidRPr="001F4BAA">
        <w:t>Exclude active TB (i.e. no signs or symptoms suggestive of TB):</w:t>
      </w:r>
    </w:p>
    <w:p w14:paraId="13FD4061" w14:textId="37C068BE" w:rsidR="00FF01A9" w:rsidRPr="001F4BAA" w:rsidRDefault="00FF01A9" w:rsidP="00322604">
      <w:pPr>
        <w:pStyle w:val="ListParagraph"/>
      </w:pPr>
      <w:r w:rsidRPr="001F4BAA">
        <w:t xml:space="preserve">Refer to Section 17.4.2: Pulmonary tuberculosis </w:t>
      </w:r>
      <w:r w:rsidR="0009211F">
        <w:t xml:space="preserve">(TB) </w:t>
      </w:r>
      <w:r w:rsidRPr="001F4BAA">
        <w:t xml:space="preserve">in children. </w:t>
      </w:r>
    </w:p>
    <w:p w14:paraId="759B8C99" w14:textId="77777777" w:rsidR="00FF01A9" w:rsidRPr="001F4BAA" w:rsidRDefault="00FF01A9" w:rsidP="00322604">
      <w:pPr>
        <w:pStyle w:val="ListParagraph"/>
      </w:pPr>
      <w:r w:rsidRPr="001F4BAA">
        <w:t xml:space="preserve">If any signs or symptoms of pulmonary TB are present, refer for chest X-ray. </w:t>
      </w:r>
    </w:p>
    <w:p w14:paraId="6B6DAEBC" w14:textId="50F1FF77" w:rsidR="00FF01A9" w:rsidRPr="001F4BAA" w:rsidRDefault="00FF01A9" w:rsidP="00322604">
      <w:pPr>
        <w:pStyle w:val="ListParagraph"/>
      </w:pPr>
      <w:r w:rsidRPr="001F4BAA">
        <w:t xml:space="preserve">Never give </w:t>
      </w:r>
      <w:r w:rsidR="00A63A36">
        <w:t>T</w:t>
      </w:r>
      <w:r w:rsidRPr="001F4BAA">
        <w:t>PT to children with active TB.</w:t>
      </w:r>
    </w:p>
    <w:p w14:paraId="35B2CDFA" w14:textId="77777777" w:rsidR="00FF01A9" w:rsidRPr="001F4BAA" w:rsidRDefault="00FF01A9" w:rsidP="00322604">
      <w:pPr>
        <w:pStyle w:val="Heading7"/>
      </w:pPr>
      <w:r w:rsidRPr="001F4BAA">
        <w:t>TB chemoprophylaxis/ IPT is only used in:</w:t>
      </w:r>
    </w:p>
    <w:p w14:paraId="2794CEFB" w14:textId="4DDBBA8D" w:rsidR="00FF01A9" w:rsidRPr="001F4BAA" w:rsidRDefault="00FF01A9" w:rsidP="00BA3A31">
      <w:pPr>
        <w:pStyle w:val="ListParagraph"/>
      </w:pPr>
      <w:r w:rsidRPr="001F4BAA">
        <w:t xml:space="preserve">Children </w:t>
      </w:r>
      <w:r w:rsidR="007277E7">
        <w:t>&lt;</w:t>
      </w:r>
      <w:r w:rsidRPr="001F4BAA">
        <w:t>5 years of age.</w:t>
      </w:r>
    </w:p>
    <w:p w14:paraId="12D540E3" w14:textId="77777777" w:rsidR="00FF01A9" w:rsidRPr="00BA3A31" w:rsidRDefault="00FF01A9" w:rsidP="00FF01A9">
      <w:pPr>
        <w:pStyle w:val="NoSpacing"/>
        <w:rPr>
          <w:rStyle w:val="Strong"/>
        </w:rPr>
      </w:pPr>
      <w:r w:rsidRPr="00BA3A31">
        <w:rPr>
          <w:rStyle w:val="Strong"/>
        </w:rPr>
        <w:t>OR</w:t>
      </w:r>
    </w:p>
    <w:p w14:paraId="1A2705CE" w14:textId="6B7E2928" w:rsidR="00FF01A9" w:rsidRPr="001F4BAA" w:rsidRDefault="00FF01A9" w:rsidP="00BA3A31">
      <w:pPr>
        <w:pStyle w:val="ListParagraph"/>
      </w:pPr>
      <w:r w:rsidRPr="001F4BAA">
        <w:t xml:space="preserve">Children of any age, who are </w:t>
      </w:r>
      <w:r w:rsidR="00D42BBD">
        <w:t xml:space="preserve">living with </w:t>
      </w:r>
      <w:r w:rsidRPr="001F4BAA">
        <w:t>HIV</w:t>
      </w:r>
      <w:r w:rsidR="00D42BBD">
        <w:t>.</w:t>
      </w:r>
      <w:r w:rsidRPr="001F4BAA">
        <w:tab/>
      </w:r>
    </w:p>
    <w:p w14:paraId="6616724C" w14:textId="77777777" w:rsidR="00FF01A9" w:rsidRPr="00BA3A31" w:rsidRDefault="00FF01A9" w:rsidP="00FF01A9">
      <w:pPr>
        <w:pStyle w:val="NoSpacing"/>
        <w:rPr>
          <w:rStyle w:val="Strong"/>
        </w:rPr>
      </w:pPr>
      <w:r w:rsidRPr="00BA3A31">
        <w:rPr>
          <w:rStyle w:val="Strong"/>
        </w:rPr>
        <w:t>WITH EITHER</w:t>
      </w:r>
      <w:r w:rsidRPr="00BA3A31">
        <w:rPr>
          <w:rStyle w:val="Strong"/>
        </w:rPr>
        <w:tab/>
      </w:r>
    </w:p>
    <w:p w14:paraId="062BABDF" w14:textId="77777777" w:rsidR="00FF01A9" w:rsidRPr="001F4BAA" w:rsidRDefault="00FF01A9" w:rsidP="00BA3A31">
      <w:pPr>
        <w:pStyle w:val="ListParagraph"/>
        <w:numPr>
          <w:ilvl w:val="1"/>
          <w:numId w:val="4"/>
        </w:numPr>
      </w:pPr>
      <w:r w:rsidRPr="001F4BAA">
        <w:t>Close contact with an infectious pulmonary TB case. If child is re-exposed to a close contact, TB chemoprophylaxis must be repeated (Previous IPT does not protect the child against subsequent TB exposure/ infection).</w:t>
      </w:r>
    </w:p>
    <w:p w14:paraId="546D50D1" w14:textId="77777777" w:rsidR="00FF01A9" w:rsidRPr="001F4BAA" w:rsidRDefault="00FF01A9" w:rsidP="00BA3A31">
      <w:pPr>
        <w:pStyle w:val="ListParagraph"/>
        <w:numPr>
          <w:ilvl w:val="1"/>
          <w:numId w:val="4"/>
        </w:numPr>
      </w:pPr>
      <w:r w:rsidRPr="001F4BAA">
        <w:t>Positive TST (only applicable on the first occasion of a positive TST).</w:t>
      </w:r>
    </w:p>
    <w:p w14:paraId="797EB076" w14:textId="727BECD8" w:rsidR="00062BD7" w:rsidRDefault="00FF01A9" w:rsidP="002246F8">
      <w:pPr>
        <w:pStyle w:val="Heading5"/>
      </w:pPr>
      <w:r w:rsidRPr="001F4BAA">
        <w:t>MEDICINE TREATMENT</w:t>
      </w:r>
    </w:p>
    <w:p w14:paraId="3148EB5C" w14:textId="505288F5" w:rsidR="00FF01A9" w:rsidRPr="001F4BAA" w:rsidRDefault="00FF01A9" w:rsidP="00BA3A31">
      <w:pPr>
        <w:pStyle w:val="Heading6"/>
      </w:pPr>
      <w:r w:rsidRPr="001F4BAA">
        <w:t>Preventive therapy in case of drug-sensitive TB contact:</w:t>
      </w:r>
    </w:p>
    <w:p w14:paraId="5579E56A" w14:textId="4FEA22E1" w:rsidR="00FF01A9" w:rsidRPr="001F4BAA" w:rsidRDefault="00FF01A9" w:rsidP="008542CC">
      <w:pPr>
        <w:pStyle w:val="BulletMedicine"/>
        <w:numPr>
          <w:ilvl w:val="0"/>
          <w:numId w:val="37"/>
        </w:numPr>
      </w:pPr>
      <w:r w:rsidRPr="001F4BAA">
        <w:t>Isoniazid, oral</w:t>
      </w:r>
      <w:r w:rsidR="00DE7455">
        <w:fldChar w:fldCharType="begin"/>
      </w:r>
      <w:r w:rsidR="00DE7455">
        <w:instrText xml:space="preserve"> XE “Isoniazid, oral” \f “m” </w:instrText>
      </w:r>
      <w:r w:rsidR="00DE7455">
        <w:fldChar w:fldCharType="end"/>
      </w:r>
      <w:r w:rsidRPr="001F4BAA">
        <w:t xml:space="preserve">, 10 mg/kg daily for 6 months. </w:t>
      </w:r>
    </w:p>
    <w:p w14:paraId="4062E7CD" w14:textId="77777777" w:rsidR="00FF01A9" w:rsidRPr="001F4BAA" w:rsidRDefault="00FF01A9" w:rsidP="008542CC">
      <w:pPr>
        <w:pStyle w:val="BulletDirectionsInstructions"/>
        <w:numPr>
          <w:ilvl w:val="0"/>
          <w:numId w:val="58"/>
        </w:numPr>
      </w:pPr>
      <w:r w:rsidRPr="001F4BAA">
        <w:t>Maximum dose: 300 mg daily.</w:t>
      </w:r>
    </w:p>
    <w:tbl>
      <w:tblPr>
        <w:tblStyle w:val="SamplePHCTable"/>
        <w:tblW w:w="0" w:type="auto"/>
        <w:tblLook w:val="00A0" w:firstRow="1" w:lastRow="0" w:firstColumn="1" w:lastColumn="0" w:noHBand="0" w:noVBand="0"/>
      </w:tblPr>
      <w:tblGrid>
        <w:gridCol w:w="3337"/>
        <w:gridCol w:w="3342"/>
      </w:tblGrid>
      <w:tr w:rsidR="00FF01A9" w:rsidRPr="001F4BAA" w14:paraId="1D2DB553" w14:textId="77777777" w:rsidTr="00811950">
        <w:trPr>
          <w:cnfStyle w:val="100000000000" w:firstRow="1" w:lastRow="0" w:firstColumn="0" w:lastColumn="0" w:oddVBand="0" w:evenVBand="0" w:oddHBand="0" w:evenHBand="0" w:firstRowFirstColumn="0" w:firstRowLastColumn="0" w:lastRowFirstColumn="0" w:lastRowLastColumn="0"/>
          <w:cantSplit/>
        </w:trPr>
        <w:tc>
          <w:tcPr>
            <w:tcW w:w="3337" w:type="dxa"/>
          </w:tcPr>
          <w:p w14:paraId="2D638A93" w14:textId="77777777" w:rsidR="00FF01A9" w:rsidRPr="001F4BAA" w:rsidRDefault="00FF01A9" w:rsidP="00D77AFE">
            <w:pPr>
              <w:pStyle w:val="NoSpacing"/>
              <w:jc w:val="center"/>
            </w:pPr>
            <w:r w:rsidRPr="001F4BAA">
              <w:lastRenderedPageBreak/>
              <w:t>Weight</w:t>
            </w:r>
          </w:p>
          <w:p w14:paraId="5EC800D8" w14:textId="77777777" w:rsidR="00FF01A9" w:rsidRPr="00263E59" w:rsidRDefault="00FF01A9" w:rsidP="00D77AFE">
            <w:pPr>
              <w:pStyle w:val="NoSpacing"/>
              <w:jc w:val="center"/>
              <w:rPr>
                <w:b w:val="0"/>
                <w:bCs/>
              </w:rPr>
            </w:pPr>
            <w:r w:rsidRPr="00263E59">
              <w:rPr>
                <w:b w:val="0"/>
                <w:bCs/>
              </w:rPr>
              <w:t>kg</w:t>
            </w:r>
          </w:p>
        </w:tc>
        <w:tc>
          <w:tcPr>
            <w:tcW w:w="3342" w:type="dxa"/>
          </w:tcPr>
          <w:p w14:paraId="39D53756" w14:textId="2837A3B6" w:rsidR="00FF01A9" w:rsidRPr="001F4BAA" w:rsidRDefault="00FF01A9" w:rsidP="00D77AFE">
            <w:pPr>
              <w:pStyle w:val="NoSpacing"/>
              <w:jc w:val="center"/>
            </w:pPr>
            <w:r w:rsidRPr="001F4BAA">
              <w:t>Daily isoniazid (INH)</w:t>
            </w:r>
          </w:p>
          <w:p w14:paraId="43B8A20D" w14:textId="77777777" w:rsidR="00FF01A9" w:rsidRPr="00263E59" w:rsidRDefault="00FF01A9" w:rsidP="00D77AFE">
            <w:pPr>
              <w:pStyle w:val="NoSpacing"/>
              <w:jc w:val="center"/>
              <w:rPr>
                <w:b w:val="0"/>
                <w:bCs/>
              </w:rPr>
            </w:pPr>
            <w:r w:rsidRPr="00263E59">
              <w:rPr>
                <w:b w:val="0"/>
                <w:bCs/>
              </w:rPr>
              <w:t>100 mg tablet</w:t>
            </w:r>
          </w:p>
        </w:tc>
      </w:tr>
      <w:tr w:rsidR="00FF01A9" w:rsidRPr="001F4BAA" w14:paraId="249BB482" w14:textId="77777777" w:rsidTr="00811950">
        <w:tc>
          <w:tcPr>
            <w:tcW w:w="3337" w:type="dxa"/>
          </w:tcPr>
          <w:p w14:paraId="7D91FA81" w14:textId="77777777" w:rsidR="00FF01A9" w:rsidRPr="001F4BAA" w:rsidRDefault="00FF01A9" w:rsidP="00D77AFE">
            <w:pPr>
              <w:pStyle w:val="NoSpacing"/>
              <w:jc w:val="center"/>
            </w:pPr>
            <w:r w:rsidRPr="001F4BAA">
              <w:t>&gt;2–3.4 kg</w:t>
            </w:r>
          </w:p>
        </w:tc>
        <w:tc>
          <w:tcPr>
            <w:tcW w:w="3342" w:type="dxa"/>
          </w:tcPr>
          <w:p w14:paraId="64442065" w14:textId="77777777" w:rsidR="00FF01A9" w:rsidRPr="001F4BAA" w:rsidRDefault="00FF01A9" w:rsidP="00D77AFE">
            <w:pPr>
              <w:pStyle w:val="NoSpacing"/>
              <w:jc w:val="center"/>
            </w:pPr>
            <w:r w:rsidRPr="001F4BAA">
              <w:t>¼ tablet</w:t>
            </w:r>
          </w:p>
        </w:tc>
      </w:tr>
      <w:tr w:rsidR="00FF01A9" w:rsidRPr="001F4BAA" w14:paraId="22FDCB25" w14:textId="77777777" w:rsidTr="00811950">
        <w:tc>
          <w:tcPr>
            <w:tcW w:w="3337" w:type="dxa"/>
          </w:tcPr>
          <w:p w14:paraId="0468B5B3" w14:textId="77777777" w:rsidR="00FF01A9" w:rsidRPr="001F4BAA" w:rsidRDefault="00FF01A9" w:rsidP="00D77AFE">
            <w:pPr>
              <w:pStyle w:val="NoSpacing"/>
              <w:jc w:val="center"/>
            </w:pPr>
            <w:r w:rsidRPr="001F4BAA">
              <w:t>&gt;3.5–6.9 kg</w:t>
            </w:r>
          </w:p>
        </w:tc>
        <w:tc>
          <w:tcPr>
            <w:tcW w:w="3342" w:type="dxa"/>
          </w:tcPr>
          <w:p w14:paraId="400F38AB" w14:textId="77777777" w:rsidR="00FF01A9" w:rsidRPr="001F4BAA" w:rsidRDefault="00FF01A9" w:rsidP="00D77AFE">
            <w:pPr>
              <w:pStyle w:val="NoSpacing"/>
              <w:jc w:val="center"/>
            </w:pPr>
            <w:r w:rsidRPr="001F4BAA">
              <w:t>½ tablet</w:t>
            </w:r>
          </w:p>
        </w:tc>
      </w:tr>
      <w:tr w:rsidR="00FF01A9" w:rsidRPr="001F4BAA" w14:paraId="3ACC031B" w14:textId="77777777" w:rsidTr="00811950">
        <w:tc>
          <w:tcPr>
            <w:tcW w:w="3337" w:type="dxa"/>
          </w:tcPr>
          <w:p w14:paraId="7D6707CE" w14:textId="77777777" w:rsidR="00FF01A9" w:rsidRPr="001F4BAA" w:rsidRDefault="00FF01A9" w:rsidP="00D77AFE">
            <w:pPr>
              <w:pStyle w:val="NoSpacing"/>
              <w:jc w:val="center"/>
            </w:pPr>
            <w:r w:rsidRPr="001F4BAA">
              <w:t>&gt;7–9.9 kg</w:t>
            </w:r>
          </w:p>
        </w:tc>
        <w:tc>
          <w:tcPr>
            <w:tcW w:w="3342" w:type="dxa"/>
          </w:tcPr>
          <w:p w14:paraId="74A360F8" w14:textId="77777777" w:rsidR="00FF01A9" w:rsidRPr="001F4BAA" w:rsidRDefault="00FF01A9" w:rsidP="00D77AFE">
            <w:pPr>
              <w:pStyle w:val="NoSpacing"/>
              <w:jc w:val="center"/>
            </w:pPr>
            <w:r w:rsidRPr="001F4BAA">
              <w:t>1 tablet</w:t>
            </w:r>
          </w:p>
        </w:tc>
      </w:tr>
      <w:tr w:rsidR="00FF01A9" w:rsidRPr="001F4BAA" w14:paraId="22812583" w14:textId="77777777" w:rsidTr="00811950">
        <w:tc>
          <w:tcPr>
            <w:tcW w:w="3337" w:type="dxa"/>
          </w:tcPr>
          <w:p w14:paraId="3F9FE3C6" w14:textId="77777777" w:rsidR="00FF01A9" w:rsidRPr="001F4BAA" w:rsidRDefault="00FF01A9" w:rsidP="00D77AFE">
            <w:pPr>
              <w:pStyle w:val="NoSpacing"/>
              <w:jc w:val="center"/>
            </w:pPr>
            <w:r w:rsidRPr="001F4BAA">
              <w:t>&gt;10–14.9 kg</w:t>
            </w:r>
          </w:p>
        </w:tc>
        <w:tc>
          <w:tcPr>
            <w:tcW w:w="3342" w:type="dxa"/>
          </w:tcPr>
          <w:p w14:paraId="73F1E8E9" w14:textId="77777777" w:rsidR="00FF01A9" w:rsidRPr="001F4BAA" w:rsidRDefault="00FF01A9" w:rsidP="00D77AFE">
            <w:pPr>
              <w:pStyle w:val="NoSpacing"/>
              <w:jc w:val="center"/>
            </w:pPr>
            <w:r w:rsidRPr="001F4BAA">
              <w:t>1½ tablets</w:t>
            </w:r>
          </w:p>
        </w:tc>
      </w:tr>
      <w:tr w:rsidR="00FF01A9" w:rsidRPr="001F4BAA" w14:paraId="2A7E67A3" w14:textId="77777777" w:rsidTr="00811950">
        <w:tc>
          <w:tcPr>
            <w:tcW w:w="3337" w:type="dxa"/>
          </w:tcPr>
          <w:p w14:paraId="4F88D799" w14:textId="77777777" w:rsidR="00FF01A9" w:rsidRPr="001F4BAA" w:rsidRDefault="00FF01A9" w:rsidP="00D77AFE">
            <w:pPr>
              <w:pStyle w:val="NoSpacing"/>
              <w:jc w:val="center"/>
            </w:pPr>
            <w:r w:rsidRPr="001F4BAA">
              <w:t>&gt;15–19.9 kg</w:t>
            </w:r>
          </w:p>
        </w:tc>
        <w:tc>
          <w:tcPr>
            <w:tcW w:w="3342" w:type="dxa"/>
          </w:tcPr>
          <w:p w14:paraId="4FC3ED96" w14:textId="77777777" w:rsidR="00FF01A9" w:rsidRPr="001F4BAA" w:rsidRDefault="00FF01A9" w:rsidP="00D77AFE">
            <w:pPr>
              <w:pStyle w:val="NoSpacing"/>
              <w:jc w:val="center"/>
            </w:pPr>
            <w:r w:rsidRPr="001F4BAA">
              <w:t>2 tablets</w:t>
            </w:r>
          </w:p>
        </w:tc>
      </w:tr>
      <w:tr w:rsidR="00FF01A9" w:rsidRPr="001F4BAA" w14:paraId="0E76F6DA" w14:textId="77777777" w:rsidTr="00811950">
        <w:tc>
          <w:tcPr>
            <w:tcW w:w="3337" w:type="dxa"/>
          </w:tcPr>
          <w:p w14:paraId="4E5AB161" w14:textId="77777777" w:rsidR="00FF01A9" w:rsidRPr="001F4BAA" w:rsidRDefault="00FF01A9" w:rsidP="00D77AFE">
            <w:pPr>
              <w:pStyle w:val="NoSpacing"/>
              <w:jc w:val="center"/>
            </w:pPr>
            <w:r w:rsidRPr="001F4BAA">
              <w:t>&gt;20–24.9 kg</w:t>
            </w:r>
          </w:p>
        </w:tc>
        <w:tc>
          <w:tcPr>
            <w:tcW w:w="3342" w:type="dxa"/>
          </w:tcPr>
          <w:p w14:paraId="0853B5ED" w14:textId="77777777" w:rsidR="00FF01A9" w:rsidRPr="001F4BAA" w:rsidRDefault="00FF01A9" w:rsidP="00D77AFE">
            <w:pPr>
              <w:pStyle w:val="NoSpacing"/>
              <w:jc w:val="center"/>
            </w:pPr>
            <w:r w:rsidRPr="001F4BAA">
              <w:t>2½ tablets</w:t>
            </w:r>
          </w:p>
        </w:tc>
      </w:tr>
      <w:tr w:rsidR="00FF01A9" w:rsidRPr="001F4BAA" w14:paraId="0A00B9D0" w14:textId="77777777" w:rsidTr="00811950">
        <w:tc>
          <w:tcPr>
            <w:tcW w:w="3337" w:type="dxa"/>
          </w:tcPr>
          <w:p w14:paraId="04E8D40D" w14:textId="77777777" w:rsidR="00FF01A9" w:rsidRPr="001F4BAA" w:rsidRDefault="00FF01A9" w:rsidP="00D77AFE">
            <w:pPr>
              <w:pStyle w:val="NoSpacing"/>
              <w:jc w:val="center"/>
            </w:pPr>
            <w:r w:rsidRPr="001F4BAA">
              <w:t>&gt;25 kg</w:t>
            </w:r>
          </w:p>
        </w:tc>
        <w:tc>
          <w:tcPr>
            <w:tcW w:w="3342" w:type="dxa"/>
          </w:tcPr>
          <w:p w14:paraId="731BBBCE" w14:textId="77777777" w:rsidR="00FF01A9" w:rsidRPr="001F4BAA" w:rsidRDefault="00FF01A9" w:rsidP="00D77AFE">
            <w:pPr>
              <w:pStyle w:val="NoSpacing"/>
              <w:jc w:val="center"/>
            </w:pPr>
            <w:r w:rsidRPr="001F4BAA">
              <w:t>3 tablets</w:t>
            </w:r>
          </w:p>
        </w:tc>
      </w:tr>
    </w:tbl>
    <w:p w14:paraId="468AAACD" w14:textId="77777777" w:rsidR="00811950" w:rsidRDefault="00811950" w:rsidP="00811950">
      <w:pPr>
        <w:widowControl w:val="0"/>
        <w:shd w:val="clear" w:color="auto" w:fill="FFFFFF"/>
        <w:tabs>
          <w:tab w:val="left" w:pos="-139"/>
        </w:tabs>
        <w:autoSpaceDE w:val="0"/>
        <w:autoSpaceDN w:val="0"/>
        <w:adjustRightInd w:val="0"/>
        <w:spacing w:before="0" w:after="0"/>
        <w:rPr>
          <w:rFonts w:eastAsia="Times New Roman" w:cs="Arial"/>
          <w:b/>
          <w:color w:val="000000"/>
          <w:spacing w:val="0"/>
          <w:szCs w:val="24"/>
          <w:lang w:val="en-ZA"/>
        </w:rPr>
      </w:pPr>
    </w:p>
    <w:p w14:paraId="26E7FC74" w14:textId="3D0FA671" w:rsidR="00811950" w:rsidRDefault="00811950" w:rsidP="00811950">
      <w:pPr>
        <w:pStyle w:val="LoEText"/>
        <w:framePr w:hSpace="0" w:wrap="auto" w:vAnchor="margin" w:hAnchor="text" w:xAlign="left" w:yAlign="inline"/>
        <w:suppressOverlap w:val="0"/>
        <w:jc w:val="both"/>
        <w:rPr>
          <w:rFonts w:eastAsia="Times New Roman" w:cs="Arial"/>
          <w:color w:val="000000"/>
          <w:spacing w:val="0"/>
          <w:sz w:val="18"/>
          <w:szCs w:val="18"/>
        </w:rPr>
      </w:pPr>
      <w:r w:rsidRPr="00811950">
        <w:rPr>
          <w:rFonts w:eastAsia="Times New Roman" w:cs="Arial"/>
          <w:b/>
          <w:i w:val="0"/>
          <w:color w:val="000000"/>
          <w:spacing w:val="0"/>
          <w:sz w:val="18"/>
          <w:szCs w:val="18"/>
        </w:rPr>
        <w:t xml:space="preserve">Note: </w:t>
      </w:r>
      <w:r w:rsidRPr="00811950">
        <w:rPr>
          <w:rFonts w:eastAsia="Times New Roman" w:cs="Arial"/>
          <w:i w:val="0"/>
          <w:color w:val="000000"/>
          <w:spacing w:val="0"/>
          <w:sz w:val="18"/>
          <w:szCs w:val="18"/>
        </w:rPr>
        <w:t xml:space="preserve">For adults and adolescents initiating a DTG-containing ART regimen, isoniazid daily for 12 months is the preferred regimen. For patients who are already virally suppressed on a DTG-based regimen, a weekly combination of isoniazid (900mg if weight </w:t>
      </w:r>
      <w:r w:rsidR="007277E7">
        <w:rPr>
          <w:rFonts w:eastAsia="Times New Roman" w:cs="Arial"/>
          <w:i w:val="0"/>
          <w:color w:val="000000"/>
          <w:spacing w:val="0"/>
          <w:sz w:val="18"/>
          <w:szCs w:val="18"/>
        </w:rPr>
        <w:t>&gt;</w:t>
      </w:r>
      <w:r w:rsidRPr="00811950">
        <w:rPr>
          <w:rFonts w:eastAsia="Times New Roman" w:cs="Arial"/>
          <w:i w:val="0"/>
          <w:color w:val="000000"/>
          <w:spacing w:val="0"/>
          <w:sz w:val="18"/>
          <w:szCs w:val="18"/>
        </w:rPr>
        <w:t xml:space="preserve">30 kg) plus rifapentine (900mg if weight </w:t>
      </w:r>
      <w:r w:rsidR="007277E7">
        <w:rPr>
          <w:rFonts w:eastAsia="Times New Roman" w:cs="Arial"/>
          <w:i w:val="0"/>
          <w:color w:val="000000"/>
          <w:spacing w:val="0"/>
          <w:sz w:val="18"/>
          <w:szCs w:val="18"/>
        </w:rPr>
        <w:t>&gt;</w:t>
      </w:r>
      <w:r w:rsidRPr="00811950">
        <w:rPr>
          <w:rFonts w:eastAsia="Times New Roman" w:cs="Arial"/>
          <w:i w:val="0"/>
          <w:color w:val="000000"/>
          <w:spacing w:val="0"/>
          <w:sz w:val="18"/>
          <w:szCs w:val="18"/>
        </w:rPr>
        <w:t xml:space="preserve">30 kg) for three months may be preferred. </w:t>
      </w:r>
      <w:bookmarkStart w:id="97" w:name="_Hlk170220904"/>
      <w:r w:rsidRPr="00811950">
        <w:rPr>
          <w:rFonts w:eastAsia="Times New Roman" w:cs="Arial"/>
          <w:i w:val="0"/>
          <w:color w:val="000000"/>
          <w:spacing w:val="0"/>
          <w:sz w:val="18"/>
          <w:szCs w:val="18"/>
        </w:rPr>
        <w:t xml:space="preserve">Do not use rifapentine-containing TPT in patients on protease inhibitor-based ART, or in women on hormonal contraceptives. </w:t>
      </w:r>
      <w:r w:rsidRPr="00811950">
        <w:rPr>
          <w:rFonts w:eastAsia="Times New Roman" w:cs="Arial"/>
          <w:color w:val="000000"/>
          <w:spacing w:val="0"/>
          <w:sz w:val="18"/>
          <w:szCs w:val="18"/>
        </w:rPr>
        <w:t xml:space="preserve">[See the therapeutic interchange database for details regarding the rifapentine-containing </w:t>
      </w:r>
      <w:r w:rsidRPr="00811950">
        <w:rPr>
          <w:sz w:val="18"/>
          <w:szCs w:val="18"/>
        </w:rPr>
        <w:t>TPT</w:t>
      </w:r>
      <w:r w:rsidRPr="00811950">
        <w:rPr>
          <w:rFonts w:eastAsia="Times New Roman" w:cs="Arial"/>
          <w:color w:val="000000"/>
          <w:spacing w:val="0"/>
          <w:sz w:val="18"/>
          <w:szCs w:val="18"/>
        </w:rPr>
        <w:t xml:space="preserve"> regimen</w:t>
      </w:r>
      <w:bookmarkEnd w:id="97"/>
      <w:r w:rsidRPr="00811950">
        <w:rPr>
          <w:rFonts w:eastAsia="Times New Roman" w:cs="Arial"/>
          <w:color w:val="000000"/>
          <w:spacing w:val="0"/>
          <w:sz w:val="18"/>
          <w:szCs w:val="18"/>
        </w:rPr>
        <w:t>].</w:t>
      </w:r>
    </w:p>
    <w:tbl>
      <w:tblPr>
        <w:tblStyle w:val="TableGrid1"/>
        <w:tblpPr w:leftFromText="180" w:rightFromText="180" w:vertAnchor="text" w:horzAnchor="margin" w:tblpXSpec="right" w:tblpY="3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9"/>
      </w:tblGrid>
      <w:tr w:rsidR="00E01A78" w:rsidRPr="00811950" w14:paraId="1D559DB7" w14:textId="77777777" w:rsidTr="00E01A78">
        <w:tc>
          <w:tcPr>
            <w:tcW w:w="879" w:type="dxa"/>
          </w:tcPr>
          <w:p w14:paraId="2FC11529" w14:textId="77777777" w:rsidR="00E01A78" w:rsidRPr="002344FD" w:rsidRDefault="00E01A78" w:rsidP="00E01A78">
            <w:pPr>
              <w:pStyle w:val="LoEText"/>
              <w:framePr w:hSpace="0" w:wrap="auto" w:vAnchor="margin" w:hAnchor="text" w:xAlign="left" w:yAlign="inline"/>
              <w:suppressOverlap w:val="0"/>
              <w:rPr>
                <w:sz w:val="14"/>
                <w:szCs w:val="14"/>
                <w:lang w:val="en-ZA"/>
              </w:rPr>
            </w:pPr>
            <w:r w:rsidRPr="002344FD">
              <w:rPr>
                <w:sz w:val="14"/>
                <w:szCs w:val="14"/>
              </w:rPr>
              <w:t>LoE:IIb</w:t>
            </w:r>
            <w:r w:rsidRPr="002344FD">
              <w:rPr>
                <w:sz w:val="14"/>
                <w:szCs w:val="14"/>
                <w:vertAlign w:val="superscript"/>
              </w:rPr>
              <w:endnoteReference w:id="24"/>
            </w:r>
          </w:p>
        </w:tc>
      </w:tr>
    </w:tbl>
    <w:p w14:paraId="6DC4CE80" w14:textId="77777777" w:rsidR="00097522" w:rsidRDefault="00097522" w:rsidP="00811950">
      <w:pPr>
        <w:pStyle w:val="LoEText"/>
        <w:framePr w:hSpace="0" w:wrap="auto" w:vAnchor="margin" w:hAnchor="text" w:xAlign="left" w:yAlign="inline"/>
        <w:suppressOverlap w:val="0"/>
        <w:jc w:val="both"/>
        <w:rPr>
          <w:rFonts w:eastAsia="Times New Roman" w:cs="Arial"/>
          <w:color w:val="000000"/>
          <w:spacing w:val="0"/>
          <w:sz w:val="18"/>
          <w:szCs w:val="18"/>
        </w:rPr>
      </w:pPr>
    </w:p>
    <w:p w14:paraId="6730E4F0" w14:textId="079BCE07" w:rsidR="00FF01A9" w:rsidRPr="001F4BAA" w:rsidRDefault="00811950" w:rsidP="003C51DB">
      <w:pPr>
        <w:pStyle w:val="Heading6"/>
      </w:pPr>
      <w:r>
        <w:t>P</w:t>
      </w:r>
      <w:r w:rsidR="00FF01A9" w:rsidRPr="001F4BAA">
        <w:t>reventive therapy in case of drug-resistant TB contact:</w:t>
      </w:r>
    </w:p>
    <w:p w14:paraId="59CBB56F" w14:textId="77777777" w:rsidR="00FF01A9" w:rsidRPr="001F4BAA" w:rsidRDefault="00FF01A9" w:rsidP="00FE21FD">
      <w:pPr>
        <w:pStyle w:val="Heading7"/>
      </w:pPr>
      <w:r w:rsidRPr="001F4BAA">
        <w:t>Isoniazid mono-resistant contact:</w:t>
      </w:r>
    </w:p>
    <w:p w14:paraId="76FC52E4" w14:textId="2C6CC77D" w:rsidR="00FF01A9" w:rsidRPr="001F4BAA" w:rsidRDefault="00FF01A9" w:rsidP="008542CC">
      <w:pPr>
        <w:pStyle w:val="BulletMedicine"/>
        <w:numPr>
          <w:ilvl w:val="0"/>
          <w:numId w:val="38"/>
        </w:numPr>
      </w:pPr>
      <w:r w:rsidRPr="001F4BAA">
        <w:t>Rifampicin, oral</w:t>
      </w:r>
      <w:r w:rsidR="00DE7455">
        <w:fldChar w:fldCharType="begin"/>
      </w:r>
      <w:r w:rsidR="00DE7455">
        <w:instrText xml:space="preserve"> XE “Rifampicin, oral” \f “m” \f “m” </w:instrText>
      </w:r>
      <w:r w:rsidR="00DE7455">
        <w:fldChar w:fldCharType="end"/>
      </w:r>
      <w:r w:rsidRPr="001F4BAA">
        <w:t>, 15 mg/kg daily for 4 months.</w:t>
      </w:r>
    </w:p>
    <w:tbl>
      <w:tblPr>
        <w:tblpPr w:leftFromText="180" w:rightFromText="180" w:vertAnchor="text" w:horzAnchor="margin" w:tblpXSpec="right" w:tblpY="-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D927AC" w:rsidRPr="001F4BAA" w14:paraId="76536BFD" w14:textId="77777777" w:rsidTr="00D927AC">
        <w:tc>
          <w:tcPr>
            <w:tcW w:w="907" w:type="dxa"/>
            <w:shd w:val="clear" w:color="auto" w:fill="FFFFFF" w:themeFill="background1"/>
          </w:tcPr>
          <w:p w14:paraId="0B772F04" w14:textId="5928B120" w:rsidR="00D927AC" w:rsidRPr="002344FD" w:rsidRDefault="00D927AC" w:rsidP="00D927AC">
            <w:pPr>
              <w:pStyle w:val="LoEText"/>
              <w:framePr w:hSpace="0" w:wrap="auto" w:vAnchor="margin" w:hAnchor="text" w:xAlign="left" w:yAlign="inline"/>
              <w:suppressOverlap w:val="0"/>
              <w:rPr>
                <w:sz w:val="14"/>
                <w:szCs w:val="14"/>
              </w:rPr>
            </w:pPr>
            <w:r w:rsidRPr="002344FD">
              <w:rPr>
                <w:sz w:val="14"/>
                <w:szCs w:val="14"/>
              </w:rPr>
              <w:t>LoE:I</w:t>
            </w:r>
            <w:r w:rsidR="00B5324C" w:rsidRPr="002344FD">
              <w:rPr>
                <w:sz w:val="14"/>
                <w:szCs w:val="14"/>
              </w:rPr>
              <w:t>Vb</w:t>
            </w:r>
            <w:r w:rsidRPr="002344FD">
              <w:rPr>
                <w:rStyle w:val="EndnoteReference8"/>
                <w:sz w:val="14"/>
                <w:szCs w:val="14"/>
              </w:rPr>
              <w:endnoteReference w:id="25"/>
            </w:r>
          </w:p>
        </w:tc>
      </w:tr>
    </w:tbl>
    <w:p w14:paraId="022F37C2" w14:textId="77777777" w:rsidR="00FF01A9" w:rsidRPr="001F4BAA" w:rsidRDefault="00FF01A9" w:rsidP="00FE21FD">
      <w:pPr>
        <w:pStyle w:val="Heading7"/>
      </w:pPr>
      <w:r w:rsidRPr="001F4BAA">
        <w:t>Rifampicin mono-resistant contact:</w:t>
      </w:r>
    </w:p>
    <w:tbl>
      <w:tblPr>
        <w:tblpPr w:leftFromText="180" w:rightFromText="180" w:vertAnchor="text" w:horzAnchor="margin" w:tblpXSpec="right" w:tblpY="3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D927AC" w:rsidRPr="001F4BAA" w14:paraId="5142AF93" w14:textId="77777777" w:rsidTr="00D927AC">
        <w:tc>
          <w:tcPr>
            <w:tcW w:w="907" w:type="dxa"/>
            <w:shd w:val="clear" w:color="auto" w:fill="FFFFFF" w:themeFill="background1"/>
          </w:tcPr>
          <w:p w14:paraId="5677E96C" w14:textId="5A735615" w:rsidR="00D927AC" w:rsidRPr="002344FD" w:rsidRDefault="00B5324C" w:rsidP="00D927AC">
            <w:pPr>
              <w:pStyle w:val="LoEText"/>
              <w:framePr w:hSpace="0" w:wrap="auto" w:vAnchor="margin" w:hAnchor="text" w:xAlign="left" w:yAlign="inline"/>
              <w:suppressOverlap w:val="0"/>
              <w:rPr>
                <w:sz w:val="14"/>
                <w:szCs w:val="14"/>
              </w:rPr>
            </w:pPr>
            <w:r w:rsidRPr="002344FD">
              <w:rPr>
                <w:sz w:val="14"/>
                <w:szCs w:val="14"/>
              </w:rPr>
              <w:t>LoE:IVb</w:t>
            </w:r>
            <w:r w:rsidR="00D927AC" w:rsidRPr="002344FD">
              <w:rPr>
                <w:rStyle w:val="EndnoteReference8"/>
                <w:sz w:val="14"/>
                <w:szCs w:val="14"/>
              </w:rPr>
              <w:endnoteReference w:id="26"/>
            </w:r>
          </w:p>
        </w:tc>
      </w:tr>
    </w:tbl>
    <w:p w14:paraId="687ACE23" w14:textId="6014754F" w:rsidR="00FF01A9" w:rsidRPr="001F4BAA" w:rsidRDefault="00FF01A9" w:rsidP="008542CC">
      <w:pPr>
        <w:pStyle w:val="BulletMedicine"/>
        <w:numPr>
          <w:ilvl w:val="0"/>
          <w:numId w:val="40"/>
        </w:numPr>
      </w:pPr>
      <w:r w:rsidRPr="001F4BAA">
        <w:t>Isoniazid, oral</w:t>
      </w:r>
      <w:r w:rsidR="00DE7455">
        <w:fldChar w:fldCharType="begin"/>
      </w:r>
      <w:r w:rsidR="00DE7455">
        <w:instrText xml:space="preserve"> XE “Isoniazid, oral” \f “m” </w:instrText>
      </w:r>
      <w:r w:rsidR="00DE7455">
        <w:fldChar w:fldCharType="end"/>
      </w:r>
      <w:r w:rsidRPr="001F4BAA">
        <w:t>, 10 mg/kg daily for 6 months (see table above).</w:t>
      </w:r>
    </w:p>
    <w:p w14:paraId="15B30F48" w14:textId="52EF1A1D" w:rsidR="00FF01A9" w:rsidRPr="001F4BAA" w:rsidRDefault="00FF01A9" w:rsidP="00FE21FD">
      <w:pPr>
        <w:pStyle w:val="Heading7"/>
      </w:pPr>
      <w:r w:rsidRPr="001F4BAA">
        <w:t xml:space="preserve">Children </w:t>
      </w:r>
      <w:r w:rsidR="00D42BBD">
        <w:t xml:space="preserve">living </w:t>
      </w:r>
      <w:r w:rsidRPr="001F4BAA">
        <w:t>with HIV or malnutrition or existing neuropathy taking isoniazid:</w:t>
      </w:r>
    </w:p>
    <w:p w14:paraId="115DF4AE" w14:textId="77777777" w:rsidR="00FF01A9" w:rsidRPr="002E33F3" w:rsidRDefault="00FF01A9" w:rsidP="00FF01A9">
      <w:pPr>
        <w:pStyle w:val="NoSpacing"/>
        <w:rPr>
          <w:b/>
          <w:bCs/>
        </w:rPr>
      </w:pPr>
      <w:r w:rsidRPr="002E33F3">
        <w:rPr>
          <w:b/>
          <w:bCs/>
        </w:rPr>
        <w:t>ADD</w:t>
      </w:r>
    </w:p>
    <w:p w14:paraId="5C80818A" w14:textId="3C6F59D9" w:rsidR="00FF01A9" w:rsidRPr="001F4BAA" w:rsidRDefault="00FF01A9" w:rsidP="008542CC">
      <w:pPr>
        <w:pStyle w:val="BulletMedicine"/>
        <w:numPr>
          <w:ilvl w:val="0"/>
          <w:numId w:val="39"/>
        </w:numPr>
      </w:pPr>
      <w:r w:rsidRPr="001F4BAA">
        <w:t>Pyridoxine, oral</w:t>
      </w:r>
      <w:r w:rsidR="00DE7455">
        <w:fldChar w:fldCharType="begin"/>
      </w:r>
      <w:r w:rsidR="00DE7455">
        <w:instrText xml:space="preserve"> XE “Pyridoxine, oral” \f “m” </w:instrText>
      </w:r>
      <w:r w:rsidR="00DE7455">
        <w:fldChar w:fldCharType="end"/>
      </w:r>
      <w:r w:rsidRPr="001F4BAA">
        <w:t>, daily for duration of prophylaxis:</w:t>
      </w:r>
    </w:p>
    <w:p w14:paraId="48F66C2A" w14:textId="1C711DAC" w:rsidR="00FF01A9" w:rsidRPr="001F4BAA" w:rsidRDefault="00FF01A9" w:rsidP="008542CC">
      <w:pPr>
        <w:pStyle w:val="BulletDirectionsInstructions"/>
        <w:numPr>
          <w:ilvl w:val="0"/>
          <w:numId w:val="58"/>
        </w:numPr>
      </w:pPr>
      <w:r w:rsidRPr="001F4BAA">
        <w:t xml:space="preserve">Child </w:t>
      </w:r>
      <w:r w:rsidR="007277E7">
        <w:t>&lt;</w:t>
      </w:r>
      <w:r w:rsidRPr="001F4BAA">
        <w:t>5 years old: 12.5 mg.</w:t>
      </w:r>
    </w:p>
    <w:tbl>
      <w:tblPr>
        <w:tblpPr w:leftFromText="180" w:rightFromText="180" w:vertAnchor="text" w:horzAnchor="margin" w:tblpXSpec="right" w:tblpY="-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D927AC" w:rsidRPr="001F4BAA" w14:paraId="338C50A4" w14:textId="77777777" w:rsidTr="00D927AC">
        <w:tc>
          <w:tcPr>
            <w:tcW w:w="907" w:type="dxa"/>
            <w:shd w:val="clear" w:color="auto" w:fill="FFFFFF" w:themeFill="background1"/>
          </w:tcPr>
          <w:p w14:paraId="73698E7D" w14:textId="33118190" w:rsidR="00D927AC" w:rsidRPr="002344FD" w:rsidRDefault="00B5324C" w:rsidP="00D927AC">
            <w:pPr>
              <w:pStyle w:val="LoEText"/>
              <w:framePr w:hSpace="0" w:wrap="auto" w:vAnchor="margin" w:hAnchor="text" w:xAlign="left" w:yAlign="inline"/>
              <w:suppressOverlap w:val="0"/>
              <w:rPr>
                <w:sz w:val="14"/>
                <w:szCs w:val="14"/>
              </w:rPr>
            </w:pPr>
            <w:r w:rsidRPr="002344FD">
              <w:rPr>
                <w:sz w:val="14"/>
                <w:szCs w:val="14"/>
              </w:rPr>
              <w:t>LoE:IVb</w:t>
            </w:r>
            <w:r w:rsidR="00D927AC" w:rsidRPr="002344FD">
              <w:rPr>
                <w:rStyle w:val="EndnoteReference8"/>
                <w:sz w:val="14"/>
                <w:szCs w:val="14"/>
              </w:rPr>
              <w:endnoteReference w:id="27"/>
            </w:r>
          </w:p>
        </w:tc>
      </w:tr>
    </w:tbl>
    <w:p w14:paraId="30A069B7" w14:textId="49C13CD0" w:rsidR="00FF01A9" w:rsidRPr="001F4BAA" w:rsidRDefault="00FF01A9" w:rsidP="008542CC">
      <w:pPr>
        <w:pStyle w:val="BulletDirectionsInstructions"/>
        <w:numPr>
          <w:ilvl w:val="0"/>
          <w:numId w:val="58"/>
        </w:numPr>
      </w:pPr>
      <w:r w:rsidRPr="001F4BAA">
        <w:t>Child ≥ 5 years old: 25 mg.</w:t>
      </w:r>
    </w:p>
    <w:p w14:paraId="5C35628B" w14:textId="77777777" w:rsidR="00FF01A9" w:rsidRPr="001F4BAA" w:rsidRDefault="00FF01A9" w:rsidP="00AB6E48">
      <w:pPr>
        <w:pStyle w:val="Heading5"/>
      </w:pPr>
      <w:r w:rsidRPr="001F4BAA">
        <w:t>REFERRAL</w:t>
      </w:r>
    </w:p>
    <w:p w14:paraId="07124365" w14:textId="11FCF7AA" w:rsidR="00FF01A9" w:rsidRPr="001F4BAA" w:rsidRDefault="00FF01A9" w:rsidP="00FF01A9">
      <w:pPr>
        <w:pStyle w:val="NoSpacing"/>
      </w:pPr>
      <w:r w:rsidRPr="001F4BAA">
        <w:t xml:space="preserve">Children with </w:t>
      </w:r>
      <w:r w:rsidR="00BD302A">
        <w:rPr>
          <w:rFonts w:eastAsia="Calibri" w:cs="Times New Roman"/>
        </w:rPr>
        <w:t xml:space="preserve">drug resistant </w:t>
      </w:r>
      <w:r w:rsidRPr="001F4BAA">
        <w:t>TB contacts for expert advice.</w:t>
      </w:r>
    </w:p>
    <w:p w14:paraId="62B02573" w14:textId="77777777" w:rsidR="00FF01A9" w:rsidRDefault="00FF01A9" w:rsidP="00FF01A9">
      <w:pPr>
        <w:pStyle w:val="NoSpacing"/>
      </w:pPr>
    </w:p>
    <w:p w14:paraId="6C8BC4F2" w14:textId="77777777" w:rsidR="00E01A78" w:rsidRPr="001F4BAA" w:rsidRDefault="00E01A78" w:rsidP="00FF01A9">
      <w:pPr>
        <w:pStyle w:val="NoSpacing"/>
      </w:pPr>
    </w:p>
    <w:p w14:paraId="0F4127E7" w14:textId="6CB1A4DD" w:rsidR="00FF01A9" w:rsidRPr="00AB6E48" w:rsidRDefault="00AB6E48" w:rsidP="00AB6E48">
      <w:pPr>
        <w:pStyle w:val="Heading4"/>
      </w:pPr>
      <w:bookmarkStart w:id="98" w:name="_Toc177054045"/>
      <w:r w:rsidRPr="00AB6E48">
        <w:t>TB control programme</w:t>
      </w:r>
      <w:r w:rsidR="00FF01A9" w:rsidRPr="00AB6E48">
        <w:t>:</w:t>
      </w:r>
      <w:r w:rsidRPr="00AB6E48">
        <w:t xml:space="preserve"> medicine regimens in children</w:t>
      </w:r>
      <w:bookmarkEnd w:id="98"/>
      <w:r w:rsidR="001132AD">
        <w:fldChar w:fldCharType="begin"/>
      </w:r>
      <w:r w:rsidR="001132AD">
        <w:instrText xml:space="preserve"> XE "</w:instrText>
      </w:r>
      <w:r w:rsidR="001132AD" w:rsidRPr="004A0AEB">
        <w:instrText>TB control programme\: medicine regimens in children</w:instrText>
      </w:r>
      <w:r w:rsidR="001132AD">
        <w:instrText xml:space="preserve">" </w:instrText>
      </w:r>
      <w:r w:rsidR="001132AD" w:rsidRPr="001132AD">
        <w:instrText xml:space="preserve">\f “c” </w:instrText>
      </w:r>
      <w:r w:rsidR="001132AD">
        <w:fldChar w:fldCharType="end"/>
      </w:r>
    </w:p>
    <w:p w14:paraId="51A4708E" w14:textId="6F5FA412" w:rsidR="00FF01A9" w:rsidRPr="001F4BAA" w:rsidRDefault="00FF01A9" w:rsidP="002344FD">
      <w:pPr>
        <w:pStyle w:val="ICD10"/>
        <w:shd w:val="clear" w:color="auto" w:fill="F2F2F2" w:themeFill="background1" w:themeFillShade="F2"/>
        <w:tabs>
          <w:tab w:val="left" w:pos="2753"/>
        </w:tabs>
      </w:pPr>
      <w:r w:rsidRPr="001F4BAA">
        <w:t>A15.0-3/A15.7-8/A16.0-2/</w:t>
      </w:r>
      <w:r w:rsidR="00F55869" w:rsidRPr="00F55869">
        <w:t xml:space="preserve"> </w:t>
      </w:r>
      <w:r w:rsidR="00F55869">
        <w:t>A16.4/</w:t>
      </w:r>
      <w:r w:rsidRPr="001F4BAA">
        <w:t>A16.7-8</w:t>
      </w:r>
      <w:r w:rsidR="00645ED1">
        <w:t xml:space="preserve"> + (</w:t>
      </w:r>
      <w:r w:rsidR="00645ED1" w:rsidRPr="001F4BAA">
        <w:t>B20.0</w:t>
      </w:r>
      <w:r w:rsidR="00645ED1">
        <w:t>)</w:t>
      </w:r>
    </w:p>
    <w:p w14:paraId="18B66E74" w14:textId="241CC29C" w:rsidR="00FF01A9" w:rsidRPr="001F4BAA" w:rsidRDefault="00806F76" w:rsidP="005C7F53">
      <w:r>
        <w:t>The employment of d</w:t>
      </w:r>
      <w:r w:rsidR="00FF01A9" w:rsidRPr="001F4BAA">
        <w:t>irectly observed therapy (DOT)</w:t>
      </w:r>
      <w:r w:rsidR="00B87A81">
        <w:t xml:space="preserve"> with</w:t>
      </w:r>
      <w:r w:rsidR="00FF01A9" w:rsidRPr="001F4BAA">
        <w:t xml:space="preserve"> short-course</w:t>
      </w:r>
      <w:r>
        <w:t xml:space="preserve">, </w:t>
      </w:r>
      <w:r w:rsidR="00FF01A9" w:rsidRPr="001F4BAA">
        <w:t>fixed medicine combinations are recommended. Treatment should be given daily in both the intensive (initial) and continuation phases.</w:t>
      </w:r>
    </w:p>
    <w:tbl>
      <w:tblPr>
        <w:tblStyle w:val="SamplePHCTable"/>
        <w:tblW w:w="0" w:type="auto"/>
        <w:tblLook w:val="04A0" w:firstRow="1" w:lastRow="0" w:firstColumn="1" w:lastColumn="0" w:noHBand="0" w:noVBand="1"/>
      </w:tblPr>
      <w:tblGrid>
        <w:gridCol w:w="1215"/>
        <w:gridCol w:w="2474"/>
        <w:gridCol w:w="2990"/>
      </w:tblGrid>
      <w:tr w:rsidR="00FF01A9" w:rsidRPr="001F4BAA" w14:paraId="6F9FA5B4" w14:textId="77777777" w:rsidTr="005C7F53">
        <w:trPr>
          <w:cnfStyle w:val="100000000000" w:firstRow="1" w:lastRow="0" w:firstColumn="0" w:lastColumn="0" w:oddVBand="0" w:evenVBand="0" w:oddHBand="0" w:evenHBand="0" w:firstRowFirstColumn="0" w:firstRowLastColumn="0" w:lastRowFirstColumn="0" w:lastRowLastColumn="0"/>
        </w:trPr>
        <w:tc>
          <w:tcPr>
            <w:tcW w:w="6679" w:type="dxa"/>
            <w:gridSpan w:val="3"/>
          </w:tcPr>
          <w:p w14:paraId="76BECCD6" w14:textId="77777777" w:rsidR="00612869" w:rsidRDefault="00612869" w:rsidP="00546428">
            <w:pPr>
              <w:pStyle w:val="NoSpacing"/>
              <w:jc w:val="center"/>
            </w:pPr>
          </w:p>
          <w:p w14:paraId="10C52E9F" w14:textId="77777777" w:rsidR="00612869" w:rsidRDefault="00612869" w:rsidP="00546428">
            <w:pPr>
              <w:pStyle w:val="NoSpacing"/>
              <w:jc w:val="center"/>
            </w:pPr>
          </w:p>
          <w:p w14:paraId="4085FF4B" w14:textId="44C9866A" w:rsidR="00FF01A9" w:rsidRPr="001F4BAA" w:rsidRDefault="00FF01A9" w:rsidP="00546428">
            <w:pPr>
              <w:pStyle w:val="NoSpacing"/>
              <w:jc w:val="center"/>
            </w:pPr>
            <w:r w:rsidRPr="001F4BAA">
              <w:t>Recommended dose ranges</w:t>
            </w:r>
          </w:p>
        </w:tc>
      </w:tr>
      <w:tr w:rsidR="00FF01A9" w:rsidRPr="005C7F53" w14:paraId="35021413" w14:textId="77777777" w:rsidTr="005C7F53">
        <w:tc>
          <w:tcPr>
            <w:tcW w:w="1215" w:type="dxa"/>
          </w:tcPr>
          <w:p w14:paraId="5AA4D2D7" w14:textId="77777777" w:rsidR="00FF01A9" w:rsidRPr="005C7F53" w:rsidRDefault="00FF01A9" w:rsidP="004A7096">
            <w:pPr>
              <w:pStyle w:val="NoSpacing"/>
              <w:rPr>
                <w:rStyle w:val="Strong"/>
              </w:rPr>
            </w:pPr>
          </w:p>
        </w:tc>
        <w:tc>
          <w:tcPr>
            <w:tcW w:w="2474" w:type="dxa"/>
            <w:hideMark/>
          </w:tcPr>
          <w:p w14:paraId="0039640A" w14:textId="47C5B010" w:rsidR="00FF01A9" w:rsidRPr="005C7F53" w:rsidRDefault="00FF01A9" w:rsidP="00546428">
            <w:pPr>
              <w:pStyle w:val="NoSpacing"/>
              <w:jc w:val="center"/>
              <w:rPr>
                <w:rStyle w:val="Strong"/>
              </w:rPr>
            </w:pPr>
            <w:r w:rsidRPr="005C7F53">
              <w:rPr>
                <w:rStyle w:val="Strong"/>
              </w:rPr>
              <w:t>Daily</w:t>
            </w:r>
            <w:r w:rsidR="00B87A81">
              <w:rPr>
                <w:rStyle w:val="Strong"/>
              </w:rPr>
              <w:t xml:space="preserve"> </w:t>
            </w:r>
            <w:r w:rsidRPr="005C7F53">
              <w:rPr>
                <w:rStyle w:val="Strong"/>
                <w:b w:val="0"/>
                <w:bCs w:val="0"/>
              </w:rPr>
              <w:t>(mg/kg)</w:t>
            </w:r>
          </w:p>
        </w:tc>
        <w:tc>
          <w:tcPr>
            <w:tcW w:w="2990" w:type="dxa"/>
            <w:hideMark/>
          </w:tcPr>
          <w:p w14:paraId="34BF969F" w14:textId="13E236FF" w:rsidR="00FF01A9" w:rsidRPr="005C7F53" w:rsidRDefault="00FF01A9" w:rsidP="00546428">
            <w:pPr>
              <w:pStyle w:val="NoSpacing"/>
              <w:jc w:val="center"/>
              <w:rPr>
                <w:rStyle w:val="Strong"/>
              </w:rPr>
            </w:pPr>
            <w:r w:rsidRPr="005C7F53">
              <w:rPr>
                <w:rStyle w:val="Strong"/>
              </w:rPr>
              <w:t>Maximum daily dose</w:t>
            </w:r>
          </w:p>
        </w:tc>
      </w:tr>
      <w:tr w:rsidR="00FF01A9" w:rsidRPr="001F4BAA" w14:paraId="4ED8DA7E" w14:textId="77777777" w:rsidTr="005C7F53">
        <w:tc>
          <w:tcPr>
            <w:tcW w:w="1215" w:type="dxa"/>
            <w:hideMark/>
          </w:tcPr>
          <w:p w14:paraId="2BC8FB9D" w14:textId="45EB79F5" w:rsidR="00FF01A9" w:rsidRPr="001F4BAA" w:rsidRDefault="00FF01A9" w:rsidP="004A7096">
            <w:pPr>
              <w:pStyle w:val="NoSpacing"/>
            </w:pPr>
            <w:r w:rsidRPr="001F4BAA">
              <w:t>H</w:t>
            </w:r>
            <w:r w:rsidR="00DE7455">
              <w:fldChar w:fldCharType="begin"/>
            </w:r>
            <w:r w:rsidR="00DE7455">
              <w:instrText xml:space="preserve"> XE “Isoniazid, oral” \F “M” </w:instrText>
            </w:r>
            <w:r w:rsidR="00DE7455">
              <w:fldChar w:fldCharType="end"/>
            </w:r>
          </w:p>
        </w:tc>
        <w:tc>
          <w:tcPr>
            <w:tcW w:w="2474" w:type="dxa"/>
            <w:hideMark/>
          </w:tcPr>
          <w:p w14:paraId="5869804A" w14:textId="77777777" w:rsidR="00FF01A9" w:rsidRPr="001F4BAA" w:rsidRDefault="00FF01A9" w:rsidP="00546428">
            <w:pPr>
              <w:pStyle w:val="NoSpacing"/>
              <w:jc w:val="center"/>
            </w:pPr>
            <w:r w:rsidRPr="001F4BAA">
              <w:t>10–15</w:t>
            </w:r>
          </w:p>
        </w:tc>
        <w:tc>
          <w:tcPr>
            <w:tcW w:w="2990" w:type="dxa"/>
            <w:hideMark/>
          </w:tcPr>
          <w:p w14:paraId="626B70F2" w14:textId="77777777" w:rsidR="00FF01A9" w:rsidRPr="001F4BAA" w:rsidRDefault="00FF01A9" w:rsidP="00546428">
            <w:pPr>
              <w:pStyle w:val="NoSpacing"/>
              <w:jc w:val="center"/>
            </w:pPr>
            <w:r w:rsidRPr="001F4BAA">
              <w:t>300 mg</w:t>
            </w:r>
          </w:p>
        </w:tc>
      </w:tr>
      <w:tr w:rsidR="00FF01A9" w:rsidRPr="001F4BAA" w14:paraId="518ED4DD" w14:textId="77777777" w:rsidTr="005C7F53">
        <w:tc>
          <w:tcPr>
            <w:tcW w:w="1215" w:type="dxa"/>
            <w:hideMark/>
          </w:tcPr>
          <w:p w14:paraId="7042E0CC" w14:textId="3FC72C3F" w:rsidR="00FF01A9" w:rsidRPr="001F4BAA" w:rsidRDefault="00FF01A9" w:rsidP="004A7096">
            <w:pPr>
              <w:pStyle w:val="NoSpacing"/>
            </w:pPr>
            <w:r w:rsidRPr="001F4BAA">
              <w:lastRenderedPageBreak/>
              <w:t>R</w:t>
            </w:r>
            <w:r w:rsidR="00DE7455">
              <w:fldChar w:fldCharType="begin"/>
            </w:r>
            <w:r w:rsidR="00DE7455">
              <w:instrText xml:space="preserve"> XE “Rifampicin, oral” \F “M” \F “M” </w:instrText>
            </w:r>
            <w:r w:rsidR="00DE7455">
              <w:fldChar w:fldCharType="end"/>
            </w:r>
          </w:p>
        </w:tc>
        <w:tc>
          <w:tcPr>
            <w:tcW w:w="2474" w:type="dxa"/>
            <w:hideMark/>
          </w:tcPr>
          <w:p w14:paraId="50B6E7D2" w14:textId="77777777" w:rsidR="00FF01A9" w:rsidRPr="001F4BAA" w:rsidRDefault="00FF01A9" w:rsidP="00546428">
            <w:pPr>
              <w:pStyle w:val="NoSpacing"/>
              <w:jc w:val="center"/>
            </w:pPr>
            <w:r w:rsidRPr="001F4BAA">
              <w:t>10–20</w:t>
            </w:r>
          </w:p>
        </w:tc>
        <w:tc>
          <w:tcPr>
            <w:tcW w:w="2990" w:type="dxa"/>
            <w:hideMark/>
          </w:tcPr>
          <w:p w14:paraId="13E84AEB" w14:textId="77777777" w:rsidR="00FF01A9" w:rsidRPr="001F4BAA" w:rsidRDefault="00FF01A9" w:rsidP="00546428">
            <w:pPr>
              <w:pStyle w:val="NoSpacing"/>
              <w:jc w:val="center"/>
            </w:pPr>
            <w:r w:rsidRPr="001F4BAA">
              <w:t>600 mg</w:t>
            </w:r>
          </w:p>
        </w:tc>
      </w:tr>
      <w:tr w:rsidR="00FF01A9" w:rsidRPr="001F4BAA" w14:paraId="4F2EDF6A" w14:textId="77777777" w:rsidTr="005C7F53">
        <w:tc>
          <w:tcPr>
            <w:tcW w:w="1215" w:type="dxa"/>
            <w:hideMark/>
          </w:tcPr>
          <w:p w14:paraId="6F8904AA" w14:textId="75AF8F4B" w:rsidR="00FF01A9" w:rsidRPr="001F4BAA" w:rsidRDefault="00FF01A9" w:rsidP="004A7096">
            <w:pPr>
              <w:pStyle w:val="NoSpacing"/>
            </w:pPr>
            <w:r w:rsidRPr="001F4BAA">
              <w:t>Z/ PZA</w:t>
            </w:r>
            <w:r w:rsidR="00DE7455">
              <w:fldChar w:fldCharType="begin"/>
            </w:r>
            <w:r w:rsidR="00DE7455">
              <w:instrText xml:space="preserve"> XE “Pyrazinamide, oral” \F “M”" </w:instrText>
            </w:r>
            <w:r w:rsidR="00DE7455">
              <w:fldChar w:fldCharType="end"/>
            </w:r>
          </w:p>
        </w:tc>
        <w:tc>
          <w:tcPr>
            <w:tcW w:w="2474" w:type="dxa"/>
            <w:hideMark/>
          </w:tcPr>
          <w:p w14:paraId="7684DA8D" w14:textId="77777777" w:rsidR="00FF01A9" w:rsidRPr="001F4BAA" w:rsidRDefault="00FF01A9" w:rsidP="00546428">
            <w:pPr>
              <w:pStyle w:val="NoSpacing"/>
              <w:jc w:val="center"/>
            </w:pPr>
            <w:r w:rsidRPr="001F4BAA">
              <w:t>30–40</w:t>
            </w:r>
          </w:p>
        </w:tc>
        <w:tc>
          <w:tcPr>
            <w:tcW w:w="2990" w:type="dxa"/>
            <w:hideMark/>
          </w:tcPr>
          <w:p w14:paraId="61C14988" w14:textId="77777777" w:rsidR="00FF01A9" w:rsidRPr="001F4BAA" w:rsidRDefault="00FF01A9" w:rsidP="00546428">
            <w:pPr>
              <w:pStyle w:val="NoSpacing"/>
              <w:jc w:val="center"/>
            </w:pPr>
            <w:r w:rsidRPr="001F4BAA">
              <w:t>2 g</w:t>
            </w:r>
          </w:p>
        </w:tc>
      </w:tr>
      <w:tr w:rsidR="00FF01A9" w:rsidRPr="001F4BAA" w14:paraId="699694A2" w14:textId="77777777" w:rsidTr="005C7F53">
        <w:tc>
          <w:tcPr>
            <w:tcW w:w="1215" w:type="dxa"/>
            <w:hideMark/>
          </w:tcPr>
          <w:p w14:paraId="543DCCC2" w14:textId="40C92582" w:rsidR="00FF01A9" w:rsidRPr="001F4BAA" w:rsidRDefault="00FF01A9" w:rsidP="004A7096">
            <w:pPr>
              <w:pStyle w:val="NoSpacing"/>
            </w:pPr>
            <w:r w:rsidRPr="001F4BAA">
              <w:t>E/EMB</w:t>
            </w:r>
            <w:r w:rsidR="00DE7455">
              <w:fldChar w:fldCharType="begin"/>
            </w:r>
            <w:r w:rsidR="00DE7455">
              <w:instrText xml:space="preserve"> XE “Ethambutol, oral” \F “M” </w:instrText>
            </w:r>
            <w:r w:rsidR="00DE7455">
              <w:fldChar w:fldCharType="end"/>
            </w:r>
          </w:p>
        </w:tc>
        <w:tc>
          <w:tcPr>
            <w:tcW w:w="2474" w:type="dxa"/>
            <w:hideMark/>
          </w:tcPr>
          <w:p w14:paraId="61E513DA" w14:textId="77777777" w:rsidR="00FF01A9" w:rsidRPr="001F4BAA" w:rsidRDefault="00FF01A9" w:rsidP="00546428">
            <w:pPr>
              <w:pStyle w:val="NoSpacing"/>
              <w:jc w:val="center"/>
            </w:pPr>
            <w:r w:rsidRPr="001F4BAA">
              <w:t>15–25</w:t>
            </w:r>
          </w:p>
        </w:tc>
        <w:tc>
          <w:tcPr>
            <w:tcW w:w="2990" w:type="dxa"/>
            <w:hideMark/>
          </w:tcPr>
          <w:p w14:paraId="2C37892F" w14:textId="6CD643DD" w:rsidR="00FF01A9" w:rsidRPr="001F4BAA" w:rsidRDefault="00FF01A9" w:rsidP="00546428">
            <w:pPr>
              <w:pStyle w:val="NoSpacing"/>
              <w:jc w:val="center"/>
            </w:pPr>
            <w:r w:rsidRPr="001F4BAA">
              <w:t>1</w:t>
            </w:r>
            <w:r w:rsidR="00B87A81">
              <w:t xml:space="preserve"> </w:t>
            </w:r>
            <w:r w:rsidRPr="001F4BAA">
              <w:t>200 mg</w:t>
            </w:r>
          </w:p>
        </w:tc>
      </w:tr>
    </w:tbl>
    <w:p w14:paraId="0922068B" w14:textId="5E8EEA46" w:rsidR="00285E03" w:rsidRDefault="00285E03" w:rsidP="00285E03">
      <w:pPr>
        <w:pStyle w:val="NoSpacing"/>
        <w:rPr>
          <w:b/>
          <w:bCs/>
          <w:caps/>
          <w:sz w:val="20"/>
        </w:rPr>
      </w:pPr>
    </w:p>
    <w:p w14:paraId="7A0A3EA6" w14:textId="2BAFA142" w:rsidR="00FF01A9" w:rsidRPr="001F4BAA" w:rsidRDefault="00FF01A9" w:rsidP="00AB6E48">
      <w:pPr>
        <w:pStyle w:val="Heading5"/>
      </w:pPr>
      <w:r w:rsidRPr="001F4BAA">
        <w:t>UNCOMPLICATED PULMONARY TB</w:t>
      </w:r>
    </w:p>
    <w:p w14:paraId="76126395" w14:textId="77777777" w:rsidR="00FF01A9" w:rsidRPr="001F4BAA" w:rsidRDefault="00FF01A9" w:rsidP="00FF01A9">
      <w:pPr>
        <w:pStyle w:val="NoSpacing"/>
      </w:pPr>
      <w:r w:rsidRPr="001F4BAA">
        <w:t>Includes smear negative pulmonary TB with no more than mild to moderate lymph node enlargement and/or lung field opacification, or simple pleural effusion on chest x-ray.</w:t>
      </w:r>
    </w:p>
    <w:p w14:paraId="3A833FF1" w14:textId="3A8C1EC2" w:rsidR="00FF01A9" w:rsidRPr="001F4BAA" w:rsidRDefault="00FF01A9" w:rsidP="00285E03">
      <w:pPr>
        <w:pStyle w:val="Heading7"/>
      </w:pPr>
      <w:r w:rsidRPr="001F4BAA">
        <w:t>Children ≤ 8 years of age</w:t>
      </w:r>
      <w:r w:rsidR="00BD302A">
        <w:t xml:space="preserve"> </w:t>
      </w:r>
      <w:r w:rsidR="00BD302A">
        <w:rPr>
          <w:rFonts w:eastAsia="Calibri" w:cs="Times New Roman"/>
        </w:rPr>
        <w:t xml:space="preserve">or </w:t>
      </w:r>
      <w:r w:rsidR="007277E7">
        <w:rPr>
          <w:rFonts w:eastAsia="Calibri" w:cs="Times New Roman"/>
        </w:rPr>
        <w:t>&lt;</w:t>
      </w:r>
      <w:r w:rsidR="00BD302A">
        <w:rPr>
          <w:rFonts w:eastAsia="Calibri" w:cs="Times New Roman"/>
        </w:rPr>
        <w:t>25 kg)</w:t>
      </w:r>
      <w:r w:rsidR="00AE538A">
        <w:rPr>
          <w:rFonts w:eastAsia="Calibri" w:cs="Times New Roman"/>
        </w:rPr>
        <w:t>:</w:t>
      </w:r>
    </w:p>
    <w:tbl>
      <w:tblPr>
        <w:tblStyle w:val="SamplePHCTable"/>
        <w:tblW w:w="5004" w:type="pct"/>
        <w:tblLook w:val="04E0" w:firstRow="1" w:lastRow="1" w:firstColumn="1" w:lastColumn="0" w:noHBand="0" w:noVBand="1"/>
      </w:tblPr>
      <w:tblGrid>
        <w:gridCol w:w="1202"/>
        <w:gridCol w:w="1098"/>
        <w:gridCol w:w="1374"/>
        <w:gridCol w:w="1375"/>
        <w:gridCol w:w="1645"/>
      </w:tblGrid>
      <w:tr w:rsidR="00FF01A9" w:rsidRPr="001F4BAA" w14:paraId="23179EFA" w14:textId="77777777" w:rsidTr="004E6DC3">
        <w:trPr>
          <w:cnfStyle w:val="100000000000" w:firstRow="1" w:lastRow="0" w:firstColumn="0" w:lastColumn="0" w:oddVBand="0" w:evenVBand="0" w:oddHBand="0" w:evenHBand="0" w:firstRowFirstColumn="0" w:firstRowLastColumn="0" w:lastRowFirstColumn="0" w:lastRowLastColumn="0"/>
          <w:trHeight w:val="20"/>
        </w:trPr>
        <w:tc>
          <w:tcPr>
            <w:tcW w:w="898" w:type="pct"/>
            <w:tcBorders>
              <w:top w:val="nil"/>
              <w:left w:val="nil"/>
            </w:tcBorders>
            <w:noWrap/>
          </w:tcPr>
          <w:p w14:paraId="1927741B" w14:textId="77777777" w:rsidR="00FF01A9" w:rsidRPr="001F4BAA" w:rsidRDefault="00FF01A9" w:rsidP="00361512">
            <w:pPr>
              <w:pStyle w:val="NoSpacing"/>
              <w:jc w:val="center"/>
            </w:pPr>
          </w:p>
        </w:tc>
        <w:tc>
          <w:tcPr>
            <w:tcW w:w="2873" w:type="pct"/>
            <w:gridSpan w:val="3"/>
          </w:tcPr>
          <w:p w14:paraId="199DE755" w14:textId="77777777" w:rsidR="00FF01A9" w:rsidRPr="001F4BAA" w:rsidRDefault="00FF01A9" w:rsidP="00361512">
            <w:pPr>
              <w:pStyle w:val="NoSpacing"/>
              <w:jc w:val="center"/>
            </w:pPr>
            <w:r w:rsidRPr="001F4BAA">
              <w:t>2 months intensive phase given daily</w:t>
            </w:r>
          </w:p>
        </w:tc>
        <w:tc>
          <w:tcPr>
            <w:tcW w:w="1229" w:type="pct"/>
          </w:tcPr>
          <w:p w14:paraId="59C07235" w14:textId="77777777" w:rsidR="00FF01A9" w:rsidRPr="001F4BAA" w:rsidRDefault="00FF01A9" w:rsidP="00361512">
            <w:pPr>
              <w:pStyle w:val="NoSpacing"/>
              <w:jc w:val="center"/>
            </w:pPr>
            <w:r w:rsidRPr="001F4BAA">
              <w:t>4 months continuation phase</w:t>
            </w:r>
          </w:p>
          <w:p w14:paraId="46EA3C49" w14:textId="77777777" w:rsidR="00FF01A9" w:rsidRPr="001F4BAA" w:rsidRDefault="00FF01A9" w:rsidP="00361512">
            <w:pPr>
              <w:pStyle w:val="NoSpacing"/>
              <w:jc w:val="center"/>
            </w:pPr>
            <w:r w:rsidRPr="001F4BAA">
              <w:t>given daily</w:t>
            </w:r>
          </w:p>
        </w:tc>
      </w:tr>
      <w:tr w:rsidR="00FF01A9" w:rsidRPr="001F4BAA" w14:paraId="7B69C8FD" w14:textId="77777777" w:rsidTr="004E6DC3">
        <w:trPr>
          <w:trHeight w:val="20"/>
        </w:trPr>
        <w:tc>
          <w:tcPr>
            <w:tcW w:w="898" w:type="pct"/>
            <w:vMerge w:val="restart"/>
          </w:tcPr>
          <w:p w14:paraId="5C3AAA38" w14:textId="77777777" w:rsidR="00FF01A9" w:rsidRPr="00361512" w:rsidRDefault="00FF01A9" w:rsidP="00361512">
            <w:pPr>
              <w:pStyle w:val="NoSpacing"/>
              <w:jc w:val="center"/>
              <w:rPr>
                <w:rStyle w:val="Strong"/>
              </w:rPr>
            </w:pPr>
            <w:r w:rsidRPr="00361512">
              <w:rPr>
                <w:rStyle w:val="Strong"/>
              </w:rPr>
              <w:t>Weight</w:t>
            </w:r>
          </w:p>
          <w:p w14:paraId="51A11889" w14:textId="35E362B2" w:rsidR="00FF01A9" w:rsidRPr="001F4BAA" w:rsidRDefault="00E553B2" w:rsidP="00361512">
            <w:pPr>
              <w:pStyle w:val="NoSpacing"/>
              <w:jc w:val="center"/>
            </w:pPr>
            <w:r>
              <w:t>(</w:t>
            </w:r>
            <w:r w:rsidR="00FF01A9" w:rsidRPr="001F4BAA">
              <w:t>kg</w:t>
            </w:r>
            <w:r>
              <w:t>)</w:t>
            </w:r>
          </w:p>
        </w:tc>
        <w:tc>
          <w:tcPr>
            <w:tcW w:w="820" w:type="pct"/>
          </w:tcPr>
          <w:p w14:paraId="2C3712B7" w14:textId="022AFABF" w:rsidR="00FF01A9" w:rsidRPr="00361512" w:rsidRDefault="00FF01A9" w:rsidP="00361512">
            <w:pPr>
              <w:pStyle w:val="NoSpacing"/>
              <w:jc w:val="center"/>
              <w:rPr>
                <w:rStyle w:val="Strong"/>
              </w:rPr>
            </w:pPr>
            <w:r w:rsidRPr="00361512">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p>
        </w:tc>
        <w:tc>
          <w:tcPr>
            <w:tcW w:w="2053" w:type="pct"/>
            <w:gridSpan w:val="2"/>
          </w:tcPr>
          <w:p w14:paraId="57D5D33E" w14:textId="02E1F63D" w:rsidR="00FF01A9" w:rsidRPr="00361512" w:rsidRDefault="00FF01A9" w:rsidP="00361512">
            <w:pPr>
              <w:pStyle w:val="NoSpacing"/>
              <w:jc w:val="center"/>
              <w:rPr>
                <w:rStyle w:val="Strong"/>
              </w:rPr>
            </w:pPr>
            <w:r w:rsidRPr="00361512">
              <w:rPr>
                <w:rStyle w:val="Strong"/>
              </w:rPr>
              <w:t>PZA</w:t>
            </w:r>
            <w:r w:rsidR="00DE7455">
              <w:rPr>
                <w:rStyle w:val="Strong"/>
              </w:rPr>
              <w:fldChar w:fldCharType="begin"/>
            </w:r>
            <w:r w:rsidR="00DE7455">
              <w:instrText xml:space="preserve"> XE “Pyrazinamide, oral” \F “M”" </w:instrText>
            </w:r>
            <w:r w:rsidR="00DE7455">
              <w:rPr>
                <w:rStyle w:val="Strong"/>
              </w:rPr>
              <w:fldChar w:fldCharType="end"/>
            </w:r>
          </w:p>
        </w:tc>
        <w:tc>
          <w:tcPr>
            <w:tcW w:w="1229" w:type="pct"/>
          </w:tcPr>
          <w:p w14:paraId="4115C66B" w14:textId="4AF7283A" w:rsidR="00FF01A9" w:rsidRPr="00361512" w:rsidRDefault="00FF01A9" w:rsidP="00361512">
            <w:pPr>
              <w:pStyle w:val="NoSpacing"/>
              <w:jc w:val="center"/>
              <w:rPr>
                <w:rStyle w:val="Strong"/>
              </w:rPr>
            </w:pPr>
            <w:r w:rsidRPr="00361512">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p>
        </w:tc>
      </w:tr>
      <w:tr w:rsidR="00FF01A9" w:rsidRPr="001F4BAA" w14:paraId="1AAAE1DE" w14:textId="77777777" w:rsidTr="004E6DC3">
        <w:trPr>
          <w:trHeight w:val="20"/>
        </w:trPr>
        <w:tc>
          <w:tcPr>
            <w:tcW w:w="898" w:type="pct"/>
            <w:vMerge/>
          </w:tcPr>
          <w:p w14:paraId="2450951D" w14:textId="77777777" w:rsidR="00FF01A9" w:rsidRPr="001F4BAA" w:rsidRDefault="00FF01A9" w:rsidP="00361512">
            <w:pPr>
              <w:pStyle w:val="NoSpacing"/>
              <w:jc w:val="center"/>
            </w:pPr>
          </w:p>
        </w:tc>
        <w:tc>
          <w:tcPr>
            <w:tcW w:w="820" w:type="pct"/>
          </w:tcPr>
          <w:p w14:paraId="42752F1C" w14:textId="3E539547" w:rsidR="00FF01A9" w:rsidRPr="001F4BAA" w:rsidRDefault="00FF01A9" w:rsidP="00361512">
            <w:pPr>
              <w:pStyle w:val="NoSpacing"/>
              <w:jc w:val="center"/>
            </w:pPr>
            <w:r w:rsidRPr="001F4BAA">
              <w:t>60/60</w:t>
            </w:r>
            <w:r w:rsidR="00E553B2">
              <w:t xml:space="preserve"> </w:t>
            </w:r>
            <w:r w:rsidRPr="001F4BAA">
              <w:t>mg</w:t>
            </w:r>
          </w:p>
        </w:tc>
        <w:tc>
          <w:tcPr>
            <w:tcW w:w="1026" w:type="pct"/>
          </w:tcPr>
          <w:p w14:paraId="249D1A24" w14:textId="77777777" w:rsidR="00FF01A9" w:rsidRPr="001F4BAA" w:rsidRDefault="00FF01A9" w:rsidP="00361512">
            <w:pPr>
              <w:pStyle w:val="NoSpacing"/>
              <w:jc w:val="center"/>
            </w:pPr>
            <w:r w:rsidRPr="001F4BAA">
              <w:t>150 mg*</w:t>
            </w:r>
          </w:p>
          <w:p w14:paraId="3A00B02B" w14:textId="77777777" w:rsidR="00FF01A9" w:rsidRPr="00361512" w:rsidRDefault="00FF01A9" w:rsidP="00361512">
            <w:pPr>
              <w:pStyle w:val="NoSpacing"/>
              <w:jc w:val="center"/>
              <w:rPr>
                <w:rStyle w:val="Strong"/>
              </w:rPr>
            </w:pPr>
            <w:r w:rsidRPr="00361512">
              <w:rPr>
                <w:rStyle w:val="Strong"/>
              </w:rPr>
              <w:t>OR</w:t>
            </w:r>
          </w:p>
          <w:p w14:paraId="47733A56" w14:textId="73666E06" w:rsidR="00FF01A9" w:rsidRPr="001F4BAA" w:rsidRDefault="00FF01A9" w:rsidP="00361512">
            <w:pPr>
              <w:pStyle w:val="NoSpacing"/>
              <w:jc w:val="center"/>
            </w:pPr>
            <w:r w:rsidRPr="001F4BAA">
              <w:t>150</w:t>
            </w:r>
            <w:r w:rsidR="00E553B2">
              <w:t xml:space="preserve"> </w:t>
            </w:r>
            <w:r w:rsidRPr="001F4BAA">
              <w:t>mg/3 mL</w:t>
            </w:r>
          </w:p>
        </w:tc>
        <w:tc>
          <w:tcPr>
            <w:tcW w:w="1027" w:type="pct"/>
          </w:tcPr>
          <w:p w14:paraId="2A91D17B" w14:textId="012D5EB9" w:rsidR="00FF01A9" w:rsidRPr="001F4BAA" w:rsidRDefault="00FF01A9" w:rsidP="00361512">
            <w:pPr>
              <w:pStyle w:val="NoSpacing"/>
              <w:jc w:val="center"/>
            </w:pPr>
            <w:r w:rsidRPr="001F4BAA">
              <w:t>500</w:t>
            </w:r>
            <w:r w:rsidR="00E553B2">
              <w:t xml:space="preserve"> </w:t>
            </w:r>
            <w:r w:rsidRPr="001F4BAA">
              <w:t>mg</w:t>
            </w:r>
          </w:p>
        </w:tc>
        <w:tc>
          <w:tcPr>
            <w:tcW w:w="1229" w:type="pct"/>
          </w:tcPr>
          <w:p w14:paraId="371E262A" w14:textId="5AE2E6DE" w:rsidR="00FF01A9" w:rsidRPr="001F4BAA" w:rsidRDefault="00FF01A9" w:rsidP="00361512">
            <w:pPr>
              <w:pStyle w:val="NoSpacing"/>
              <w:jc w:val="center"/>
            </w:pPr>
            <w:r w:rsidRPr="001F4BAA">
              <w:t>60/60</w:t>
            </w:r>
            <w:r w:rsidR="00E553B2">
              <w:t xml:space="preserve"> </w:t>
            </w:r>
            <w:r w:rsidRPr="001F4BAA">
              <w:t>mg</w:t>
            </w:r>
          </w:p>
        </w:tc>
      </w:tr>
      <w:tr w:rsidR="00FF01A9" w:rsidRPr="001F4BAA" w14:paraId="4F645208" w14:textId="77777777" w:rsidTr="004E6DC3">
        <w:trPr>
          <w:trHeight w:val="20"/>
        </w:trPr>
        <w:tc>
          <w:tcPr>
            <w:tcW w:w="898" w:type="pct"/>
          </w:tcPr>
          <w:p w14:paraId="28A7B580" w14:textId="77777777" w:rsidR="00FF01A9" w:rsidRPr="001F4BAA" w:rsidRDefault="00FF01A9" w:rsidP="00361512">
            <w:pPr>
              <w:pStyle w:val="NoSpacing"/>
              <w:jc w:val="center"/>
            </w:pPr>
            <w:r w:rsidRPr="001F4BAA">
              <w:t>2–2.9 kg</w:t>
            </w:r>
          </w:p>
        </w:tc>
        <w:tc>
          <w:tcPr>
            <w:tcW w:w="820" w:type="pct"/>
          </w:tcPr>
          <w:p w14:paraId="44EABDA6" w14:textId="77777777" w:rsidR="00FF01A9" w:rsidRPr="001F4BAA" w:rsidRDefault="00FF01A9" w:rsidP="00361512">
            <w:pPr>
              <w:pStyle w:val="NoSpacing"/>
              <w:jc w:val="center"/>
            </w:pPr>
            <w:r w:rsidRPr="001F4BAA">
              <w:t>½ tablet</w:t>
            </w:r>
          </w:p>
        </w:tc>
        <w:tc>
          <w:tcPr>
            <w:tcW w:w="1026" w:type="pct"/>
          </w:tcPr>
          <w:p w14:paraId="7C7A7473" w14:textId="77777777" w:rsidR="00FF01A9" w:rsidRPr="001F4BAA" w:rsidRDefault="00FF01A9" w:rsidP="00361512">
            <w:pPr>
              <w:pStyle w:val="NoSpacing"/>
              <w:jc w:val="center"/>
            </w:pPr>
            <w:r w:rsidRPr="001F4BAA">
              <w:t>1.5 mL</w:t>
            </w:r>
          </w:p>
        </w:tc>
        <w:tc>
          <w:tcPr>
            <w:tcW w:w="1027" w:type="pct"/>
          </w:tcPr>
          <w:p w14:paraId="00D2563E" w14:textId="77777777" w:rsidR="00FF01A9" w:rsidRPr="001F4BAA" w:rsidRDefault="00FF01A9" w:rsidP="00361512">
            <w:pPr>
              <w:pStyle w:val="NoSpacing"/>
              <w:jc w:val="center"/>
            </w:pPr>
            <w:r w:rsidRPr="001F4BAA">
              <w:t>expert advice on dose</w:t>
            </w:r>
          </w:p>
        </w:tc>
        <w:tc>
          <w:tcPr>
            <w:tcW w:w="1229" w:type="pct"/>
          </w:tcPr>
          <w:p w14:paraId="204342BF" w14:textId="77777777" w:rsidR="00FF01A9" w:rsidRPr="001F4BAA" w:rsidRDefault="00FF01A9" w:rsidP="00361512">
            <w:pPr>
              <w:pStyle w:val="NoSpacing"/>
              <w:jc w:val="center"/>
            </w:pPr>
            <w:r w:rsidRPr="001F4BAA">
              <w:t>½ tablet</w:t>
            </w:r>
          </w:p>
        </w:tc>
      </w:tr>
      <w:tr w:rsidR="00FF01A9" w:rsidRPr="001F4BAA" w14:paraId="0F1C6E50" w14:textId="77777777" w:rsidTr="004E6DC3">
        <w:trPr>
          <w:trHeight w:val="20"/>
        </w:trPr>
        <w:tc>
          <w:tcPr>
            <w:tcW w:w="898" w:type="pct"/>
          </w:tcPr>
          <w:p w14:paraId="56ABEE89" w14:textId="77777777" w:rsidR="00FF01A9" w:rsidRPr="001F4BAA" w:rsidRDefault="00FF01A9" w:rsidP="00361512">
            <w:pPr>
              <w:pStyle w:val="NoSpacing"/>
              <w:jc w:val="center"/>
            </w:pPr>
            <w:r w:rsidRPr="001F4BAA">
              <w:t>3–3.9 kg</w:t>
            </w:r>
          </w:p>
        </w:tc>
        <w:tc>
          <w:tcPr>
            <w:tcW w:w="820" w:type="pct"/>
          </w:tcPr>
          <w:p w14:paraId="1CEAD60A" w14:textId="77777777" w:rsidR="00FF01A9" w:rsidRPr="001F4BAA" w:rsidRDefault="00FF01A9" w:rsidP="00361512">
            <w:pPr>
              <w:pStyle w:val="NoSpacing"/>
              <w:jc w:val="center"/>
            </w:pPr>
            <w:r w:rsidRPr="001F4BAA">
              <w:t>¾ tablet</w:t>
            </w:r>
          </w:p>
        </w:tc>
        <w:tc>
          <w:tcPr>
            <w:tcW w:w="1026" w:type="pct"/>
          </w:tcPr>
          <w:p w14:paraId="7821F00E" w14:textId="77777777" w:rsidR="00FF01A9" w:rsidRPr="001F4BAA" w:rsidRDefault="00FF01A9" w:rsidP="00361512">
            <w:pPr>
              <w:pStyle w:val="NoSpacing"/>
              <w:jc w:val="center"/>
            </w:pPr>
            <w:r w:rsidRPr="001F4BAA">
              <w:t>2.5 mL</w:t>
            </w:r>
          </w:p>
        </w:tc>
        <w:tc>
          <w:tcPr>
            <w:tcW w:w="1027" w:type="pct"/>
          </w:tcPr>
          <w:p w14:paraId="490352A7" w14:textId="77777777" w:rsidR="00FF01A9" w:rsidRPr="001F4BAA" w:rsidRDefault="00FF01A9" w:rsidP="00361512">
            <w:pPr>
              <w:pStyle w:val="NoSpacing"/>
              <w:jc w:val="center"/>
            </w:pPr>
            <w:r w:rsidRPr="001F4BAA">
              <w:t>¼ tablet</w:t>
            </w:r>
          </w:p>
        </w:tc>
        <w:tc>
          <w:tcPr>
            <w:tcW w:w="1229" w:type="pct"/>
          </w:tcPr>
          <w:p w14:paraId="1F86BD64" w14:textId="77777777" w:rsidR="00FF01A9" w:rsidRPr="001F4BAA" w:rsidRDefault="00FF01A9" w:rsidP="00361512">
            <w:pPr>
              <w:pStyle w:val="NoSpacing"/>
              <w:jc w:val="center"/>
            </w:pPr>
            <w:r w:rsidRPr="001F4BAA">
              <w:t>¾ tablet</w:t>
            </w:r>
          </w:p>
        </w:tc>
      </w:tr>
      <w:tr w:rsidR="00FF01A9" w:rsidRPr="001F4BAA" w14:paraId="750880B0" w14:textId="77777777" w:rsidTr="004E6DC3">
        <w:trPr>
          <w:trHeight w:val="20"/>
        </w:trPr>
        <w:tc>
          <w:tcPr>
            <w:tcW w:w="898" w:type="pct"/>
          </w:tcPr>
          <w:p w14:paraId="50C0A364" w14:textId="77777777" w:rsidR="00FF01A9" w:rsidRPr="001F4BAA" w:rsidRDefault="00FF01A9" w:rsidP="00361512">
            <w:pPr>
              <w:pStyle w:val="NoSpacing"/>
              <w:jc w:val="center"/>
            </w:pPr>
            <w:r w:rsidRPr="001F4BAA">
              <w:t>4–5.9 kg</w:t>
            </w:r>
          </w:p>
        </w:tc>
        <w:tc>
          <w:tcPr>
            <w:tcW w:w="820" w:type="pct"/>
          </w:tcPr>
          <w:p w14:paraId="0949133D" w14:textId="77777777" w:rsidR="00FF01A9" w:rsidRPr="001F4BAA" w:rsidRDefault="00FF01A9" w:rsidP="00361512">
            <w:pPr>
              <w:pStyle w:val="NoSpacing"/>
              <w:jc w:val="center"/>
            </w:pPr>
            <w:r w:rsidRPr="001F4BAA">
              <w:t>1 tablet</w:t>
            </w:r>
          </w:p>
        </w:tc>
        <w:tc>
          <w:tcPr>
            <w:tcW w:w="1026" w:type="pct"/>
          </w:tcPr>
          <w:p w14:paraId="5373D1D1" w14:textId="77777777" w:rsidR="00FF01A9" w:rsidRPr="001F4BAA" w:rsidRDefault="00FF01A9" w:rsidP="00361512">
            <w:pPr>
              <w:pStyle w:val="NoSpacing"/>
              <w:jc w:val="center"/>
            </w:pPr>
            <w:r w:rsidRPr="001F4BAA">
              <w:t>3 mL</w:t>
            </w:r>
          </w:p>
        </w:tc>
        <w:tc>
          <w:tcPr>
            <w:tcW w:w="1027" w:type="pct"/>
          </w:tcPr>
          <w:p w14:paraId="1D4523C8" w14:textId="77777777" w:rsidR="00FF01A9" w:rsidRPr="001F4BAA" w:rsidRDefault="00FF01A9" w:rsidP="00361512">
            <w:pPr>
              <w:pStyle w:val="NoSpacing"/>
              <w:jc w:val="center"/>
            </w:pPr>
            <w:r w:rsidRPr="001F4BAA">
              <w:t>¼ tablet</w:t>
            </w:r>
          </w:p>
        </w:tc>
        <w:tc>
          <w:tcPr>
            <w:tcW w:w="1229" w:type="pct"/>
          </w:tcPr>
          <w:p w14:paraId="007A75DE" w14:textId="77777777" w:rsidR="00FF01A9" w:rsidRPr="001F4BAA" w:rsidRDefault="00FF01A9" w:rsidP="00361512">
            <w:pPr>
              <w:pStyle w:val="NoSpacing"/>
              <w:jc w:val="center"/>
            </w:pPr>
            <w:r w:rsidRPr="001F4BAA">
              <w:t>1 tablet</w:t>
            </w:r>
          </w:p>
        </w:tc>
      </w:tr>
      <w:tr w:rsidR="00FF01A9" w:rsidRPr="001F4BAA" w14:paraId="7C431229" w14:textId="77777777" w:rsidTr="004E6DC3">
        <w:trPr>
          <w:trHeight w:val="20"/>
        </w:trPr>
        <w:tc>
          <w:tcPr>
            <w:tcW w:w="898" w:type="pct"/>
          </w:tcPr>
          <w:p w14:paraId="623DE53C" w14:textId="77777777" w:rsidR="00FF01A9" w:rsidRPr="001F4BAA" w:rsidRDefault="00FF01A9" w:rsidP="00361512">
            <w:pPr>
              <w:pStyle w:val="NoSpacing"/>
              <w:jc w:val="center"/>
            </w:pPr>
            <w:r w:rsidRPr="001F4BAA">
              <w:t>6–7.9 kg</w:t>
            </w:r>
          </w:p>
        </w:tc>
        <w:tc>
          <w:tcPr>
            <w:tcW w:w="820" w:type="pct"/>
          </w:tcPr>
          <w:p w14:paraId="7B901991" w14:textId="77777777" w:rsidR="00FF01A9" w:rsidRPr="001F4BAA" w:rsidRDefault="00FF01A9" w:rsidP="00361512">
            <w:pPr>
              <w:pStyle w:val="NoSpacing"/>
              <w:jc w:val="center"/>
            </w:pPr>
            <w:r w:rsidRPr="001F4BAA">
              <w:t>1½ tablets</w:t>
            </w:r>
          </w:p>
        </w:tc>
        <w:tc>
          <w:tcPr>
            <w:tcW w:w="1026" w:type="pct"/>
            <w:vMerge w:val="restart"/>
          </w:tcPr>
          <w:p w14:paraId="6231C9A8" w14:textId="77777777" w:rsidR="00FF01A9" w:rsidRPr="001F4BAA" w:rsidRDefault="00FF01A9" w:rsidP="00361512">
            <w:pPr>
              <w:pStyle w:val="NoSpacing"/>
              <w:jc w:val="center"/>
            </w:pPr>
          </w:p>
        </w:tc>
        <w:tc>
          <w:tcPr>
            <w:tcW w:w="1027" w:type="pct"/>
          </w:tcPr>
          <w:p w14:paraId="2B122725" w14:textId="77777777" w:rsidR="00FF01A9" w:rsidRPr="001F4BAA" w:rsidRDefault="00FF01A9" w:rsidP="00361512">
            <w:pPr>
              <w:pStyle w:val="NoSpacing"/>
              <w:jc w:val="center"/>
            </w:pPr>
            <w:r w:rsidRPr="001F4BAA">
              <w:t>½ tablet</w:t>
            </w:r>
          </w:p>
        </w:tc>
        <w:tc>
          <w:tcPr>
            <w:tcW w:w="1229" w:type="pct"/>
          </w:tcPr>
          <w:p w14:paraId="72748C9B" w14:textId="77777777" w:rsidR="00FF01A9" w:rsidRPr="001F4BAA" w:rsidRDefault="00FF01A9" w:rsidP="00361512">
            <w:pPr>
              <w:pStyle w:val="NoSpacing"/>
              <w:jc w:val="center"/>
            </w:pPr>
            <w:r w:rsidRPr="001F4BAA">
              <w:t>1½ tablets</w:t>
            </w:r>
          </w:p>
        </w:tc>
      </w:tr>
      <w:tr w:rsidR="00FF01A9" w:rsidRPr="001F4BAA" w14:paraId="530D3C5B" w14:textId="77777777" w:rsidTr="004E6DC3">
        <w:trPr>
          <w:trHeight w:val="20"/>
        </w:trPr>
        <w:tc>
          <w:tcPr>
            <w:tcW w:w="898" w:type="pct"/>
          </w:tcPr>
          <w:p w14:paraId="341CB8D7" w14:textId="77777777" w:rsidR="00FF01A9" w:rsidRPr="001F4BAA" w:rsidRDefault="00FF01A9" w:rsidP="00361512">
            <w:pPr>
              <w:pStyle w:val="NoSpacing"/>
              <w:jc w:val="center"/>
            </w:pPr>
            <w:r w:rsidRPr="001F4BAA">
              <w:t>8–11.9 kg</w:t>
            </w:r>
          </w:p>
        </w:tc>
        <w:tc>
          <w:tcPr>
            <w:tcW w:w="820" w:type="pct"/>
          </w:tcPr>
          <w:p w14:paraId="4CEBD304" w14:textId="77777777" w:rsidR="00FF01A9" w:rsidRPr="001F4BAA" w:rsidRDefault="00FF01A9" w:rsidP="00361512">
            <w:pPr>
              <w:pStyle w:val="NoSpacing"/>
              <w:jc w:val="center"/>
            </w:pPr>
            <w:r w:rsidRPr="001F4BAA">
              <w:t>2 tablets</w:t>
            </w:r>
          </w:p>
        </w:tc>
        <w:tc>
          <w:tcPr>
            <w:tcW w:w="1026" w:type="pct"/>
            <w:vMerge/>
          </w:tcPr>
          <w:p w14:paraId="0E0B222A" w14:textId="77777777" w:rsidR="00FF01A9" w:rsidRPr="001F4BAA" w:rsidRDefault="00FF01A9" w:rsidP="00361512">
            <w:pPr>
              <w:pStyle w:val="NoSpacing"/>
              <w:jc w:val="center"/>
            </w:pPr>
          </w:p>
        </w:tc>
        <w:tc>
          <w:tcPr>
            <w:tcW w:w="1027" w:type="pct"/>
          </w:tcPr>
          <w:p w14:paraId="5C2A5356" w14:textId="77777777" w:rsidR="00FF01A9" w:rsidRPr="001F4BAA" w:rsidRDefault="00FF01A9" w:rsidP="00361512">
            <w:pPr>
              <w:pStyle w:val="NoSpacing"/>
              <w:jc w:val="center"/>
            </w:pPr>
            <w:r w:rsidRPr="001F4BAA">
              <w:t>½ tablet</w:t>
            </w:r>
          </w:p>
        </w:tc>
        <w:tc>
          <w:tcPr>
            <w:tcW w:w="1229" w:type="pct"/>
          </w:tcPr>
          <w:p w14:paraId="5ECBFF47" w14:textId="77777777" w:rsidR="00FF01A9" w:rsidRPr="001F4BAA" w:rsidRDefault="00FF01A9" w:rsidP="00361512">
            <w:pPr>
              <w:pStyle w:val="NoSpacing"/>
              <w:jc w:val="center"/>
            </w:pPr>
            <w:r w:rsidRPr="001F4BAA">
              <w:t>2 tablets</w:t>
            </w:r>
          </w:p>
        </w:tc>
      </w:tr>
      <w:tr w:rsidR="00FF01A9" w:rsidRPr="001F4BAA" w14:paraId="62C97115" w14:textId="77777777" w:rsidTr="004E6DC3">
        <w:trPr>
          <w:trHeight w:val="20"/>
        </w:trPr>
        <w:tc>
          <w:tcPr>
            <w:tcW w:w="898" w:type="pct"/>
          </w:tcPr>
          <w:p w14:paraId="3DD148AC" w14:textId="77777777" w:rsidR="00FF01A9" w:rsidRPr="001F4BAA" w:rsidRDefault="00FF01A9" w:rsidP="00361512">
            <w:pPr>
              <w:pStyle w:val="NoSpacing"/>
              <w:jc w:val="center"/>
            </w:pPr>
            <w:r w:rsidRPr="001F4BAA">
              <w:t>12–14.9 kg</w:t>
            </w:r>
          </w:p>
        </w:tc>
        <w:tc>
          <w:tcPr>
            <w:tcW w:w="820" w:type="pct"/>
          </w:tcPr>
          <w:p w14:paraId="20DDD19E" w14:textId="77777777" w:rsidR="00FF01A9" w:rsidRPr="001F4BAA" w:rsidRDefault="00FF01A9" w:rsidP="00361512">
            <w:pPr>
              <w:pStyle w:val="NoSpacing"/>
              <w:jc w:val="center"/>
            </w:pPr>
            <w:r w:rsidRPr="001F4BAA">
              <w:t>3 tablets</w:t>
            </w:r>
          </w:p>
        </w:tc>
        <w:tc>
          <w:tcPr>
            <w:tcW w:w="1026" w:type="pct"/>
            <w:vMerge/>
          </w:tcPr>
          <w:p w14:paraId="78BF59C9" w14:textId="77777777" w:rsidR="00FF01A9" w:rsidRPr="001F4BAA" w:rsidRDefault="00FF01A9" w:rsidP="00361512">
            <w:pPr>
              <w:pStyle w:val="NoSpacing"/>
              <w:jc w:val="center"/>
            </w:pPr>
          </w:p>
        </w:tc>
        <w:tc>
          <w:tcPr>
            <w:tcW w:w="1027" w:type="pct"/>
          </w:tcPr>
          <w:p w14:paraId="5FE4677B" w14:textId="77777777" w:rsidR="00FF01A9" w:rsidRPr="001F4BAA" w:rsidRDefault="00FF01A9" w:rsidP="00361512">
            <w:pPr>
              <w:pStyle w:val="NoSpacing"/>
              <w:jc w:val="center"/>
            </w:pPr>
            <w:r w:rsidRPr="001F4BAA">
              <w:t>1 tablet</w:t>
            </w:r>
          </w:p>
        </w:tc>
        <w:tc>
          <w:tcPr>
            <w:tcW w:w="1229" w:type="pct"/>
          </w:tcPr>
          <w:p w14:paraId="5862D670" w14:textId="77777777" w:rsidR="00FF01A9" w:rsidRPr="001F4BAA" w:rsidRDefault="00FF01A9" w:rsidP="00361512">
            <w:pPr>
              <w:pStyle w:val="NoSpacing"/>
              <w:jc w:val="center"/>
            </w:pPr>
            <w:r w:rsidRPr="001F4BAA">
              <w:t>3 tablets</w:t>
            </w:r>
          </w:p>
        </w:tc>
      </w:tr>
      <w:tr w:rsidR="00FF01A9" w:rsidRPr="001F4BAA" w14:paraId="593E7175" w14:textId="77777777" w:rsidTr="004E6DC3">
        <w:trPr>
          <w:trHeight w:val="20"/>
        </w:trPr>
        <w:tc>
          <w:tcPr>
            <w:tcW w:w="898" w:type="pct"/>
          </w:tcPr>
          <w:p w14:paraId="65043022" w14:textId="77777777" w:rsidR="00FF01A9" w:rsidRPr="001F4BAA" w:rsidRDefault="00FF01A9" w:rsidP="00361512">
            <w:pPr>
              <w:pStyle w:val="NoSpacing"/>
              <w:jc w:val="center"/>
            </w:pPr>
            <w:r w:rsidRPr="001F4BAA">
              <w:t>15–19.9 kg</w:t>
            </w:r>
          </w:p>
        </w:tc>
        <w:tc>
          <w:tcPr>
            <w:tcW w:w="820" w:type="pct"/>
          </w:tcPr>
          <w:p w14:paraId="6CB76BB4" w14:textId="77777777" w:rsidR="00FF01A9" w:rsidRPr="001F4BAA" w:rsidRDefault="00FF01A9" w:rsidP="00361512">
            <w:pPr>
              <w:pStyle w:val="NoSpacing"/>
              <w:jc w:val="center"/>
            </w:pPr>
            <w:r w:rsidRPr="001F4BAA">
              <w:t>3½ tablets</w:t>
            </w:r>
          </w:p>
        </w:tc>
        <w:tc>
          <w:tcPr>
            <w:tcW w:w="1026" w:type="pct"/>
            <w:vMerge/>
          </w:tcPr>
          <w:p w14:paraId="53ABD30C" w14:textId="77777777" w:rsidR="00FF01A9" w:rsidRPr="001F4BAA" w:rsidRDefault="00FF01A9" w:rsidP="00361512">
            <w:pPr>
              <w:pStyle w:val="NoSpacing"/>
              <w:jc w:val="center"/>
            </w:pPr>
          </w:p>
        </w:tc>
        <w:tc>
          <w:tcPr>
            <w:tcW w:w="1027" w:type="pct"/>
          </w:tcPr>
          <w:p w14:paraId="01CC5A8A" w14:textId="77777777" w:rsidR="00FF01A9" w:rsidRPr="001F4BAA" w:rsidRDefault="00FF01A9" w:rsidP="00361512">
            <w:pPr>
              <w:pStyle w:val="NoSpacing"/>
              <w:jc w:val="center"/>
            </w:pPr>
            <w:r w:rsidRPr="001F4BAA">
              <w:t>1 tablet</w:t>
            </w:r>
          </w:p>
        </w:tc>
        <w:tc>
          <w:tcPr>
            <w:tcW w:w="1229" w:type="pct"/>
          </w:tcPr>
          <w:p w14:paraId="17BA182F" w14:textId="77777777" w:rsidR="00FF01A9" w:rsidRPr="001F4BAA" w:rsidRDefault="00FF01A9" w:rsidP="00361512">
            <w:pPr>
              <w:pStyle w:val="NoSpacing"/>
              <w:jc w:val="center"/>
            </w:pPr>
            <w:r w:rsidRPr="001F4BAA">
              <w:t>3½ tablets</w:t>
            </w:r>
          </w:p>
        </w:tc>
      </w:tr>
      <w:tr w:rsidR="00FF01A9" w:rsidRPr="001F4BAA" w14:paraId="25E5C7AF" w14:textId="77777777" w:rsidTr="004E6DC3">
        <w:trPr>
          <w:trHeight w:val="20"/>
        </w:trPr>
        <w:tc>
          <w:tcPr>
            <w:tcW w:w="898" w:type="pct"/>
          </w:tcPr>
          <w:p w14:paraId="4B9370B1" w14:textId="77777777" w:rsidR="00FF01A9" w:rsidRPr="001F4BAA" w:rsidRDefault="00FF01A9" w:rsidP="00361512">
            <w:pPr>
              <w:pStyle w:val="NoSpacing"/>
              <w:jc w:val="center"/>
            </w:pPr>
            <w:r w:rsidRPr="001F4BAA">
              <w:t>20–24.9 kg</w:t>
            </w:r>
          </w:p>
        </w:tc>
        <w:tc>
          <w:tcPr>
            <w:tcW w:w="820" w:type="pct"/>
          </w:tcPr>
          <w:p w14:paraId="7257124F" w14:textId="77777777" w:rsidR="00FF01A9" w:rsidRPr="001F4BAA" w:rsidRDefault="00FF01A9" w:rsidP="00361512">
            <w:pPr>
              <w:pStyle w:val="NoSpacing"/>
              <w:jc w:val="center"/>
            </w:pPr>
            <w:r w:rsidRPr="001F4BAA">
              <w:t>4½ tablets</w:t>
            </w:r>
          </w:p>
        </w:tc>
        <w:tc>
          <w:tcPr>
            <w:tcW w:w="1026" w:type="pct"/>
            <w:vMerge/>
          </w:tcPr>
          <w:p w14:paraId="11666301" w14:textId="77777777" w:rsidR="00FF01A9" w:rsidRPr="001F4BAA" w:rsidRDefault="00FF01A9" w:rsidP="00361512">
            <w:pPr>
              <w:pStyle w:val="NoSpacing"/>
              <w:jc w:val="center"/>
            </w:pPr>
          </w:p>
        </w:tc>
        <w:tc>
          <w:tcPr>
            <w:tcW w:w="1027" w:type="pct"/>
          </w:tcPr>
          <w:p w14:paraId="1FF0CC0C" w14:textId="77777777" w:rsidR="00FF01A9" w:rsidRPr="001F4BAA" w:rsidRDefault="00FF01A9" w:rsidP="00361512">
            <w:pPr>
              <w:pStyle w:val="NoSpacing"/>
              <w:jc w:val="center"/>
            </w:pPr>
            <w:r w:rsidRPr="001F4BAA">
              <w:t>1½ tablet</w:t>
            </w:r>
          </w:p>
        </w:tc>
        <w:tc>
          <w:tcPr>
            <w:tcW w:w="1229" w:type="pct"/>
          </w:tcPr>
          <w:p w14:paraId="73D0A20D" w14:textId="77777777" w:rsidR="00FF01A9" w:rsidRPr="001F4BAA" w:rsidRDefault="00FF01A9" w:rsidP="00361512">
            <w:pPr>
              <w:pStyle w:val="NoSpacing"/>
              <w:jc w:val="center"/>
            </w:pPr>
            <w:r w:rsidRPr="001F4BAA">
              <w:t>4½ tablets</w:t>
            </w:r>
          </w:p>
        </w:tc>
      </w:tr>
      <w:tr w:rsidR="00FF01A9" w:rsidRPr="001F4BAA" w14:paraId="099F537D" w14:textId="77777777" w:rsidTr="004E6DC3">
        <w:trPr>
          <w:trHeight w:val="20"/>
        </w:trPr>
        <w:tc>
          <w:tcPr>
            <w:tcW w:w="898" w:type="pct"/>
          </w:tcPr>
          <w:p w14:paraId="7B2A3AE5" w14:textId="77777777" w:rsidR="00FF01A9" w:rsidRPr="001F4BAA" w:rsidRDefault="00FF01A9" w:rsidP="00361512">
            <w:pPr>
              <w:pStyle w:val="NoSpacing"/>
              <w:jc w:val="center"/>
            </w:pPr>
            <w:r w:rsidRPr="001F4BAA">
              <w:t>25–29.9 kg</w:t>
            </w:r>
          </w:p>
        </w:tc>
        <w:tc>
          <w:tcPr>
            <w:tcW w:w="820" w:type="pct"/>
          </w:tcPr>
          <w:p w14:paraId="1E22577C" w14:textId="77777777" w:rsidR="00FF01A9" w:rsidRPr="001F4BAA" w:rsidRDefault="00FF01A9" w:rsidP="00361512">
            <w:pPr>
              <w:pStyle w:val="NoSpacing"/>
              <w:jc w:val="center"/>
            </w:pPr>
            <w:r w:rsidRPr="001F4BAA">
              <w:t>5 tablets</w:t>
            </w:r>
          </w:p>
        </w:tc>
        <w:tc>
          <w:tcPr>
            <w:tcW w:w="1026" w:type="pct"/>
            <w:vMerge/>
          </w:tcPr>
          <w:p w14:paraId="2682DFEE" w14:textId="77777777" w:rsidR="00FF01A9" w:rsidRPr="001F4BAA" w:rsidRDefault="00FF01A9" w:rsidP="00361512">
            <w:pPr>
              <w:pStyle w:val="NoSpacing"/>
              <w:jc w:val="center"/>
            </w:pPr>
          </w:p>
        </w:tc>
        <w:tc>
          <w:tcPr>
            <w:tcW w:w="1027" w:type="pct"/>
          </w:tcPr>
          <w:p w14:paraId="05D56390" w14:textId="77777777" w:rsidR="00FF01A9" w:rsidRPr="001F4BAA" w:rsidRDefault="00FF01A9" w:rsidP="00361512">
            <w:pPr>
              <w:pStyle w:val="NoSpacing"/>
              <w:jc w:val="center"/>
            </w:pPr>
            <w:r w:rsidRPr="001F4BAA">
              <w:t>2 tablets</w:t>
            </w:r>
          </w:p>
        </w:tc>
        <w:tc>
          <w:tcPr>
            <w:tcW w:w="1229" w:type="pct"/>
          </w:tcPr>
          <w:p w14:paraId="66594455" w14:textId="77777777" w:rsidR="00FF01A9" w:rsidRPr="001F4BAA" w:rsidRDefault="00FF01A9" w:rsidP="00361512">
            <w:pPr>
              <w:pStyle w:val="NoSpacing"/>
              <w:jc w:val="center"/>
            </w:pPr>
            <w:r w:rsidRPr="001F4BAA">
              <w:t>5 tablets</w:t>
            </w:r>
          </w:p>
        </w:tc>
      </w:tr>
      <w:tr w:rsidR="00C502EB" w:rsidRPr="001F4BAA" w14:paraId="2542C202" w14:textId="77777777" w:rsidTr="004E6DC3">
        <w:trPr>
          <w:cnfStyle w:val="010000000000" w:firstRow="0" w:lastRow="1" w:firstColumn="0" w:lastColumn="0" w:oddVBand="0" w:evenVBand="0" w:oddHBand="0" w:evenHBand="0" w:firstRowFirstColumn="0" w:firstRowLastColumn="0" w:lastRowFirstColumn="0" w:lastRowLastColumn="0"/>
          <w:trHeight w:val="20"/>
        </w:trPr>
        <w:tc>
          <w:tcPr>
            <w:tcW w:w="5000" w:type="pct"/>
            <w:gridSpan w:val="5"/>
          </w:tcPr>
          <w:p w14:paraId="160CE84A" w14:textId="77777777" w:rsidR="00C502EB" w:rsidRPr="001F4BAA" w:rsidRDefault="00C502EB" w:rsidP="00C502EB">
            <w:pPr>
              <w:pStyle w:val="NoSpacing"/>
            </w:pPr>
            <w:r w:rsidRPr="001F4BAA">
              <w:t>* For each dose, dissolve 150 mg dispersible (1 tablet) in 3 mL of water to prepare a concentration of 50 mg/mL (150 mg/3 mL)</w:t>
            </w:r>
          </w:p>
          <w:tbl>
            <w:tblPr>
              <w:tblpPr w:leftFromText="180" w:rightFromText="180" w:vertAnchor="text" w:horzAnchor="margin" w:tblpXSpec="right" w:tblpY="4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832"/>
            </w:tblGrid>
            <w:tr w:rsidR="00E01A78" w:rsidRPr="001F4BAA" w14:paraId="32FED042" w14:textId="77777777" w:rsidTr="00E01A78">
              <w:tc>
                <w:tcPr>
                  <w:tcW w:w="832" w:type="dxa"/>
                  <w:shd w:val="clear" w:color="auto" w:fill="FFFFFF" w:themeFill="background1"/>
                </w:tcPr>
                <w:p w14:paraId="4F596183" w14:textId="77777777" w:rsidR="00E01A78" w:rsidRPr="002344FD" w:rsidRDefault="00E01A78" w:rsidP="00E01A78">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28"/>
                  </w:r>
                </w:p>
              </w:tc>
            </w:tr>
          </w:tbl>
          <w:p w14:paraId="6E895304" w14:textId="782AE408" w:rsidR="00C502EB" w:rsidRPr="001F4BAA" w:rsidRDefault="00C502EB" w:rsidP="00C502EB">
            <w:pPr>
              <w:pStyle w:val="NoSpacing"/>
            </w:pPr>
            <w:r w:rsidRPr="00C502EB">
              <w:rPr>
                <w:rStyle w:val="Strong"/>
              </w:rPr>
              <w:t>Note:</w:t>
            </w:r>
            <w:r w:rsidRPr="001F4BAA">
              <w:t xml:space="preserve"> Give PZA</w:t>
            </w:r>
            <w:r w:rsidR="00DE7455">
              <w:t xml:space="preserve"> </w:t>
            </w:r>
            <w:r w:rsidRPr="001F4BAA">
              <w:t xml:space="preserve">150 mg </w:t>
            </w:r>
            <w:r w:rsidRPr="00C502EB">
              <w:rPr>
                <w:rStyle w:val="Strong"/>
              </w:rPr>
              <w:t>or</w:t>
            </w:r>
            <w:r w:rsidRPr="001F4BAA">
              <w:t xml:space="preserve"> 500 mg, and not both.</w:t>
            </w:r>
          </w:p>
        </w:tc>
      </w:tr>
    </w:tbl>
    <w:p w14:paraId="2E9E79FD" w14:textId="77777777" w:rsidR="005A5B6B" w:rsidRDefault="005A5B6B" w:rsidP="00CF1E51">
      <w:pPr>
        <w:pStyle w:val="Heading6"/>
      </w:pPr>
    </w:p>
    <w:p w14:paraId="631B3447" w14:textId="77777777" w:rsidR="005A5B6B" w:rsidRDefault="005A5B6B">
      <w:pPr>
        <w:spacing w:before="0" w:after="0"/>
        <w:jc w:val="left"/>
        <w:rPr>
          <w:b/>
          <w:bCs/>
        </w:rPr>
      </w:pPr>
      <w:r>
        <w:br w:type="page"/>
      </w:r>
    </w:p>
    <w:p w14:paraId="0CF2C518" w14:textId="10BAA366" w:rsidR="00FF01A9" w:rsidRPr="001F4BAA" w:rsidRDefault="00FF01A9" w:rsidP="00CF1E51">
      <w:pPr>
        <w:pStyle w:val="Heading6"/>
      </w:pPr>
      <w:r w:rsidRPr="001F4BAA">
        <w:lastRenderedPageBreak/>
        <w:t>Dosing recommendations for dispersible fixed dose combinations tablets:</w:t>
      </w:r>
    </w:p>
    <w:tbl>
      <w:tblPr>
        <w:tblStyle w:val="SamplePHCTable"/>
        <w:tblW w:w="0" w:type="auto"/>
        <w:tblLook w:val="04A0" w:firstRow="1" w:lastRow="0" w:firstColumn="1" w:lastColumn="0" w:noHBand="0" w:noVBand="1"/>
      </w:tblPr>
      <w:tblGrid>
        <w:gridCol w:w="1204"/>
        <w:gridCol w:w="2479"/>
        <w:gridCol w:w="2996"/>
      </w:tblGrid>
      <w:tr w:rsidR="00FF01A9" w:rsidRPr="001F4BAA" w14:paraId="529D4606" w14:textId="77777777" w:rsidTr="00E01A78">
        <w:trPr>
          <w:cnfStyle w:val="100000000000" w:firstRow="1" w:lastRow="0" w:firstColumn="0" w:lastColumn="0" w:oddVBand="0" w:evenVBand="0" w:oddHBand="0" w:evenHBand="0" w:firstRowFirstColumn="0" w:firstRowLastColumn="0" w:lastRowFirstColumn="0" w:lastRowLastColumn="0"/>
        </w:trPr>
        <w:tc>
          <w:tcPr>
            <w:tcW w:w="1204" w:type="dxa"/>
            <w:vMerge w:val="restart"/>
          </w:tcPr>
          <w:p w14:paraId="587FD567" w14:textId="77777777" w:rsidR="00FF01A9" w:rsidRPr="001F4BAA" w:rsidRDefault="00FF01A9" w:rsidP="00CA1190">
            <w:pPr>
              <w:pStyle w:val="NoSpacing"/>
              <w:jc w:val="center"/>
            </w:pPr>
            <w:r w:rsidRPr="001F4BAA">
              <w:t>Weight</w:t>
            </w:r>
          </w:p>
          <w:p w14:paraId="3B2AA649" w14:textId="77777777" w:rsidR="00FF01A9" w:rsidRPr="007D65CE" w:rsidRDefault="00FF01A9" w:rsidP="00CA1190">
            <w:pPr>
              <w:pStyle w:val="NoSpacing"/>
              <w:jc w:val="center"/>
              <w:rPr>
                <w:b w:val="0"/>
                <w:bCs/>
              </w:rPr>
            </w:pPr>
            <w:r w:rsidRPr="007D65CE">
              <w:rPr>
                <w:b w:val="0"/>
                <w:bCs/>
              </w:rPr>
              <w:t>kg</w:t>
            </w:r>
          </w:p>
        </w:tc>
        <w:tc>
          <w:tcPr>
            <w:tcW w:w="2479" w:type="dxa"/>
            <w:hideMark/>
          </w:tcPr>
          <w:p w14:paraId="6E3A1E80" w14:textId="77777777" w:rsidR="00FF01A9" w:rsidRPr="001F4BAA" w:rsidRDefault="00FF01A9" w:rsidP="00CA1190">
            <w:pPr>
              <w:pStyle w:val="NoSpacing"/>
              <w:jc w:val="center"/>
            </w:pPr>
            <w:r w:rsidRPr="001F4BAA">
              <w:t>2 months intensive phase given daily</w:t>
            </w:r>
          </w:p>
        </w:tc>
        <w:tc>
          <w:tcPr>
            <w:tcW w:w="2996" w:type="dxa"/>
            <w:hideMark/>
          </w:tcPr>
          <w:p w14:paraId="46B1087D" w14:textId="77777777" w:rsidR="00FF01A9" w:rsidRPr="001F4BAA" w:rsidRDefault="00FF01A9" w:rsidP="00CA1190">
            <w:pPr>
              <w:pStyle w:val="NoSpacing"/>
              <w:jc w:val="center"/>
            </w:pPr>
            <w:r w:rsidRPr="001F4BAA">
              <w:t>4 months continuation phase</w:t>
            </w:r>
          </w:p>
          <w:p w14:paraId="109F8425" w14:textId="77777777" w:rsidR="00FF01A9" w:rsidRPr="001F4BAA" w:rsidRDefault="00FF01A9" w:rsidP="00CA1190">
            <w:pPr>
              <w:pStyle w:val="NoSpacing"/>
              <w:jc w:val="center"/>
            </w:pPr>
            <w:r w:rsidRPr="001F4BAA">
              <w:t>given daily</w:t>
            </w:r>
          </w:p>
        </w:tc>
      </w:tr>
      <w:tr w:rsidR="00FF01A9" w:rsidRPr="001F4BAA" w14:paraId="473DF4A6" w14:textId="77777777" w:rsidTr="00E01A78">
        <w:tc>
          <w:tcPr>
            <w:tcW w:w="1204" w:type="dxa"/>
            <w:vMerge/>
            <w:hideMark/>
          </w:tcPr>
          <w:p w14:paraId="76943210" w14:textId="77777777" w:rsidR="00FF01A9" w:rsidRPr="001F4BAA" w:rsidRDefault="00FF01A9" w:rsidP="00CA1190">
            <w:pPr>
              <w:pStyle w:val="NoSpacing"/>
              <w:jc w:val="center"/>
            </w:pPr>
          </w:p>
        </w:tc>
        <w:tc>
          <w:tcPr>
            <w:tcW w:w="2479" w:type="dxa"/>
            <w:shd w:val="clear" w:color="auto" w:fill="D9D9D9" w:themeFill="background1" w:themeFillShade="D9"/>
            <w:hideMark/>
          </w:tcPr>
          <w:p w14:paraId="2E518082" w14:textId="5DED0367" w:rsidR="00FF01A9" w:rsidRPr="001F4BAA" w:rsidRDefault="00FF01A9" w:rsidP="00CA1190">
            <w:pPr>
              <w:pStyle w:val="NoSpacing"/>
              <w:jc w:val="center"/>
            </w:pPr>
            <w:r w:rsidRPr="007D65CE">
              <w:rPr>
                <w:rStyle w:val="Strong"/>
              </w:rPr>
              <w:t>RHZ</w:t>
            </w:r>
            <w:r w:rsidR="00DE7455">
              <w:rPr>
                <w:rStyle w:val="Strong"/>
              </w:rPr>
              <w:fldChar w:fldCharType="begin"/>
            </w:r>
            <w:r w:rsidR="00DE7455">
              <w:instrText xml:space="preserve"> XE “Rifampicin/isoniazid/pyrazinamide” \F “M”" </w:instrText>
            </w:r>
            <w:r w:rsidR="00DE7455">
              <w:rPr>
                <w:rStyle w:val="Strong"/>
              </w:rPr>
              <w:fldChar w:fldCharType="end"/>
            </w:r>
            <w:r w:rsidRPr="001F4BAA">
              <w:t xml:space="preserve"> (75/50/150 mg)</w:t>
            </w:r>
          </w:p>
        </w:tc>
        <w:tc>
          <w:tcPr>
            <w:tcW w:w="2996" w:type="dxa"/>
            <w:shd w:val="clear" w:color="auto" w:fill="D9D9D9" w:themeFill="background1" w:themeFillShade="D9"/>
            <w:hideMark/>
          </w:tcPr>
          <w:p w14:paraId="07BBB5E6" w14:textId="2B4D68E9" w:rsidR="00FF01A9" w:rsidRPr="001F4BAA" w:rsidRDefault="00FF01A9" w:rsidP="00CA1190">
            <w:pPr>
              <w:pStyle w:val="NoSpacing"/>
              <w:jc w:val="center"/>
            </w:pPr>
            <w:r w:rsidRPr="007D65CE">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r w:rsidRPr="001F4BAA">
              <w:t xml:space="preserve"> (75/50 mg)</w:t>
            </w:r>
          </w:p>
        </w:tc>
      </w:tr>
      <w:tr w:rsidR="00FF01A9" w:rsidRPr="001F4BAA" w14:paraId="7319F8A9" w14:textId="77777777" w:rsidTr="00E01A78">
        <w:tc>
          <w:tcPr>
            <w:tcW w:w="1204" w:type="dxa"/>
            <w:hideMark/>
          </w:tcPr>
          <w:p w14:paraId="2EDF51B5" w14:textId="77777777" w:rsidR="00FF01A9" w:rsidRPr="001F4BAA" w:rsidRDefault="00FF01A9" w:rsidP="00CA1190">
            <w:pPr>
              <w:pStyle w:val="NoSpacing"/>
              <w:jc w:val="center"/>
            </w:pPr>
            <w:r w:rsidRPr="001F4BAA">
              <w:t>4–7.9 kg</w:t>
            </w:r>
          </w:p>
        </w:tc>
        <w:tc>
          <w:tcPr>
            <w:tcW w:w="2479" w:type="dxa"/>
            <w:hideMark/>
          </w:tcPr>
          <w:p w14:paraId="484E5895" w14:textId="77777777" w:rsidR="00FF01A9" w:rsidRPr="001F4BAA" w:rsidRDefault="00FF01A9" w:rsidP="00CA1190">
            <w:pPr>
              <w:pStyle w:val="NoSpacing"/>
              <w:jc w:val="center"/>
            </w:pPr>
            <w:r w:rsidRPr="001F4BAA">
              <w:t>1 tablet</w:t>
            </w:r>
          </w:p>
        </w:tc>
        <w:tc>
          <w:tcPr>
            <w:tcW w:w="2996" w:type="dxa"/>
            <w:hideMark/>
          </w:tcPr>
          <w:p w14:paraId="00A91F14" w14:textId="77777777" w:rsidR="00FF01A9" w:rsidRPr="001F4BAA" w:rsidRDefault="00FF01A9" w:rsidP="00CA1190">
            <w:pPr>
              <w:pStyle w:val="NoSpacing"/>
              <w:jc w:val="center"/>
            </w:pPr>
            <w:r w:rsidRPr="001F4BAA">
              <w:t>1 tablet</w:t>
            </w:r>
          </w:p>
        </w:tc>
      </w:tr>
      <w:tr w:rsidR="00FF01A9" w:rsidRPr="001F4BAA" w14:paraId="38484D42" w14:textId="77777777" w:rsidTr="00E01A78">
        <w:tc>
          <w:tcPr>
            <w:tcW w:w="1204" w:type="dxa"/>
            <w:hideMark/>
          </w:tcPr>
          <w:p w14:paraId="466566A7" w14:textId="77777777" w:rsidR="00FF01A9" w:rsidRPr="001F4BAA" w:rsidRDefault="00FF01A9" w:rsidP="00CA1190">
            <w:pPr>
              <w:pStyle w:val="NoSpacing"/>
              <w:jc w:val="center"/>
            </w:pPr>
            <w:r w:rsidRPr="001F4BAA">
              <w:t>8–11.9 kg</w:t>
            </w:r>
          </w:p>
        </w:tc>
        <w:tc>
          <w:tcPr>
            <w:tcW w:w="2479" w:type="dxa"/>
            <w:hideMark/>
          </w:tcPr>
          <w:p w14:paraId="3B1FF267" w14:textId="77777777" w:rsidR="00FF01A9" w:rsidRPr="001F4BAA" w:rsidRDefault="00FF01A9" w:rsidP="00CA1190">
            <w:pPr>
              <w:pStyle w:val="NoSpacing"/>
              <w:jc w:val="center"/>
            </w:pPr>
            <w:r w:rsidRPr="001F4BAA">
              <w:t>2 tablets</w:t>
            </w:r>
          </w:p>
        </w:tc>
        <w:tc>
          <w:tcPr>
            <w:tcW w:w="2996" w:type="dxa"/>
            <w:hideMark/>
          </w:tcPr>
          <w:p w14:paraId="53A33C2C" w14:textId="77777777" w:rsidR="00FF01A9" w:rsidRPr="001F4BAA" w:rsidRDefault="00FF01A9" w:rsidP="00CA1190">
            <w:pPr>
              <w:pStyle w:val="NoSpacing"/>
              <w:jc w:val="center"/>
            </w:pPr>
            <w:r w:rsidRPr="001F4BAA">
              <w:t>2 tablets</w:t>
            </w:r>
          </w:p>
        </w:tc>
      </w:tr>
      <w:tr w:rsidR="00FF01A9" w:rsidRPr="001F4BAA" w14:paraId="657BFAF8" w14:textId="77777777" w:rsidTr="00E01A78">
        <w:tc>
          <w:tcPr>
            <w:tcW w:w="1204" w:type="dxa"/>
            <w:hideMark/>
          </w:tcPr>
          <w:p w14:paraId="48C8BEAF" w14:textId="77777777" w:rsidR="00FF01A9" w:rsidRPr="001F4BAA" w:rsidRDefault="00FF01A9" w:rsidP="00CA1190">
            <w:pPr>
              <w:pStyle w:val="NoSpacing"/>
              <w:jc w:val="center"/>
            </w:pPr>
            <w:r w:rsidRPr="001F4BAA">
              <w:t>12–15.9 kg</w:t>
            </w:r>
          </w:p>
        </w:tc>
        <w:tc>
          <w:tcPr>
            <w:tcW w:w="2479" w:type="dxa"/>
            <w:hideMark/>
          </w:tcPr>
          <w:p w14:paraId="58481404" w14:textId="77777777" w:rsidR="00FF01A9" w:rsidRPr="001F4BAA" w:rsidRDefault="00FF01A9" w:rsidP="00CA1190">
            <w:pPr>
              <w:pStyle w:val="NoSpacing"/>
              <w:jc w:val="center"/>
            </w:pPr>
            <w:r w:rsidRPr="001F4BAA">
              <w:t>3 tablets</w:t>
            </w:r>
          </w:p>
        </w:tc>
        <w:tc>
          <w:tcPr>
            <w:tcW w:w="2996" w:type="dxa"/>
            <w:hideMark/>
          </w:tcPr>
          <w:p w14:paraId="6034D27D" w14:textId="77777777" w:rsidR="00FF01A9" w:rsidRPr="001F4BAA" w:rsidRDefault="00FF01A9" w:rsidP="00CA1190">
            <w:pPr>
              <w:pStyle w:val="NoSpacing"/>
              <w:jc w:val="center"/>
            </w:pPr>
            <w:r w:rsidRPr="001F4BAA">
              <w:t>3 tablets</w:t>
            </w:r>
          </w:p>
        </w:tc>
      </w:tr>
      <w:tr w:rsidR="00FF01A9" w:rsidRPr="001F4BAA" w14:paraId="6DBF9879" w14:textId="77777777" w:rsidTr="00E01A78">
        <w:tc>
          <w:tcPr>
            <w:tcW w:w="1204" w:type="dxa"/>
          </w:tcPr>
          <w:p w14:paraId="6057FC12" w14:textId="77777777" w:rsidR="00FF01A9" w:rsidRPr="001F4BAA" w:rsidRDefault="00FF01A9" w:rsidP="00CA1190">
            <w:pPr>
              <w:pStyle w:val="NoSpacing"/>
              <w:jc w:val="center"/>
            </w:pPr>
            <w:r w:rsidRPr="001F4BAA">
              <w:t>16–24.9 kg</w:t>
            </w:r>
          </w:p>
        </w:tc>
        <w:tc>
          <w:tcPr>
            <w:tcW w:w="2479" w:type="dxa"/>
          </w:tcPr>
          <w:p w14:paraId="2A6E21AC" w14:textId="77777777" w:rsidR="00FF01A9" w:rsidRPr="001F4BAA" w:rsidRDefault="00FF01A9" w:rsidP="00CA1190">
            <w:pPr>
              <w:pStyle w:val="NoSpacing"/>
              <w:jc w:val="center"/>
            </w:pPr>
            <w:r w:rsidRPr="001F4BAA">
              <w:t>4 tablets</w:t>
            </w:r>
          </w:p>
        </w:tc>
        <w:tc>
          <w:tcPr>
            <w:tcW w:w="2996" w:type="dxa"/>
          </w:tcPr>
          <w:p w14:paraId="5E0E82DF" w14:textId="77777777" w:rsidR="00FF01A9" w:rsidRPr="001F4BAA" w:rsidRDefault="00FF01A9" w:rsidP="00CA1190">
            <w:pPr>
              <w:pStyle w:val="NoSpacing"/>
              <w:jc w:val="center"/>
            </w:pPr>
            <w:r w:rsidRPr="001F4BAA">
              <w:t>4 tablets</w:t>
            </w:r>
          </w:p>
        </w:tc>
      </w:tr>
      <w:tr w:rsidR="00FF01A9" w:rsidRPr="001F4BAA" w14:paraId="43A62B34" w14:textId="77777777" w:rsidTr="00E01A78">
        <w:tc>
          <w:tcPr>
            <w:tcW w:w="1204" w:type="dxa"/>
          </w:tcPr>
          <w:p w14:paraId="6A4956A3" w14:textId="77777777" w:rsidR="00FF01A9" w:rsidRPr="001F4BAA" w:rsidRDefault="00FF01A9" w:rsidP="00CA1190">
            <w:pPr>
              <w:pStyle w:val="NoSpacing"/>
              <w:jc w:val="center"/>
            </w:pPr>
            <w:r w:rsidRPr="001F4BAA">
              <w:t>≥25 kg</w:t>
            </w:r>
          </w:p>
        </w:tc>
        <w:tc>
          <w:tcPr>
            <w:tcW w:w="5475" w:type="dxa"/>
            <w:gridSpan w:val="2"/>
          </w:tcPr>
          <w:p w14:paraId="1A8D8EA6" w14:textId="77777777" w:rsidR="00FF01A9" w:rsidRPr="001F4BAA" w:rsidRDefault="00FF01A9" w:rsidP="00CA1190">
            <w:pPr>
              <w:pStyle w:val="NoSpacing"/>
              <w:jc w:val="center"/>
            </w:pPr>
            <w:r w:rsidRPr="001F4BAA">
              <w:t>Adult dosages recommended</w:t>
            </w:r>
          </w:p>
        </w:tc>
      </w:tr>
    </w:tbl>
    <w:p w14:paraId="10BBDEFE" w14:textId="77777777" w:rsidR="00FF01A9" w:rsidRPr="00CA1190" w:rsidRDefault="00FF01A9" w:rsidP="00FF01A9">
      <w:pPr>
        <w:pStyle w:val="NoSpacing"/>
        <w:rPr>
          <w:rStyle w:val="Strong"/>
        </w:rPr>
      </w:pPr>
      <w:r w:rsidRPr="00CA1190">
        <w:rPr>
          <w:rStyle w:val="Strong"/>
        </w:rPr>
        <w:t>ADD</w:t>
      </w:r>
    </w:p>
    <w:tbl>
      <w:tblPr>
        <w:tblpPr w:leftFromText="180" w:rightFromText="180" w:vertAnchor="text" w:horzAnchor="margin" w:tblpXSpec="right" w:tblpY="32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E01A78" w:rsidRPr="001F4BAA" w14:paraId="0378A1A4" w14:textId="77777777" w:rsidTr="00E01A78">
        <w:tc>
          <w:tcPr>
            <w:tcW w:w="907" w:type="dxa"/>
            <w:shd w:val="clear" w:color="auto" w:fill="FFFFFF" w:themeFill="background1"/>
          </w:tcPr>
          <w:p w14:paraId="0FCB4091" w14:textId="77777777" w:rsidR="00E01A78" w:rsidRPr="002344FD" w:rsidRDefault="00E01A78" w:rsidP="00E01A78">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29"/>
            </w:r>
          </w:p>
        </w:tc>
      </w:tr>
    </w:tbl>
    <w:p w14:paraId="12667A63" w14:textId="759902E5" w:rsidR="00FF01A9" w:rsidRPr="001F4BAA" w:rsidRDefault="00FF01A9" w:rsidP="008542CC">
      <w:pPr>
        <w:pStyle w:val="BulletMedicine"/>
        <w:numPr>
          <w:ilvl w:val="0"/>
          <w:numId w:val="41"/>
        </w:numPr>
      </w:pPr>
      <w:r w:rsidRPr="001F4BAA">
        <w:t>Pyridoxine, oral</w:t>
      </w:r>
      <w:r w:rsidR="00DE7455">
        <w:fldChar w:fldCharType="begin"/>
      </w:r>
      <w:r w:rsidR="00DE7455">
        <w:instrText xml:space="preserve"> XE “Pyridoxine, oral” \f “m” </w:instrText>
      </w:r>
      <w:r w:rsidR="00DE7455">
        <w:fldChar w:fldCharType="end"/>
      </w:r>
      <w:r w:rsidRPr="001F4BAA">
        <w:t xml:space="preserve">, daily for 6 months if </w:t>
      </w:r>
      <w:r w:rsidR="0043607B">
        <w:t xml:space="preserve">living with </w:t>
      </w:r>
      <w:r w:rsidRPr="001F4BAA">
        <w:t xml:space="preserve">HIV, malnourished, or </w:t>
      </w:r>
      <w:r w:rsidR="0059696D">
        <w:t xml:space="preserve">has </w:t>
      </w:r>
      <w:r w:rsidRPr="001F4BAA">
        <w:t>existing neuropathy:</w:t>
      </w:r>
    </w:p>
    <w:p w14:paraId="0071DFB7" w14:textId="2C84D910" w:rsidR="00FF01A9" w:rsidRPr="001F4BAA" w:rsidRDefault="00FF01A9" w:rsidP="008542CC">
      <w:pPr>
        <w:pStyle w:val="BulletDirectionsInstructions"/>
        <w:numPr>
          <w:ilvl w:val="0"/>
          <w:numId w:val="58"/>
        </w:numPr>
      </w:pPr>
      <w:r w:rsidRPr="001F4BAA">
        <w:t xml:space="preserve">Child </w:t>
      </w:r>
      <w:r w:rsidR="007277E7">
        <w:t>&lt;</w:t>
      </w:r>
      <w:r w:rsidRPr="001F4BAA">
        <w:t>5 years old: 12.5 mg.</w:t>
      </w:r>
    </w:p>
    <w:p w14:paraId="2BA0285A" w14:textId="7F87F374" w:rsidR="00FF01A9" w:rsidRPr="001F4BAA" w:rsidRDefault="00FF01A9" w:rsidP="008542CC">
      <w:pPr>
        <w:pStyle w:val="BulletDirectionsInstructions"/>
        <w:numPr>
          <w:ilvl w:val="0"/>
          <w:numId w:val="58"/>
        </w:numPr>
      </w:pPr>
      <w:r w:rsidRPr="001F4BAA">
        <w:t>Child ≥5 years old: 25 mg.</w:t>
      </w:r>
    </w:p>
    <w:p w14:paraId="79B7EC6F" w14:textId="1D93B5A2" w:rsidR="00FF01A9" w:rsidRPr="001F4BAA" w:rsidRDefault="00FF01A9" w:rsidP="00CA1190">
      <w:pPr>
        <w:pStyle w:val="Heading7"/>
      </w:pPr>
      <w:r w:rsidRPr="001F4BAA">
        <w:t xml:space="preserve">Children ≥ 8 years </w:t>
      </w:r>
      <w:r w:rsidR="00BD302A">
        <w:rPr>
          <w:rFonts w:eastAsia="Calibri" w:cs="Times New Roman"/>
        </w:rPr>
        <w:t>and</w:t>
      </w:r>
      <w:r w:rsidR="00612869">
        <w:rPr>
          <w:rFonts w:eastAsia="Calibri" w:cs="Times New Roman"/>
        </w:rPr>
        <w:t xml:space="preserve"> adolescents (and</w:t>
      </w:r>
      <w:r w:rsidR="00BD302A">
        <w:rPr>
          <w:rFonts w:eastAsia="Calibri" w:cs="Times New Roman"/>
        </w:rPr>
        <w:t xml:space="preserve"> ≥25 kg</w:t>
      </w:r>
      <w:r w:rsidR="00612869">
        <w:rPr>
          <w:rFonts w:eastAsia="Calibri" w:cs="Times New Roman"/>
        </w:rPr>
        <w:t>)</w:t>
      </w:r>
    </w:p>
    <w:tbl>
      <w:tblPr>
        <w:tblStyle w:val="SamplePHCTable"/>
        <w:tblW w:w="6768" w:type="dxa"/>
        <w:tblLook w:val="04A0" w:firstRow="1" w:lastRow="0" w:firstColumn="1" w:lastColumn="0" w:noHBand="0" w:noVBand="1"/>
      </w:tblPr>
      <w:tblGrid>
        <w:gridCol w:w="1526"/>
        <w:gridCol w:w="2410"/>
        <w:gridCol w:w="1275"/>
        <w:gridCol w:w="1557"/>
      </w:tblGrid>
      <w:tr w:rsidR="00FF01A9" w:rsidRPr="001F4BAA" w14:paraId="273C921F" w14:textId="77777777" w:rsidTr="00CA1190">
        <w:trPr>
          <w:cnfStyle w:val="100000000000" w:firstRow="1" w:lastRow="0" w:firstColumn="0" w:lastColumn="0" w:oddVBand="0" w:evenVBand="0" w:oddHBand="0" w:evenHBand="0" w:firstRowFirstColumn="0" w:firstRowLastColumn="0" w:lastRowFirstColumn="0" w:lastRowLastColumn="0"/>
          <w:trHeight w:val="444"/>
        </w:trPr>
        <w:tc>
          <w:tcPr>
            <w:tcW w:w="1526" w:type="dxa"/>
            <w:vMerge w:val="restart"/>
            <w:hideMark/>
          </w:tcPr>
          <w:p w14:paraId="4913D8AF" w14:textId="77777777" w:rsidR="00FF01A9" w:rsidRPr="001F4BAA" w:rsidRDefault="00FF01A9" w:rsidP="00627758">
            <w:pPr>
              <w:pStyle w:val="NoSpacing"/>
              <w:jc w:val="center"/>
            </w:pPr>
            <w:r w:rsidRPr="001F4BAA">
              <w:t>Pre-treatment</w:t>
            </w:r>
          </w:p>
          <w:p w14:paraId="196C9289" w14:textId="77777777" w:rsidR="00FF01A9" w:rsidRPr="001F4BAA" w:rsidRDefault="00FF01A9" w:rsidP="00627758">
            <w:pPr>
              <w:pStyle w:val="NoSpacing"/>
              <w:jc w:val="center"/>
            </w:pPr>
            <w:r w:rsidRPr="001F4BAA">
              <w:t>body weight</w:t>
            </w:r>
          </w:p>
          <w:p w14:paraId="753E46E4" w14:textId="77777777" w:rsidR="00FF01A9" w:rsidRPr="00627758" w:rsidRDefault="00FF01A9" w:rsidP="00627758">
            <w:pPr>
              <w:pStyle w:val="NoSpacing"/>
              <w:jc w:val="center"/>
              <w:rPr>
                <w:b w:val="0"/>
                <w:bCs/>
              </w:rPr>
            </w:pPr>
            <w:r w:rsidRPr="00627758">
              <w:rPr>
                <w:b w:val="0"/>
                <w:bCs/>
              </w:rPr>
              <w:t>kg</w:t>
            </w:r>
          </w:p>
        </w:tc>
        <w:tc>
          <w:tcPr>
            <w:tcW w:w="2410" w:type="dxa"/>
            <w:hideMark/>
          </w:tcPr>
          <w:p w14:paraId="713290B6" w14:textId="77777777" w:rsidR="00FF01A9" w:rsidRPr="001F4BAA" w:rsidRDefault="00FF01A9" w:rsidP="00627758">
            <w:pPr>
              <w:pStyle w:val="NoSpacing"/>
              <w:jc w:val="center"/>
            </w:pPr>
            <w:r w:rsidRPr="001F4BAA">
              <w:t>2 months intensive phase given daily</w:t>
            </w:r>
          </w:p>
        </w:tc>
        <w:tc>
          <w:tcPr>
            <w:tcW w:w="2832" w:type="dxa"/>
            <w:gridSpan w:val="2"/>
            <w:hideMark/>
          </w:tcPr>
          <w:p w14:paraId="3BE687EF" w14:textId="77777777" w:rsidR="00FF01A9" w:rsidRPr="001F4BAA" w:rsidRDefault="00FF01A9" w:rsidP="00627758">
            <w:pPr>
              <w:pStyle w:val="NoSpacing"/>
              <w:jc w:val="center"/>
            </w:pPr>
            <w:r w:rsidRPr="001F4BAA">
              <w:t>4 months continuation phase</w:t>
            </w:r>
          </w:p>
          <w:p w14:paraId="15F9B25F" w14:textId="77777777" w:rsidR="00FF01A9" w:rsidRPr="001F4BAA" w:rsidRDefault="00FF01A9" w:rsidP="00627758">
            <w:pPr>
              <w:pStyle w:val="NoSpacing"/>
              <w:jc w:val="center"/>
            </w:pPr>
            <w:r w:rsidRPr="001F4BAA">
              <w:t>given daily</w:t>
            </w:r>
          </w:p>
        </w:tc>
      </w:tr>
      <w:tr w:rsidR="00FF01A9" w:rsidRPr="001F4BAA" w14:paraId="6693BEEB" w14:textId="77777777" w:rsidTr="0017061E">
        <w:tc>
          <w:tcPr>
            <w:tcW w:w="1526" w:type="dxa"/>
            <w:vMerge/>
          </w:tcPr>
          <w:p w14:paraId="59BE7E29" w14:textId="77777777" w:rsidR="00FF01A9" w:rsidRPr="001F4BAA" w:rsidRDefault="00FF01A9" w:rsidP="00627758">
            <w:pPr>
              <w:pStyle w:val="NoSpacing"/>
              <w:jc w:val="center"/>
            </w:pPr>
          </w:p>
        </w:tc>
        <w:tc>
          <w:tcPr>
            <w:tcW w:w="2410" w:type="dxa"/>
            <w:shd w:val="clear" w:color="auto" w:fill="D9D9D9" w:themeFill="background1" w:themeFillShade="D9"/>
            <w:hideMark/>
          </w:tcPr>
          <w:p w14:paraId="7BFACEFF" w14:textId="4A98F61D" w:rsidR="00FF01A9" w:rsidRPr="0017061E" w:rsidRDefault="00FF01A9" w:rsidP="00627758">
            <w:pPr>
              <w:pStyle w:val="NoSpacing"/>
              <w:jc w:val="center"/>
              <w:rPr>
                <w:rStyle w:val="Strong"/>
              </w:rPr>
            </w:pPr>
            <w:r w:rsidRPr="0017061E">
              <w:rPr>
                <w:rStyle w:val="Strong"/>
              </w:rPr>
              <w:t>RHZE</w:t>
            </w:r>
            <w:r w:rsidR="00DE7455">
              <w:rPr>
                <w:rStyle w:val="Strong"/>
              </w:rPr>
              <w:fldChar w:fldCharType="begin"/>
            </w:r>
            <w:r w:rsidR="00DE7455">
              <w:instrText xml:space="preserve"> XE “Rifampicin/isoniazid/pyrazinamide/ethambutol” \F “M” </w:instrText>
            </w:r>
            <w:r w:rsidR="00DE7455">
              <w:rPr>
                <w:rStyle w:val="Strong"/>
              </w:rPr>
              <w:fldChar w:fldCharType="end"/>
            </w:r>
            <w:r w:rsidRPr="0017061E">
              <w:rPr>
                <w:rStyle w:val="Strong"/>
              </w:rPr>
              <w:t xml:space="preserve"> (150</w:t>
            </w:r>
            <w:r w:rsidR="0059696D">
              <w:rPr>
                <w:rStyle w:val="Strong"/>
              </w:rPr>
              <w:t>/</w:t>
            </w:r>
            <w:r w:rsidRPr="0017061E">
              <w:rPr>
                <w:rStyle w:val="Strong"/>
              </w:rPr>
              <w:t>75</w:t>
            </w:r>
            <w:r w:rsidR="0059696D">
              <w:rPr>
                <w:rStyle w:val="Strong"/>
              </w:rPr>
              <w:t>/</w:t>
            </w:r>
            <w:r w:rsidRPr="0017061E">
              <w:rPr>
                <w:rStyle w:val="Strong"/>
              </w:rPr>
              <w:t>400</w:t>
            </w:r>
            <w:r w:rsidR="0059696D">
              <w:rPr>
                <w:rStyle w:val="Strong"/>
              </w:rPr>
              <w:t>/</w:t>
            </w:r>
            <w:r w:rsidRPr="0017061E">
              <w:rPr>
                <w:rStyle w:val="Strong"/>
              </w:rPr>
              <w:t>275)</w:t>
            </w:r>
          </w:p>
        </w:tc>
        <w:tc>
          <w:tcPr>
            <w:tcW w:w="1275" w:type="dxa"/>
            <w:shd w:val="clear" w:color="auto" w:fill="D9D9D9" w:themeFill="background1" w:themeFillShade="D9"/>
            <w:hideMark/>
          </w:tcPr>
          <w:p w14:paraId="5FE40040" w14:textId="6926A175" w:rsidR="00FF01A9" w:rsidRPr="0017061E" w:rsidRDefault="00FF01A9" w:rsidP="00627758">
            <w:pPr>
              <w:pStyle w:val="NoSpacing"/>
              <w:jc w:val="center"/>
              <w:rPr>
                <w:rStyle w:val="Strong"/>
              </w:rPr>
            </w:pPr>
            <w:r w:rsidRPr="0017061E">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r w:rsidRPr="0017061E">
              <w:rPr>
                <w:rStyle w:val="Strong"/>
              </w:rPr>
              <w:t xml:space="preserve"> (150</w:t>
            </w:r>
            <w:r w:rsidR="0059696D">
              <w:rPr>
                <w:rStyle w:val="Strong"/>
              </w:rPr>
              <w:t>/</w:t>
            </w:r>
            <w:r w:rsidRPr="0017061E">
              <w:rPr>
                <w:rStyle w:val="Strong"/>
              </w:rPr>
              <w:t>75)</w:t>
            </w:r>
          </w:p>
        </w:tc>
        <w:tc>
          <w:tcPr>
            <w:tcW w:w="1557" w:type="dxa"/>
            <w:shd w:val="clear" w:color="auto" w:fill="D9D9D9" w:themeFill="background1" w:themeFillShade="D9"/>
            <w:hideMark/>
          </w:tcPr>
          <w:p w14:paraId="48EA7B94" w14:textId="0A0CE710" w:rsidR="00FF01A9" w:rsidRPr="0017061E" w:rsidRDefault="00FF01A9" w:rsidP="00627758">
            <w:pPr>
              <w:pStyle w:val="NoSpacing"/>
              <w:jc w:val="center"/>
              <w:rPr>
                <w:rStyle w:val="Strong"/>
              </w:rPr>
            </w:pPr>
            <w:r w:rsidRPr="0017061E">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r w:rsidRPr="0017061E">
              <w:rPr>
                <w:rStyle w:val="Strong"/>
              </w:rPr>
              <w:t xml:space="preserve"> (300</w:t>
            </w:r>
            <w:r w:rsidR="0059696D">
              <w:rPr>
                <w:rStyle w:val="Strong"/>
              </w:rPr>
              <w:t>/</w:t>
            </w:r>
            <w:r w:rsidRPr="0017061E">
              <w:rPr>
                <w:rStyle w:val="Strong"/>
              </w:rPr>
              <w:t>150)</w:t>
            </w:r>
          </w:p>
        </w:tc>
      </w:tr>
      <w:tr w:rsidR="00FF01A9" w:rsidRPr="001F4BAA" w14:paraId="2AE6F032" w14:textId="77777777" w:rsidTr="0017061E">
        <w:tc>
          <w:tcPr>
            <w:tcW w:w="1526" w:type="dxa"/>
            <w:hideMark/>
          </w:tcPr>
          <w:p w14:paraId="4D103BA0" w14:textId="30B5FA98" w:rsidR="00FF01A9" w:rsidRPr="001F4BAA" w:rsidRDefault="00BD302A" w:rsidP="00BD302A">
            <w:pPr>
              <w:pStyle w:val="NoSpacing"/>
              <w:jc w:val="center"/>
            </w:pPr>
            <w:r>
              <w:t>25</w:t>
            </w:r>
            <w:r w:rsidR="00FF01A9" w:rsidRPr="001F4BAA">
              <w:t>–37</w:t>
            </w:r>
            <w:r>
              <w:t>.9</w:t>
            </w:r>
            <w:r w:rsidR="00FF01A9" w:rsidRPr="001F4BAA">
              <w:t xml:space="preserve"> kg</w:t>
            </w:r>
          </w:p>
        </w:tc>
        <w:tc>
          <w:tcPr>
            <w:tcW w:w="2410" w:type="dxa"/>
            <w:hideMark/>
          </w:tcPr>
          <w:p w14:paraId="02CC4571" w14:textId="77777777" w:rsidR="00FF01A9" w:rsidRPr="001F4BAA" w:rsidRDefault="00FF01A9" w:rsidP="00627758">
            <w:pPr>
              <w:pStyle w:val="NoSpacing"/>
              <w:jc w:val="center"/>
            </w:pPr>
            <w:r w:rsidRPr="001F4BAA">
              <w:t>2 tablets</w:t>
            </w:r>
          </w:p>
        </w:tc>
        <w:tc>
          <w:tcPr>
            <w:tcW w:w="1275" w:type="dxa"/>
            <w:hideMark/>
          </w:tcPr>
          <w:p w14:paraId="7190AB22" w14:textId="77777777" w:rsidR="00FF01A9" w:rsidRPr="001F4BAA" w:rsidRDefault="00FF01A9" w:rsidP="00627758">
            <w:pPr>
              <w:pStyle w:val="NoSpacing"/>
              <w:jc w:val="center"/>
            </w:pPr>
            <w:r w:rsidRPr="001F4BAA">
              <w:t>2 tablets</w:t>
            </w:r>
          </w:p>
        </w:tc>
        <w:tc>
          <w:tcPr>
            <w:tcW w:w="1557" w:type="dxa"/>
            <w:vMerge w:val="restart"/>
            <w:shd w:val="clear" w:color="auto" w:fill="BFBFBF" w:themeFill="background1" w:themeFillShade="BF"/>
          </w:tcPr>
          <w:p w14:paraId="56022233" w14:textId="77777777" w:rsidR="00FF01A9" w:rsidRPr="001F4BAA" w:rsidRDefault="00FF01A9" w:rsidP="00627758">
            <w:pPr>
              <w:pStyle w:val="NoSpacing"/>
              <w:jc w:val="center"/>
            </w:pPr>
          </w:p>
        </w:tc>
      </w:tr>
      <w:tr w:rsidR="00FF01A9" w:rsidRPr="001F4BAA" w14:paraId="6728D22A" w14:textId="77777777" w:rsidTr="0017061E">
        <w:tc>
          <w:tcPr>
            <w:tcW w:w="1526" w:type="dxa"/>
            <w:hideMark/>
          </w:tcPr>
          <w:p w14:paraId="789976B1" w14:textId="498123E1" w:rsidR="00FF01A9" w:rsidRPr="001F4BAA" w:rsidRDefault="00FF01A9" w:rsidP="00627758">
            <w:pPr>
              <w:pStyle w:val="NoSpacing"/>
              <w:jc w:val="center"/>
            </w:pPr>
            <w:r w:rsidRPr="001F4BAA">
              <w:t>38–54</w:t>
            </w:r>
            <w:r w:rsidR="00BD302A">
              <w:t>.9</w:t>
            </w:r>
            <w:r w:rsidRPr="001F4BAA">
              <w:t xml:space="preserve"> kg</w:t>
            </w:r>
          </w:p>
        </w:tc>
        <w:tc>
          <w:tcPr>
            <w:tcW w:w="2410" w:type="dxa"/>
            <w:hideMark/>
          </w:tcPr>
          <w:p w14:paraId="326B5DE9" w14:textId="77777777" w:rsidR="00FF01A9" w:rsidRPr="001F4BAA" w:rsidRDefault="00FF01A9" w:rsidP="00627758">
            <w:pPr>
              <w:pStyle w:val="NoSpacing"/>
              <w:jc w:val="center"/>
            </w:pPr>
            <w:r w:rsidRPr="001F4BAA">
              <w:t>3 tablets</w:t>
            </w:r>
          </w:p>
        </w:tc>
        <w:tc>
          <w:tcPr>
            <w:tcW w:w="1275" w:type="dxa"/>
            <w:hideMark/>
          </w:tcPr>
          <w:p w14:paraId="5BFE85FD" w14:textId="77777777" w:rsidR="00FF01A9" w:rsidRPr="001F4BAA" w:rsidRDefault="00FF01A9" w:rsidP="00627758">
            <w:pPr>
              <w:pStyle w:val="NoSpacing"/>
              <w:jc w:val="center"/>
            </w:pPr>
            <w:r w:rsidRPr="001F4BAA">
              <w:t>3 tablets</w:t>
            </w:r>
          </w:p>
        </w:tc>
        <w:tc>
          <w:tcPr>
            <w:tcW w:w="1557" w:type="dxa"/>
            <w:vMerge/>
            <w:shd w:val="clear" w:color="auto" w:fill="BFBFBF" w:themeFill="background1" w:themeFillShade="BF"/>
          </w:tcPr>
          <w:p w14:paraId="4E672CA7" w14:textId="77777777" w:rsidR="00FF01A9" w:rsidRPr="001F4BAA" w:rsidRDefault="00FF01A9" w:rsidP="00627758">
            <w:pPr>
              <w:pStyle w:val="NoSpacing"/>
              <w:jc w:val="center"/>
            </w:pPr>
          </w:p>
        </w:tc>
      </w:tr>
      <w:tr w:rsidR="00FF01A9" w:rsidRPr="001F4BAA" w14:paraId="3B5B8045" w14:textId="77777777" w:rsidTr="0017061E">
        <w:tc>
          <w:tcPr>
            <w:tcW w:w="1526" w:type="dxa"/>
            <w:hideMark/>
          </w:tcPr>
          <w:p w14:paraId="24138ABF" w14:textId="77777777" w:rsidR="00FF01A9" w:rsidRPr="001F4BAA" w:rsidRDefault="00FF01A9" w:rsidP="00627758">
            <w:pPr>
              <w:pStyle w:val="NoSpacing"/>
              <w:jc w:val="center"/>
            </w:pPr>
            <w:r w:rsidRPr="001F4BAA">
              <w:t>55–70 kg</w:t>
            </w:r>
          </w:p>
        </w:tc>
        <w:tc>
          <w:tcPr>
            <w:tcW w:w="2410" w:type="dxa"/>
            <w:hideMark/>
          </w:tcPr>
          <w:p w14:paraId="1CBE9409" w14:textId="77777777" w:rsidR="00FF01A9" w:rsidRPr="001F4BAA" w:rsidRDefault="00FF01A9" w:rsidP="00627758">
            <w:pPr>
              <w:pStyle w:val="NoSpacing"/>
              <w:jc w:val="center"/>
            </w:pPr>
            <w:r w:rsidRPr="001F4BAA">
              <w:t>4 tablets</w:t>
            </w:r>
          </w:p>
        </w:tc>
        <w:tc>
          <w:tcPr>
            <w:tcW w:w="1275" w:type="dxa"/>
            <w:vMerge w:val="restart"/>
            <w:shd w:val="clear" w:color="auto" w:fill="BFBFBF" w:themeFill="background1" w:themeFillShade="BF"/>
          </w:tcPr>
          <w:p w14:paraId="5641DE28" w14:textId="77777777" w:rsidR="00FF01A9" w:rsidRPr="001F4BAA" w:rsidRDefault="00FF01A9" w:rsidP="00627758">
            <w:pPr>
              <w:pStyle w:val="NoSpacing"/>
              <w:jc w:val="center"/>
            </w:pPr>
          </w:p>
        </w:tc>
        <w:tc>
          <w:tcPr>
            <w:tcW w:w="1557" w:type="dxa"/>
            <w:hideMark/>
          </w:tcPr>
          <w:p w14:paraId="37F489E9" w14:textId="77777777" w:rsidR="00FF01A9" w:rsidRPr="001F4BAA" w:rsidRDefault="00FF01A9" w:rsidP="00627758">
            <w:pPr>
              <w:pStyle w:val="NoSpacing"/>
              <w:jc w:val="center"/>
            </w:pPr>
            <w:r w:rsidRPr="001F4BAA">
              <w:t>2 tablets</w:t>
            </w:r>
          </w:p>
        </w:tc>
      </w:tr>
      <w:tr w:rsidR="00FF01A9" w:rsidRPr="001F4BAA" w14:paraId="2F372750" w14:textId="77777777" w:rsidTr="0017061E">
        <w:tc>
          <w:tcPr>
            <w:tcW w:w="1526" w:type="dxa"/>
            <w:hideMark/>
          </w:tcPr>
          <w:p w14:paraId="40549BA0" w14:textId="77777777" w:rsidR="00FF01A9" w:rsidRPr="001F4BAA" w:rsidRDefault="00FF01A9" w:rsidP="00627758">
            <w:pPr>
              <w:pStyle w:val="NoSpacing"/>
              <w:jc w:val="center"/>
            </w:pPr>
            <w:r w:rsidRPr="001F4BAA">
              <w:t>&gt;71 kg</w:t>
            </w:r>
          </w:p>
        </w:tc>
        <w:tc>
          <w:tcPr>
            <w:tcW w:w="2410" w:type="dxa"/>
            <w:hideMark/>
          </w:tcPr>
          <w:p w14:paraId="08E32AAF" w14:textId="77777777" w:rsidR="00FF01A9" w:rsidRPr="001F4BAA" w:rsidRDefault="00FF01A9" w:rsidP="00627758">
            <w:pPr>
              <w:pStyle w:val="NoSpacing"/>
              <w:jc w:val="center"/>
            </w:pPr>
            <w:r w:rsidRPr="001F4BAA">
              <w:t>5 tablets</w:t>
            </w:r>
          </w:p>
        </w:tc>
        <w:tc>
          <w:tcPr>
            <w:tcW w:w="1275" w:type="dxa"/>
            <w:vMerge/>
            <w:shd w:val="clear" w:color="auto" w:fill="BFBFBF" w:themeFill="background1" w:themeFillShade="BF"/>
          </w:tcPr>
          <w:p w14:paraId="0DE94216" w14:textId="77777777" w:rsidR="00FF01A9" w:rsidRPr="001F4BAA" w:rsidRDefault="00FF01A9" w:rsidP="00627758">
            <w:pPr>
              <w:pStyle w:val="NoSpacing"/>
              <w:jc w:val="center"/>
            </w:pPr>
          </w:p>
        </w:tc>
        <w:tc>
          <w:tcPr>
            <w:tcW w:w="1557" w:type="dxa"/>
            <w:hideMark/>
          </w:tcPr>
          <w:p w14:paraId="4898F68C" w14:textId="77777777" w:rsidR="00FF01A9" w:rsidRPr="001F4BAA" w:rsidRDefault="00FF01A9" w:rsidP="00627758">
            <w:pPr>
              <w:pStyle w:val="NoSpacing"/>
              <w:jc w:val="center"/>
            </w:pPr>
            <w:r w:rsidRPr="001F4BAA">
              <w:t>2 tablets</w:t>
            </w:r>
          </w:p>
        </w:tc>
      </w:tr>
    </w:tbl>
    <w:p w14:paraId="71EBE25B" w14:textId="77777777" w:rsidR="00FF01A9" w:rsidRPr="00627758" w:rsidRDefault="00FF01A9" w:rsidP="00FF01A9">
      <w:pPr>
        <w:pStyle w:val="NoSpacing"/>
        <w:rPr>
          <w:rStyle w:val="Strong"/>
        </w:rPr>
      </w:pPr>
      <w:r w:rsidRPr="00627758">
        <w:rPr>
          <w:rStyle w:val="Strong"/>
        </w:rPr>
        <w:t>AND</w:t>
      </w:r>
    </w:p>
    <w:tbl>
      <w:tblPr>
        <w:tblpPr w:leftFromText="180" w:rightFromText="180" w:vertAnchor="text" w:horzAnchor="margin" w:tblpXSpec="right" w:tblpY="215"/>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E01A78" w:rsidRPr="001F4BAA" w14:paraId="75868F62" w14:textId="77777777" w:rsidTr="00E01A78">
        <w:tc>
          <w:tcPr>
            <w:tcW w:w="907" w:type="dxa"/>
            <w:shd w:val="clear" w:color="auto" w:fill="FFFFFF" w:themeFill="background1"/>
          </w:tcPr>
          <w:p w14:paraId="74A83F05" w14:textId="77777777" w:rsidR="00E01A78" w:rsidRPr="002344FD" w:rsidRDefault="00E01A78" w:rsidP="00E01A78">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30"/>
            </w:r>
          </w:p>
        </w:tc>
      </w:tr>
    </w:tbl>
    <w:p w14:paraId="1A16725A" w14:textId="464943DB" w:rsidR="00FF01A9" w:rsidRPr="001F4BAA" w:rsidRDefault="00FF01A9" w:rsidP="00627758">
      <w:pPr>
        <w:pStyle w:val="Heading7"/>
      </w:pPr>
      <w:r w:rsidRPr="001F4BAA">
        <w:t xml:space="preserve">If </w:t>
      </w:r>
      <w:r w:rsidR="0059696D">
        <w:t xml:space="preserve">living with </w:t>
      </w:r>
      <w:r w:rsidRPr="001F4BAA">
        <w:t xml:space="preserve">HIV, malnourished or </w:t>
      </w:r>
      <w:r w:rsidR="0059696D">
        <w:t xml:space="preserve">has </w:t>
      </w:r>
      <w:r w:rsidRPr="001F4BAA">
        <w:t>existing neuropathy:</w:t>
      </w:r>
    </w:p>
    <w:p w14:paraId="6A2DB79E" w14:textId="57A1A069" w:rsidR="00FF01A9" w:rsidRPr="001F4BAA" w:rsidRDefault="00FF01A9" w:rsidP="008542CC">
      <w:pPr>
        <w:pStyle w:val="BulletMedicine"/>
        <w:numPr>
          <w:ilvl w:val="0"/>
          <w:numId w:val="42"/>
        </w:numPr>
      </w:pPr>
      <w:r w:rsidRPr="001F4BAA">
        <w:t>Pyridoxine, oral</w:t>
      </w:r>
      <w:r w:rsidR="00DE7455">
        <w:fldChar w:fldCharType="begin"/>
      </w:r>
      <w:r w:rsidR="00DE7455">
        <w:instrText xml:space="preserve"> XE “Pyridoxine, oral” \f “m” </w:instrText>
      </w:r>
      <w:r w:rsidR="00DE7455">
        <w:fldChar w:fldCharType="end"/>
      </w:r>
      <w:r w:rsidRPr="001F4BAA">
        <w:t>, daily for 6 months.</w:t>
      </w:r>
    </w:p>
    <w:p w14:paraId="0D1AE0A4" w14:textId="16ECF9FA" w:rsidR="00FF01A9" w:rsidRPr="001F4BAA" w:rsidRDefault="00FF01A9" w:rsidP="008542CC">
      <w:pPr>
        <w:pStyle w:val="BulletDirectionsInstructions"/>
        <w:numPr>
          <w:ilvl w:val="0"/>
          <w:numId w:val="58"/>
        </w:numPr>
      </w:pPr>
      <w:r w:rsidRPr="001F4BAA">
        <w:t>Child ≥ 5 years old: 25</w:t>
      </w:r>
      <w:r w:rsidR="00D356F7">
        <w:t xml:space="preserve"> </w:t>
      </w:r>
      <w:r w:rsidRPr="001F4BAA">
        <w:t>mg.</w:t>
      </w:r>
    </w:p>
    <w:p w14:paraId="267BFD7A" w14:textId="77777777" w:rsidR="00FF01A9" w:rsidRPr="001F4BAA" w:rsidRDefault="00FF01A9" w:rsidP="009C05FA">
      <w:pPr>
        <w:pStyle w:val="ListParagraph"/>
      </w:pPr>
      <w:r w:rsidRPr="001F4BAA">
        <w:t>Adjust treatment dosages to current body weight.</w:t>
      </w:r>
    </w:p>
    <w:p w14:paraId="7DB7E5B1" w14:textId="77777777" w:rsidR="00FF01A9" w:rsidRPr="001F4BAA" w:rsidRDefault="00FF01A9" w:rsidP="009C05FA">
      <w:pPr>
        <w:pStyle w:val="ListParagraph"/>
      </w:pPr>
      <w:r w:rsidRPr="001F4BAA">
        <w:t>If calculating dosages, rather give ½ tablet more than ½ tablet less.</w:t>
      </w:r>
    </w:p>
    <w:p w14:paraId="2AA2C3E3" w14:textId="0B6B3A7E" w:rsidR="00FF01A9" w:rsidRPr="001F4BAA" w:rsidRDefault="00FF01A9" w:rsidP="00E01A78">
      <w:pPr>
        <w:pStyle w:val="Heading5"/>
        <w:spacing w:before="240"/>
      </w:pPr>
      <w:r w:rsidRPr="001F4BAA">
        <w:t>COMPLICATED PULMONARY TB</w:t>
      </w:r>
    </w:p>
    <w:p w14:paraId="414195C2" w14:textId="60B8C09C" w:rsidR="00FF01A9" w:rsidRPr="001F4BAA" w:rsidRDefault="00FF01A9" w:rsidP="009C05FA">
      <w:pPr>
        <w:pStyle w:val="ListParagraph"/>
      </w:pPr>
      <w:r w:rsidRPr="001F4BAA">
        <w:t xml:space="preserve">Includes all other forms of pulmonary TB, such as smear positive TB, cavitating pulmonary TB, bronchopneumonic TB, large lesion pulmonary TB, </w:t>
      </w:r>
      <w:r w:rsidR="008A7B94">
        <w:t xml:space="preserve">and </w:t>
      </w:r>
      <w:r w:rsidRPr="001F4BAA">
        <w:t>tuberculous empyema.</w:t>
      </w:r>
    </w:p>
    <w:p w14:paraId="0C1B1975" w14:textId="77777777" w:rsidR="00FF01A9" w:rsidRPr="001F4BAA" w:rsidRDefault="00FF01A9" w:rsidP="009C05FA">
      <w:pPr>
        <w:pStyle w:val="ListParagraph"/>
      </w:pPr>
      <w:r w:rsidRPr="001F4BAA">
        <w:t>Refer all cases of miliary TB for exclusion of TB meningitis.</w:t>
      </w:r>
    </w:p>
    <w:p w14:paraId="1CE4D0C3" w14:textId="489130E8" w:rsidR="00FF01A9" w:rsidRPr="001F4BAA" w:rsidRDefault="00FF01A9" w:rsidP="009C05FA">
      <w:pPr>
        <w:pStyle w:val="Heading7"/>
      </w:pPr>
      <w:r w:rsidRPr="001F4BAA">
        <w:t>Children ≤8 years of age</w:t>
      </w:r>
      <w:r w:rsidR="00BD302A">
        <w:t xml:space="preserve"> </w:t>
      </w:r>
      <w:r w:rsidR="00BD302A">
        <w:rPr>
          <w:rFonts w:eastAsia="Calibri" w:cs="Times New Roman"/>
        </w:rPr>
        <w:t xml:space="preserve">(or </w:t>
      </w:r>
      <w:r w:rsidR="007277E7">
        <w:rPr>
          <w:rFonts w:eastAsia="Calibri" w:cs="Times New Roman"/>
        </w:rPr>
        <w:t>&lt;</w:t>
      </w:r>
      <w:r w:rsidR="00BD302A">
        <w:rPr>
          <w:rFonts w:eastAsia="Calibri" w:cs="Times New Roman"/>
        </w:rPr>
        <w:t>25</w:t>
      </w:r>
      <w:r w:rsidR="00A62EC2">
        <w:rPr>
          <w:rFonts w:eastAsia="Calibri" w:cs="Times New Roman"/>
        </w:rPr>
        <w:t xml:space="preserve"> </w:t>
      </w:r>
      <w:r w:rsidR="00BD302A">
        <w:rPr>
          <w:rFonts w:eastAsia="Calibri" w:cs="Times New Roman"/>
        </w:rPr>
        <w:t>kg)</w:t>
      </w:r>
      <w:r w:rsidR="00294050">
        <w:rPr>
          <w:rFonts w:eastAsia="Calibri" w:cs="Times New Roman"/>
        </w:rPr>
        <w:t>:</w:t>
      </w:r>
    </w:p>
    <w:p w14:paraId="11298709" w14:textId="59365027" w:rsidR="00FF01A9" w:rsidRPr="001F4BAA" w:rsidRDefault="00FF01A9" w:rsidP="009C05FA">
      <w:pPr>
        <w:pStyle w:val="ListParagraph"/>
      </w:pPr>
      <w:r w:rsidRPr="001F4BAA">
        <w:t>Intensive phase: Standard dose 4-drug therapy daily (RHZE</w:t>
      </w:r>
      <w:r w:rsidR="00DE7455">
        <w:t xml:space="preserve">) </w:t>
      </w:r>
      <w:r w:rsidRPr="001F4BAA">
        <w:t>for 2 months.</w:t>
      </w:r>
    </w:p>
    <w:p w14:paraId="012E0E9C" w14:textId="77777777" w:rsidR="00FF01A9" w:rsidRPr="009C05FA" w:rsidRDefault="00FF01A9" w:rsidP="00FF01A9">
      <w:pPr>
        <w:pStyle w:val="NoSpacing"/>
        <w:rPr>
          <w:rStyle w:val="Strong"/>
        </w:rPr>
      </w:pPr>
      <w:r w:rsidRPr="009C05FA">
        <w:rPr>
          <w:rStyle w:val="Strong"/>
        </w:rPr>
        <w:t>THEN</w:t>
      </w:r>
    </w:p>
    <w:p w14:paraId="5EF31BD6" w14:textId="050E1578" w:rsidR="00FF01A9" w:rsidRPr="001F4BAA" w:rsidRDefault="00FF01A9" w:rsidP="002E33F3">
      <w:pPr>
        <w:pStyle w:val="ListParagraph"/>
      </w:pPr>
      <w:r w:rsidRPr="001F4BAA">
        <w:t>Continuation phase: Standard dose 2-drug therapy daily for 4</w:t>
      </w:r>
      <w:r w:rsidR="00801F2D">
        <w:t xml:space="preserve"> to </w:t>
      </w:r>
      <w:r w:rsidRPr="001F4BAA">
        <w:t>7 months.</w:t>
      </w:r>
    </w:p>
    <w:tbl>
      <w:tblPr>
        <w:tblStyle w:val="SamplePHCTable"/>
        <w:tblW w:w="5000" w:type="pct"/>
        <w:tblLook w:val="04E0" w:firstRow="1" w:lastRow="1" w:firstColumn="1" w:lastColumn="0" w:noHBand="0" w:noVBand="1"/>
      </w:tblPr>
      <w:tblGrid>
        <w:gridCol w:w="1035"/>
        <w:gridCol w:w="991"/>
        <w:gridCol w:w="961"/>
        <w:gridCol w:w="1237"/>
        <w:gridCol w:w="1221"/>
        <w:gridCol w:w="1244"/>
      </w:tblGrid>
      <w:tr w:rsidR="00FF01A9" w:rsidRPr="001F4BAA" w14:paraId="58A39B83" w14:textId="77777777" w:rsidTr="002F201F">
        <w:trPr>
          <w:cnfStyle w:val="100000000000" w:firstRow="1" w:lastRow="0" w:firstColumn="0" w:lastColumn="0" w:oddVBand="0" w:evenVBand="0" w:oddHBand="0" w:evenHBand="0" w:firstRowFirstColumn="0" w:firstRowLastColumn="0" w:lastRowFirstColumn="0" w:lastRowLastColumn="0"/>
          <w:trHeight w:val="315"/>
        </w:trPr>
        <w:tc>
          <w:tcPr>
            <w:tcW w:w="773" w:type="pct"/>
            <w:tcBorders>
              <w:top w:val="nil"/>
              <w:left w:val="nil"/>
            </w:tcBorders>
            <w:noWrap/>
          </w:tcPr>
          <w:p w14:paraId="2F7FBE2E" w14:textId="77777777" w:rsidR="00FF01A9" w:rsidRPr="001F4BAA" w:rsidRDefault="00FF01A9" w:rsidP="008A26E1">
            <w:pPr>
              <w:pStyle w:val="NoSpacing"/>
              <w:jc w:val="center"/>
            </w:pPr>
          </w:p>
        </w:tc>
        <w:tc>
          <w:tcPr>
            <w:tcW w:w="3297" w:type="pct"/>
            <w:gridSpan w:val="4"/>
          </w:tcPr>
          <w:p w14:paraId="52AFBD0E" w14:textId="77777777" w:rsidR="00FF01A9" w:rsidRPr="001F4BAA" w:rsidRDefault="00FF01A9" w:rsidP="008A26E1">
            <w:pPr>
              <w:pStyle w:val="NoSpacing"/>
              <w:jc w:val="center"/>
            </w:pPr>
            <w:r w:rsidRPr="001F4BAA">
              <w:t>Intensive phase: 2 months</w:t>
            </w:r>
          </w:p>
        </w:tc>
        <w:tc>
          <w:tcPr>
            <w:tcW w:w="930" w:type="pct"/>
          </w:tcPr>
          <w:p w14:paraId="3AF4B3D4" w14:textId="77777777" w:rsidR="00FF01A9" w:rsidRPr="001F4BAA" w:rsidRDefault="00FF01A9" w:rsidP="008A26E1">
            <w:pPr>
              <w:pStyle w:val="NoSpacing"/>
              <w:jc w:val="center"/>
            </w:pPr>
            <w:r w:rsidRPr="001F4BAA">
              <w:t>Continuation phase:4–7 months***</w:t>
            </w:r>
          </w:p>
        </w:tc>
      </w:tr>
      <w:tr w:rsidR="00FF01A9" w:rsidRPr="001F4BAA" w14:paraId="299825FC" w14:textId="77777777" w:rsidTr="002F201F">
        <w:trPr>
          <w:trHeight w:val="285"/>
        </w:trPr>
        <w:tc>
          <w:tcPr>
            <w:tcW w:w="773" w:type="pct"/>
            <w:vMerge w:val="restart"/>
          </w:tcPr>
          <w:p w14:paraId="1791E615" w14:textId="77777777" w:rsidR="00FF01A9" w:rsidRPr="00D66735" w:rsidRDefault="00FF01A9" w:rsidP="008A26E1">
            <w:pPr>
              <w:pStyle w:val="NoSpacing"/>
              <w:jc w:val="center"/>
              <w:rPr>
                <w:rStyle w:val="Strong"/>
              </w:rPr>
            </w:pPr>
            <w:r w:rsidRPr="00D66735">
              <w:rPr>
                <w:rStyle w:val="Strong"/>
              </w:rPr>
              <w:t>Weight</w:t>
            </w:r>
          </w:p>
          <w:p w14:paraId="53345FE9" w14:textId="77777777" w:rsidR="00FF01A9" w:rsidRPr="001F4BAA" w:rsidRDefault="00FF01A9" w:rsidP="008A26E1">
            <w:pPr>
              <w:pStyle w:val="NoSpacing"/>
              <w:jc w:val="center"/>
            </w:pPr>
            <w:r w:rsidRPr="001F4BAA">
              <w:t>kg</w:t>
            </w:r>
          </w:p>
        </w:tc>
        <w:tc>
          <w:tcPr>
            <w:tcW w:w="741" w:type="pct"/>
          </w:tcPr>
          <w:p w14:paraId="1B5054E6" w14:textId="273E3EE9" w:rsidR="00FF01A9" w:rsidRPr="00D66735" w:rsidRDefault="00FF01A9" w:rsidP="008A26E1">
            <w:pPr>
              <w:pStyle w:val="NoSpacing"/>
              <w:jc w:val="center"/>
              <w:rPr>
                <w:rStyle w:val="Strong"/>
              </w:rPr>
            </w:pPr>
            <w:r w:rsidRPr="00D66735">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p>
        </w:tc>
        <w:tc>
          <w:tcPr>
            <w:tcW w:w="1643" w:type="pct"/>
            <w:gridSpan w:val="2"/>
          </w:tcPr>
          <w:p w14:paraId="73D5BA91" w14:textId="706DDDC9" w:rsidR="00FF01A9" w:rsidRPr="00D66735" w:rsidRDefault="00FF01A9" w:rsidP="008A26E1">
            <w:pPr>
              <w:pStyle w:val="NoSpacing"/>
              <w:jc w:val="center"/>
              <w:rPr>
                <w:rStyle w:val="Strong"/>
              </w:rPr>
            </w:pPr>
            <w:r w:rsidRPr="00D66735">
              <w:rPr>
                <w:rStyle w:val="Strong"/>
              </w:rPr>
              <w:t>PZA</w:t>
            </w:r>
            <w:r w:rsidR="00DE7455">
              <w:rPr>
                <w:rStyle w:val="Strong"/>
              </w:rPr>
              <w:fldChar w:fldCharType="begin"/>
            </w:r>
            <w:r w:rsidR="00DE7455">
              <w:instrText xml:space="preserve"> XE “Pyrazinamide, oral” \F “M”" </w:instrText>
            </w:r>
            <w:r w:rsidR="00DE7455">
              <w:rPr>
                <w:rStyle w:val="Strong"/>
              </w:rPr>
              <w:fldChar w:fldCharType="end"/>
            </w:r>
          </w:p>
        </w:tc>
        <w:tc>
          <w:tcPr>
            <w:tcW w:w="912" w:type="pct"/>
          </w:tcPr>
          <w:p w14:paraId="696343A9" w14:textId="48807419" w:rsidR="00FF01A9" w:rsidRPr="00D66735" w:rsidRDefault="00FF01A9" w:rsidP="008A26E1">
            <w:pPr>
              <w:pStyle w:val="NoSpacing"/>
              <w:jc w:val="center"/>
              <w:rPr>
                <w:rStyle w:val="Strong"/>
              </w:rPr>
            </w:pPr>
            <w:r w:rsidRPr="00D66735">
              <w:rPr>
                <w:rStyle w:val="Strong"/>
              </w:rPr>
              <w:t>EMB</w:t>
            </w:r>
            <w:r w:rsidR="00DE7455">
              <w:rPr>
                <w:rStyle w:val="Strong"/>
              </w:rPr>
              <w:fldChar w:fldCharType="begin"/>
            </w:r>
            <w:r w:rsidR="00DE7455">
              <w:instrText xml:space="preserve"> XE “Ethambutol, oral” \F “M” </w:instrText>
            </w:r>
            <w:r w:rsidR="00DE7455">
              <w:rPr>
                <w:rStyle w:val="Strong"/>
              </w:rPr>
              <w:fldChar w:fldCharType="end"/>
            </w:r>
          </w:p>
        </w:tc>
        <w:tc>
          <w:tcPr>
            <w:tcW w:w="930" w:type="pct"/>
          </w:tcPr>
          <w:p w14:paraId="20279552" w14:textId="2C2B9976" w:rsidR="00FF01A9" w:rsidRPr="00D66735" w:rsidRDefault="00FF01A9" w:rsidP="008A26E1">
            <w:pPr>
              <w:pStyle w:val="NoSpacing"/>
              <w:jc w:val="center"/>
              <w:rPr>
                <w:rStyle w:val="Strong"/>
              </w:rPr>
            </w:pPr>
            <w:r w:rsidRPr="00D66735">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p>
        </w:tc>
      </w:tr>
      <w:tr w:rsidR="00FF01A9" w:rsidRPr="001F4BAA" w14:paraId="4168F751" w14:textId="77777777" w:rsidTr="002F201F">
        <w:trPr>
          <w:trHeight w:val="261"/>
        </w:trPr>
        <w:tc>
          <w:tcPr>
            <w:tcW w:w="773" w:type="pct"/>
            <w:vMerge/>
          </w:tcPr>
          <w:p w14:paraId="4CF5FB0E" w14:textId="77777777" w:rsidR="00FF01A9" w:rsidRPr="001F4BAA" w:rsidRDefault="00FF01A9" w:rsidP="008A26E1">
            <w:pPr>
              <w:pStyle w:val="NoSpacing"/>
              <w:jc w:val="center"/>
            </w:pPr>
          </w:p>
        </w:tc>
        <w:tc>
          <w:tcPr>
            <w:tcW w:w="741" w:type="pct"/>
          </w:tcPr>
          <w:p w14:paraId="13AD1F01" w14:textId="77777777" w:rsidR="00FF01A9" w:rsidRPr="001F4BAA" w:rsidRDefault="00FF01A9" w:rsidP="008A26E1">
            <w:pPr>
              <w:pStyle w:val="NoSpacing"/>
              <w:jc w:val="center"/>
            </w:pPr>
            <w:r w:rsidRPr="001F4BAA">
              <w:t>60/60</w:t>
            </w:r>
          </w:p>
        </w:tc>
        <w:tc>
          <w:tcPr>
            <w:tcW w:w="718" w:type="pct"/>
          </w:tcPr>
          <w:p w14:paraId="738B37CF" w14:textId="5E25ACB8" w:rsidR="00FF01A9" w:rsidRPr="001F4BAA" w:rsidRDefault="00FF01A9" w:rsidP="008A26E1">
            <w:pPr>
              <w:pStyle w:val="NoSpacing"/>
              <w:jc w:val="center"/>
            </w:pPr>
            <w:r w:rsidRPr="001F4BAA">
              <w:t>150 mg*</w:t>
            </w:r>
          </w:p>
          <w:p w14:paraId="3EE90738" w14:textId="77777777" w:rsidR="00FF01A9" w:rsidRPr="00D66735" w:rsidRDefault="00FF01A9" w:rsidP="008A26E1">
            <w:pPr>
              <w:pStyle w:val="NoSpacing"/>
              <w:jc w:val="center"/>
              <w:rPr>
                <w:rStyle w:val="Strong"/>
              </w:rPr>
            </w:pPr>
            <w:r w:rsidRPr="00D66735">
              <w:rPr>
                <w:rStyle w:val="Strong"/>
              </w:rPr>
              <w:t>OR</w:t>
            </w:r>
          </w:p>
          <w:p w14:paraId="0CC6D579" w14:textId="77777777" w:rsidR="00FF01A9" w:rsidRPr="001F4BAA" w:rsidRDefault="00FF01A9" w:rsidP="008A26E1">
            <w:pPr>
              <w:pStyle w:val="NoSpacing"/>
              <w:jc w:val="center"/>
            </w:pPr>
            <w:r w:rsidRPr="001F4BAA">
              <w:t>150 mg/3 mL</w:t>
            </w:r>
          </w:p>
        </w:tc>
        <w:tc>
          <w:tcPr>
            <w:tcW w:w="925" w:type="pct"/>
          </w:tcPr>
          <w:p w14:paraId="42F84C89" w14:textId="0B45C9D8" w:rsidR="00FF01A9" w:rsidRPr="001F4BAA" w:rsidRDefault="00FF01A9" w:rsidP="008A26E1">
            <w:pPr>
              <w:pStyle w:val="NoSpacing"/>
              <w:jc w:val="center"/>
            </w:pPr>
            <w:r w:rsidRPr="001F4BAA">
              <w:t>500</w:t>
            </w:r>
            <w:r w:rsidR="00F94F1F">
              <w:t xml:space="preserve"> </w:t>
            </w:r>
            <w:r w:rsidRPr="001F4BAA">
              <w:t>mg</w:t>
            </w:r>
          </w:p>
        </w:tc>
        <w:tc>
          <w:tcPr>
            <w:tcW w:w="912" w:type="pct"/>
          </w:tcPr>
          <w:p w14:paraId="4A9D0BD8" w14:textId="77777777" w:rsidR="00FF01A9" w:rsidRPr="001F4BAA" w:rsidRDefault="00FF01A9" w:rsidP="008A26E1">
            <w:pPr>
              <w:pStyle w:val="NoSpacing"/>
              <w:jc w:val="center"/>
            </w:pPr>
            <w:r w:rsidRPr="001F4BAA">
              <w:t>400 mg tablet</w:t>
            </w:r>
          </w:p>
          <w:p w14:paraId="05DC42C7" w14:textId="77777777" w:rsidR="00FF01A9" w:rsidRPr="00D66735" w:rsidRDefault="00FF01A9" w:rsidP="008A26E1">
            <w:pPr>
              <w:pStyle w:val="NoSpacing"/>
              <w:jc w:val="center"/>
              <w:rPr>
                <w:rStyle w:val="Strong"/>
              </w:rPr>
            </w:pPr>
            <w:r w:rsidRPr="00D66735">
              <w:rPr>
                <w:rStyle w:val="Strong"/>
              </w:rPr>
              <w:t>OR</w:t>
            </w:r>
          </w:p>
          <w:p w14:paraId="6DFA6F95" w14:textId="0AD768BE" w:rsidR="00FF01A9" w:rsidRPr="001F4BAA" w:rsidRDefault="00FF01A9" w:rsidP="008A26E1">
            <w:pPr>
              <w:pStyle w:val="NoSpacing"/>
              <w:jc w:val="center"/>
            </w:pPr>
            <w:r w:rsidRPr="001F4BAA">
              <w:t>400 mg/8 mL*</w:t>
            </w:r>
            <w:r w:rsidR="005D0A75">
              <w:t>*</w:t>
            </w:r>
            <w:r w:rsidRPr="001F4BAA">
              <w:t xml:space="preserve"> solution</w:t>
            </w:r>
          </w:p>
        </w:tc>
        <w:tc>
          <w:tcPr>
            <w:tcW w:w="930" w:type="pct"/>
          </w:tcPr>
          <w:p w14:paraId="3B97962C" w14:textId="77777777" w:rsidR="00FF01A9" w:rsidRPr="001F4BAA" w:rsidRDefault="00FF01A9" w:rsidP="008A26E1">
            <w:pPr>
              <w:pStyle w:val="NoSpacing"/>
              <w:jc w:val="center"/>
            </w:pPr>
            <w:r w:rsidRPr="001F4BAA">
              <w:t>60/60</w:t>
            </w:r>
          </w:p>
        </w:tc>
      </w:tr>
      <w:tr w:rsidR="00FF01A9" w:rsidRPr="001F4BAA" w14:paraId="26CE7166" w14:textId="77777777" w:rsidTr="002F201F">
        <w:trPr>
          <w:trHeight w:val="285"/>
        </w:trPr>
        <w:tc>
          <w:tcPr>
            <w:tcW w:w="773" w:type="pct"/>
          </w:tcPr>
          <w:p w14:paraId="72E4B664" w14:textId="77777777" w:rsidR="00FF01A9" w:rsidRPr="001F4BAA" w:rsidRDefault="00FF01A9" w:rsidP="008A26E1">
            <w:pPr>
              <w:pStyle w:val="NoSpacing"/>
              <w:jc w:val="center"/>
            </w:pPr>
            <w:r w:rsidRPr="001F4BAA">
              <w:lastRenderedPageBreak/>
              <w:t>2–2.9 kg</w:t>
            </w:r>
          </w:p>
        </w:tc>
        <w:tc>
          <w:tcPr>
            <w:tcW w:w="741" w:type="pct"/>
          </w:tcPr>
          <w:p w14:paraId="4B35FD9C" w14:textId="77777777" w:rsidR="00FF01A9" w:rsidRPr="001F4BAA" w:rsidRDefault="00FF01A9" w:rsidP="008A26E1">
            <w:pPr>
              <w:pStyle w:val="NoSpacing"/>
              <w:jc w:val="center"/>
            </w:pPr>
            <w:r w:rsidRPr="001F4BAA">
              <w:t>½ tablet</w:t>
            </w:r>
          </w:p>
        </w:tc>
        <w:tc>
          <w:tcPr>
            <w:tcW w:w="718" w:type="pct"/>
          </w:tcPr>
          <w:p w14:paraId="714F1712" w14:textId="77777777" w:rsidR="00FF01A9" w:rsidRPr="001F4BAA" w:rsidRDefault="00FF01A9" w:rsidP="008A26E1">
            <w:pPr>
              <w:pStyle w:val="NoSpacing"/>
              <w:jc w:val="center"/>
            </w:pPr>
            <w:r w:rsidRPr="001F4BAA">
              <w:t>1.5 mL</w:t>
            </w:r>
          </w:p>
        </w:tc>
        <w:tc>
          <w:tcPr>
            <w:tcW w:w="925" w:type="pct"/>
          </w:tcPr>
          <w:p w14:paraId="0234FFBC" w14:textId="77777777" w:rsidR="00FF01A9" w:rsidRPr="001F4BAA" w:rsidRDefault="00FF01A9" w:rsidP="008A26E1">
            <w:pPr>
              <w:pStyle w:val="NoSpacing"/>
              <w:jc w:val="center"/>
            </w:pPr>
            <w:r w:rsidRPr="001F4BAA">
              <w:t>Expert advice on dose</w:t>
            </w:r>
          </w:p>
        </w:tc>
        <w:tc>
          <w:tcPr>
            <w:tcW w:w="912" w:type="pct"/>
          </w:tcPr>
          <w:p w14:paraId="46437BE1" w14:textId="77777777" w:rsidR="00FF01A9" w:rsidRPr="001F4BAA" w:rsidRDefault="00FF01A9" w:rsidP="008A26E1">
            <w:pPr>
              <w:pStyle w:val="NoSpacing"/>
              <w:jc w:val="center"/>
            </w:pPr>
            <w:r w:rsidRPr="001F4BAA">
              <w:t>1 mL</w:t>
            </w:r>
          </w:p>
        </w:tc>
        <w:tc>
          <w:tcPr>
            <w:tcW w:w="930" w:type="pct"/>
          </w:tcPr>
          <w:p w14:paraId="25F44381" w14:textId="77777777" w:rsidR="00FF01A9" w:rsidRPr="001F4BAA" w:rsidRDefault="00FF01A9" w:rsidP="008A26E1">
            <w:pPr>
              <w:pStyle w:val="NoSpacing"/>
              <w:jc w:val="center"/>
            </w:pPr>
            <w:r w:rsidRPr="001F4BAA">
              <w:t>½ tablet</w:t>
            </w:r>
          </w:p>
        </w:tc>
      </w:tr>
      <w:tr w:rsidR="00FF01A9" w:rsidRPr="001F4BAA" w14:paraId="7C8BA302" w14:textId="77777777" w:rsidTr="002F201F">
        <w:trPr>
          <w:trHeight w:val="187"/>
        </w:trPr>
        <w:tc>
          <w:tcPr>
            <w:tcW w:w="773" w:type="pct"/>
          </w:tcPr>
          <w:p w14:paraId="58E11F1C" w14:textId="77777777" w:rsidR="00FF01A9" w:rsidRPr="001F4BAA" w:rsidRDefault="00FF01A9" w:rsidP="008A26E1">
            <w:pPr>
              <w:pStyle w:val="NoSpacing"/>
              <w:jc w:val="center"/>
            </w:pPr>
            <w:r w:rsidRPr="001F4BAA">
              <w:t>3–3.9 kg</w:t>
            </w:r>
          </w:p>
        </w:tc>
        <w:tc>
          <w:tcPr>
            <w:tcW w:w="741" w:type="pct"/>
          </w:tcPr>
          <w:p w14:paraId="4F7352D5" w14:textId="77777777" w:rsidR="00FF01A9" w:rsidRPr="001F4BAA" w:rsidRDefault="00FF01A9" w:rsidP="008A26E1">
            <w:pPr>
              <w:pStyle w:val="NoSpacing"/>
              <w:jc w:val="center"/>
            </w:pPr>
            <w:r w:rsidRPr="001F4BAA">
              <w:t>¾ tablet</w:t>
            </w:r>
          </w:p>
        </w:tc>
        <w:tc>
          <w:tcPr>
            <w:tcW w:w="718" w:type="pct"/>
          </w:tcPr>
          <w:p w14:paraId="163D912B" w14:textId="77777777" w:rsidR="00FF01A9" w:rsidRPr="001F4BAA" w:rsidRDefault="00FF01A9" w:rsidP="008A26E1">
            <w:pPr>
              <w:pStyle w:val="NoSpacing"/>
              <w:jc w:val="center"/>
            </w:pPr>
            <w:r w:rsidRPr="001F4BAA">
              <w:t>2.5 mL</w:t>
            </w:r>
          </w:p>
        </w:tc>
        <w:tc>
          <w:tcPr>
            <w:tcW w:w="925" w:type="pct"/>
          </w:tcPr>
          <w:p w14:paraId="52F6E5A7" w14:textId="77777777" w:rsidR="00FF01A9" w:rsidRPr="001F4BAA" w:rsidRDefault="00FF01A9" w:rsidP="008A26E1">
            <w:pPr>
              <w:pStyle w:val="NoSpacing"/>
              <w:jc w:val="center"/>
            </w:pPr>
            <w:r w:rsidRPr="001F4BAA">
              <w:t>¼ tablet</w:t>
            </w:r>
          </w:p>
        </w:tc>
        <w:tc>
          <w:tcPr>
            <w:tcW w:w="912" w:type="pct"/>
          </w:tcPr>
          <w:p w14:paraId="64D518FF" w14:textId="77777777" w:rsidR="00FF01A9" w:rsidRPr="001F4BAA" w:rsidRDefault="00FF01A9" w:rsidP="008A26E1">
            <w:pPr>
              <w:pStyle w:val="NoSpacing"/>
              <w:jc w:val="center"/>
            </w:pPr>
            <w:r w:rsidRPr="001F4BAA">
              <w:t>1.5 mL</w:t>
            </w:r>
          </w:p>
        </w:tc>
        <w:tc>
          <w:tcPr>
            <w:tcW w:w="930" w:type="pct"/>
          </w:tcPr>
          <w:p w14:paraId="5E2CECF7" w14:textId="77777777" w:rsidR="00FF01A9" w:rsidRPr="001F4BAA" w:rsidRDefault="00FF01A9" w:rsidP="008A26E1">
            <w:pPr>
              <w:pStyle w:val="NoSpacing"/>
              <w:jc w:val="center"/>
            </w:pPr>
            <w:r w:rsidRPr="001F4BAA">
              <w:t>¾ tablet</w:t>
            </w:r>
          </w:p>
        </w:tc>
      </w:tr>
      <w:tr w:rsidR="00FF01A9" w:rsidRPr="001F4BAA" w14:paraId="427EF0B2" w14:textId="77777777" w:rsidTr="002F201F">
        <w:trPr>
          <w:trHeight w:val="176"/>
        </w:trPr>
        <w:tc>
          <w:tcPr>
            <w:tcW w:w="773" w:type="pct"/>
          </w:tcPr>
          <w:p w14:paraId="13F9776B" w14:textId="77777777" w:rsidR="00FF01A9" w:rsidRPr="001F4BAA" w:rsidRDefault="00FF01A9" w:rsidP="008A26E1">
            <w:pPr>
              <w:pStyle w:val="NoSpacing"/>
              <w:jc w:val="center"/>
            </w:pPr>
            <w:r w:rsidRPr="001F4BAA">
              <w:t>4–5.9 kg</w:t>
            </w:r>
          </w:p>
        </w:tc>
        <w:tc>
          <w:tcPr>
            <w:tcW w:w="741" w:type="pct"/>
          </w:tcPr>
          <w:p w14:paraId="646708BA" w14:textId="77777777" w:rsidR="00FF01A9" w:rsidRPr="001F4BAA" w:rsidRDefault="00FF01A9" w:rsidP="008A26E1">
            <w:pPr>
              <w:pStyle w:val="NoSpacing"/>
              <w:jc w:val="center"/>
            </w:pPr>
            <w:r w:rsidRPr="001F4BAA">
              <w:t>1 tablet</w:t>
            </w:r>
          </w:p>
        </w:tc>
        <w:tc>
          <w:tcPr>
            <w:tcW w:w="718" w:type="pct"/>
          </w:tcPr>
          <w:p w14:paraId="5FC6C500" w14:textId="77777777" w:rsidR="00FF01A9" w:rsidRPr="001F4BAA" w:rsidRDefault="00FF01A9" w:rsidP="008A26E1">
            <w:pPr>
              <w:pStyle w:val="NoSpacing"/>
              <w:jc w:val="center"/>
            </w:pPr>
            <w:r w:rsidRPr="001F4BAA">
              <w:t>3 mL</w:t>
            </w:r>
          </w:p>
        </w:tc>
        <w:tc>
          <w:tcPr>
            <w:tcW w:w="925" w:type="pct"/>
          </w:tcPr>
          <w:p w14:paraId="67806D62" w14:textId="77777777" w:rsidR="00FF01A9" w:rsidRPr="001F4BAA" w:rsidRDefault="00FF01A9" w:rsidP="008A26E1">
            <w:pPr>
              <w:pStyle w:val="NoSpacing"/>
              <w:jc w:val="center"/>
            </w:pPr>
            <w:r w:rsidRPr="001F4BAA">
              <w:t>¼ tablet</w:t>
            </w:r>
          </w:p>
        </w:tc>
        <w:tc>
          <w:tcPr>
            <w:tcW w:w="912" w:type="pct"/>
          </w:tcPr>
          <w:p w14:paraId="44F14761" w14:textId="77777777" w:rsidR="00FF01A9" w:rsidRPr="001F4BAA" w:rsidRDefault="00FF01A9" w:rsidP="008A26E1">
            <w:pPr>
              <w:pStyle w:val="NoSpacing"/>
              <w:jc w:val="center"/>
            </w:pPr>
            <w:r w:rsidRPr="001F4BAA">
              <w:t>2 mL</w:t>
            </w:r>
          </w:p>
        </w:tc>
        <w:tc>
          <w:tcPr>
            <w:tcW w:w="930" w:type="pct"/>
          </w:tcPr>
          <w:p w14:paraId="774C3AF6" w14:textId="77777777" w:rsidR="00FF01A9" w:rsidRPr="001F4BAA" w:rsidRDefault="00FF01A9" w:rsidP="008A26E1">
            <w:pPr>
              <w:pStyle w:val="NoSpacing"/>
              <w:jc w:val="center"/>
            </w:pPr>
            <w:r w:rsidRPr="001F4BAA">
              <w:t>1 tablet</w:t>
            </w:r>
          </w:p>
        </w:tc>
      </w:tr>
      <w:tr w:rsidR="00FF01A9" w:rsidRPr="001F4BAA" w14:paraId="015C848B" w14:textId="77777777" w:rsidTr="002F201F">
        <w:trPr>
          <w:trHeight w:val="207"/>
        </w:trPr>
        <w:tc>
          <w:tcPr>
            <w:tcW w:w="773" w:type="pct"/>
          </w:tcPr>
          <w:p w14:paraId="1AE4A3EC" w14:textId="77777777" w:rsidR="00FF01A9" w:rsidRPr="001F4BAA" w:rsidRDefault="00FF01A9" w:rsidP="008A26E1">
            <w:pPr>
              <w:pStyle w:val="NoSpacing"/>
              <w:jc w:val="center"/>
            </w:pPr>
            <w:r w:rsidRPr="001F4BAA">
              <w:t>6–7.9 kg</w:t>
            </w:r>
          </w:p>
        </w:tc>
        <w:tc>
          <w:tcPr>
            <w:tcW w:w="741" w:type="pct"/>
          </w:tcPr>
          <w:p w14:paraId="5071649B" w14:textId="77777777" w:rsidR="00FF01A9" w:rsidRPr="001F4BAA" w:rsidRDefault="00FF01A9" w:rsidP="008A26E1">
            <w:pPr>
              <w:pStyle w:val="NoSpacing"/>
              <w:jc w:val="center"/>
            </w:pPr>
            <w:r w:rsidRPr="001F4BAA">
              <w:t>1½ tablet</w:t>
            </w:r>
          </w:p>
        </w:tc>
        <w:tc>
          <w:tcPr>
            <w:tcW w:w="718" w:type="pct"/>
            <w:vMerge w:val="restart"/>
            <w:shd w:val="clear" w:color="auto" w:fill="BFBFBF" w:themeFill="background1" w:themeFillShade="BF"/>
          </w:tcPr>
          <w:p w14:paraId="292D8047" w14:textId="77777777" w:rsidR="00FF01A9" w:rsidRPr="001F4BAA" w:rsidRDefault="00FF01A9" w:rsidP="008A26E1">
            <w:pPr>
              <w:pStyle w:val="NoSpacing"/>
              <w:jc w:val="center"/>
            </w:pPr>
          </w:p>
        </w:tc>
        <w:tc>
          <w:tcPr>
            <w:tcW w:w="925" w:type="pct"/>
          </w:tcPr>
          <w:p w14:paraId="519EE1D5" w14:textId="77777777" w:rsidR="00FF01A9" w:rsidRPr="001F4BAA" w:rsidRDefault="00FF01A9" w:rsidP="008A26E1">
            <w:pPr>
              <w:pStyle w:val="NoSpacing"/>
              <w:jc w:val="center"/>
            </w:pPr>
            <w:r w:rsidRPr="001F4BAA">
              <w:t>½ tablet</w:t>
            </w:r>
          </w:p>
        </w:tc>
        <w:tc>
          <w:tcPr>
            <w:tcW w:w="912" w:type="pct"/>
          </w:tcPr>
          <w:p w14:paraId="574A9181" w14:textId="77777777" w:rsidR="00FF01A9" w:rsidRPr="001F4BAA" w:rsidRDefault="00FF01A9" w:rsidP="008A26E1">
            <w:pPr>
              <w:pStyle w:val="NoSpacing"/>
              <w:jc w:val="center"/>
            </w:pPr>
            <w:r w:rsidRPr="001F4BAA">
              <w:t>3 mL</w:t>
            </w:r>
          </w:p>
        </w:tc>
        <w:tc>
          <w:tcPr>
            <w:tcW w:w="930" w:type="pct"/>
          </w:tcPr>
          <w:p w14:paraId="62BCD5A2" w14:textId="77777777" w:rsidR="00FF01A9" w:rsidRPr="001F4BAA" w:rsidRDefault="00FF01A9" w:rsidP="008A26E1">
            <w:pPr>
              <w:pStyle w:val="NoSpacing"/>
              <w:jc w:val="center"/>
            </w:pPr>
            <w:r w:rsidRPr="001F4BAA">
              <w:t>1½ tablets</w:t>
            </w:r>
          </w:p>
        </w:tc>
      </w:tr>
      <w:tr w:rsidR="00FF01A9" w:rsidRPr="001F4BAA" w14:paraId="4E80D276" w14:textId="77777777" w:rsidTr="002F201F">
        <w:trPr>
          <w:trHeight w:val="153"/>
        </w:trPr>
        <w:tc>
          <w:tcPr>
            <w:tcW w:w="773" w:type="pct"/>
          </w:tcPr>
          <w:p w14:paraId="5555700F" w14:textId="77777777" w:rsidR="00FF01A9" w:rsidRPr="001F4BAA" w:rsidRDefault="00FF01A9" w:rsidP="008A26E1">
            <w:pPr>
              <w:pStyle w:val="NoSpacing"/>
              <w:jc w:val="center"/>
            </w:pPr>
            <w:r w:rsidRPr="001F4BAA">
              <w:t>8–11.9 kg</w:t>
            </w:r>
          </w:p>
        </w:tc>
        <w:tc>
          <w:tcPr>
            <w:tcW w:w="741" w:type="pct"/>
          </w:tcPr>
          <w:p w14:paraId="49B8C5B1" w14:textId="77777777" w:rsidR="00FF01A9" w:rsidRPr="001F4BAA" w:rsidRDefault="00FF01A9" w:rsidP="008A26E1">
            <w:pPr>
              <w:pStyle w:val="NoSpacing"/>
              <w:jc w:val="center"/>
            </w:pPr>
            <w:r w:rsidRPr="001F4BAA">
              <w:t>2 tablets</w:t>
            </w:r>
          </w:p>
        </w:tc>
        <w:tc>
          <w:tcPr>
            <w:tcW w:w="718" w:type="pct"/>
            <w:vMerge/>
            <w:shd w:val="clear" w:color="auto" w:fill="BFBFBF" w:themeFill="background1" w:themeFillShade="BF"/>
          </w:tcPr>
          <w:p w14:paraId="5084FF3A" w14:textId="77777777" w:rsidR="00FF01A9" w:rsidRPr="001F4BAA" w:rsidRDefault="00FF01A9" w:rsidP="008A26E1">
            <w:pPr>
              <w:pStyle w:val="NoSpacing"/>
              <w:jc w:val="center"/>
            </w:pPr>
          </w:p>
        </w:tc>
        <w:tc>
          <w:tcPr>
            <w:tcW w:w="925" w:type="pct"/>
          </w:tcPr>
          <w:p w14:paraId="19402B70" w14:textId="77777777" w:rsidR="00FF01A9" w:rsidRPr="001F4BAA" w:rsidRDefault="00FF01A9" w:rsidP="008A26E1">
            <w:pPr>
              <w:pStyle w:val="NoSpacing"/>
              <w:jc w:val="center"/>
            </w:pPr>
            <w:r w:rsidRPr="001F4BAA">
              <w:t>½ tablet</w:t>
            </w:r>
          </w:p>
        </w:tc>
        <w:tc>
          <w:tcPr>
            <w:tcW w:w="912" w:type="pct"/>
          </w:tcPr>
          <w:p w14:paraId="4DCF3995" w14:textId="77777777" w:rsidR="00FF01A9" w:rsidRPr="001F4BAA" w:rsidRDefault="00FF01A9" w:rsidP="008A26E1">
            <w:pPr>
              <w:pStyle w:val="NoSpacing"/>
              <w:jc w:val="center"/>
            </w:pPr>
            <w:r w:rsidRPr="001F4BAA">
              <w:t>½ tablet</w:t>
            </w:r>
          </w:p>
        </w:tc>
        <w:tc>
          <w:tcPr>
            <w:tcW w:w="930" w:type="pct"/>
          </w:tcPr>
          <w:p w14:paraId="21E0F76D" w14:textId="77777777" w:rsidR="00FF01A9" w:rsidRPr="001F4BAA" w:rsidRDefault="00FF01A9" w:rsidP="008A26E1">
            <w:pPr>
              <w:pStyle w:val="NoSpacing"/>
              <w:jc w:val="center"/>
            </w:pPr>
            <w:r w:rsidRPr="001F4BAA">
              <w:t>2 tablets</w:t>
            </w:r>
          </w:p>
        </w:tc>
      </w:tr>
      <w:tr w:rsidR="00FF01A9" w:rsidRPr="001F4BAA" w14:paraId="558A3B3D" w14:textId="77777777" w:rsidTr="002F201F">
        <w:trPr>
          <w:trHeight w:val="173"/>
        </w:trPr>
        <w:tc>
          <w:tcPr>
            <w:tcW w:w="773" w:type="pct"/>
          </w:tcPr>
          <w:p w14:paraId="3F16C5BE" w14:textId="77777777" w:rsidR="00FF01A9" w:rsidRPr="001F4BAA" w:rsidRDefault="00FF01A9" w:rsidP="008A26E1">
            <w:pPr>
              <w:pStyle w:val="NoSpacing"/>
              <w:jc w:val="center"/>
            </w:pPr>
            <w:r w:rsidRPr="001F4BAA">
              <w:t>12–14.9 kg</w:t>
            </w:r>
          </w:p>
        </w:tc>
        <w:tc>
          <w:tcPr>
            <w:tcW w:w="741" w:type="pct"/>
          </w:tcPr>
          <w:p w14:paraId="67ACF1CC" w14:textId="77777777" w:rsidR="00FF01A9" w:rsidRPr="001F4BAA" w:rsidRDefault="00FF01A9" w:rsidP="008A26E1">
            <w:pPr>
              <w:pStyle w:val="NoSpacing"/>
              <w:jc w:val="center"/>
            </w:pPr>
            <w:r w:rsidRPr="001F4BAA">
              <w:t>3 tablets</w:t>
            </w:r>
          </w:p>
        </w:tc>
        <w:tc>
          <w:tcPr>
            <w:tcW w:w="718" w:type="pct"/>
            <w:vMerge/>
            <w:shd w:val="clear" w:color="auto" w:fill="BFBFBF" w:themeFill="background1" w:themeFillShade="BF"/>
          </w:tcPr>
          <w:p w14:paraId="70C50EE6" w14:textId="77777777" w:rsidR="00FF01A9" w:rsidRPr="001F4BAA" w:rsidRDefault="00FF01A9" w:rsidP="008A26E1">
            <w:pPr>
              <w:pStyle w:val="NoSpacing"/>
              <w:jc w:val="center"/>
            </w:pPr>
          </w:p>
        </w:tc>
        <w:tc>
          <w:tcPr>
            <w:tcW w:w="925" w:type="pct"/>
          </w:tcPr>
          <w:p w14:paraId="52D98E0E" w14:textId="77777777" w:rsidR="00FF01A9" w:rsidRPr="001F4BAA" w:rsidRDefault="00FF01A9" w:rsidP="008A26E1">
            <w:pPr>
              <w:pStyle w:val="NoSpacing"/>
              <w:jc w:val="center"/>
            </w:pPr>
            <w:r w:rsidRPr="001F4BAA">
              <w:t>1 tablet</w:t>
            </w:r>
          </w:p>
        </w:tc>
        <w:tc>
          <w:tcPr>
            <w:tcW w:w="912" w:type="pct"/>
          </w:tcPr>
          <w:p w14:paraId="7F2B9CB4" w14:textId="77777777" w:rsidR="00FF01A9" w:rsidRPr="001F4BAA" w:rsidRDefault="00FF01A9" w:rsidP="008A26E1">
            <w:pPr>
              <w:pStyle w:val="NoSpacing"/>
              <w:jc w:val="center"/>
            </w:pPr>
            <w:r w:rsidRPr="001F4BAA">
              <w:t>¾ tablet</w:t>
            </w:r>
          </w:p>
        </w:tc>
        <w:tc>
          <w:tcPr>
            <w:tcW w:w="930" w:type="pct"/>
          </w:tcPr>
          <w:p w14:paraId="47279BA1" w14:textId="77777777" w:rsidR="00FF01A9" w:rsidRPr="001F4BAA" w:rsidRDefault="00FF01A9" w:rsidP="008A26E1">
            <w:pPr>
              <w:pStyle w:val="NoSpacing"/>
              <w:jc w:val="center"/>
            </w:pPr>
            <w:r w:rsidRPr="001F4BAA">
              <w:t>3 tablets</w:t>
            </w:r>
          </w:p>
        </w:tc>
      </w:tr>
      <w:tr w:rsidR="00FF01A9" w:rsidRPr="001F4BAA" w14:paraId="77AF6983" w14:textId="77777777" w:rsidTr="002F201F">
        <w:trPr>
          <w:trHeight w:val="187"/>
        </w:trPr>
        <w:tc>
          <w:tcPr>
            <w:tcW w:w="773" w:type="pct"/>
          </w:tcPr>
          <w:p w14:paraId="330F8580" w14:textId="77777777" w:rsidR="00FF01A9" w:rsidRPr="001F4BAA" w:rsidRDefault="00FF01A9" w:rsidP="008A26E1">
            <w:pPr>
              <w:pStyle w:val="NoSpacing"/>
              <w:jc w:val="center"/>
            </w:pPr>
            <w:r w:rsidRPr="001F4BAA">
              <w:t>15–19.9 kg</w:t>
            </w:r>
          </w:p>
        </w:tc>
        <w:tc>
          <w:tcPr>
            <w:tcW w:w="741" w:type="pct"/>
          </w:tcPr>
          <w:p w14:paraId="75816061" w14:textId="77777777" w:rsidR="00FF01A9" w:rsidRPr="001F4BAA" w:rsidRDefault="00FF01A9" w:rsidP="008A26E1">
            <w:pPr>
              <w:pStyle w:val="NoSpacing"/>
              <w:jc w:val="center"/>
            </w:pPr>
            <w:r w:rsidRPr="001F4BAA">
              <w:t>3½ tablets</w:t>
            </w:r>
          </w:p>
        </w:tc>
        <w:tc>
          <w:tcPr>
            <w:tcW w:w="718" w:type="pct"/>
            <w:vMerge/>
            <w:shd w:val="clear" w:color="auto" w:fill="BFBFBF" w:themeFill="background1" w:themeFillShade="BF"/>
          </w:tcPr>
          <w:p w14:paraId="7F5B641E" w14:textId="77777777" w:rsidR="00FF01A9" w:rsidRPr="001F4BAA" w:rsidRDefault="00FF01A9" w:rsidP="008A26E1">
            <w:pPr>
              <w:pStyle w:val="NoSpacing"/>
              <w:jc w:val="center"/>
            </w:pPr>
          </w:p>
        </w:tc>
        <w:tc>
          <w:tcPr>
            <w:tcW w:w="925" w:type="pct"/>
          </w:tcPr>
          <w:p w14:paraId="701CCEE7" w14:textId="77777777" w:rsidR="00FF01A9" w:rsidRPr="001F4BAA" w:rsidRDefault="00FF01A9" w:rsidP="008A26E1">
            <w:pPr>
              <w:pStyle w:val="NoSpacing"/>
              <w:jc w:val="center"/>
            </w:pPr>
            <w:r w:rsidRPr="001F4BAA">
              <w:t>1 tablet</w:t>
            </w:r>
          </w:p>
        </w:tc>
        <w:tc>
          <w:tcPr>
            <w:tcW w:w="912" w:type="pct"/>
          </w:tcPr>
          <w:p w14:paraId="1C3A6570" w14:textId="77777777" w:rsidR="00FF01A9" w:rsidRPr="001F4BAA" w:rsidRDefault="00FF01A9" w:rsidP="008A26E1">
            <w:pPr>
              <w:pStyle w:val="NoSpacing"/>
              <w:jc w:val="center"/>
            </w:pPr>
            <w:r w:rsidRPr="001F4BAA">
              <w:t>1 tablet</w:t>
            </w:r>
          </w:p>
        </w:tc>
        <w:tc>
          <w:tcPr>
            <w:tcW w:w="930" w:type="pct"/>
          </w:tcPr>
          <w:p w14:paraId="0752345C" w14:textId="77777777" w:rsidR="00FF01A9" w:rsidRPr="001F4BAA" w:rsidRDefault="00FF01A9" w:rsidP="008A26E1">
            <w:pPr>
              <w:pStyle w:val="NoSpacing"/>
              <w:jc w:val="center"/>
            </w:pPr>
            <w:r w:rsidRPr="001F4BAA">
              <w:t>3½ tablets</w:t>
            </w:r>
          </w:p>
        </w:tc>
      </w:tr>
      <w:tr w:rsidR="00FF01A9" w:rsidRPr="001F4BAA" w14:paraId="13B0CB15" w14:textId="77777777" w:rsidTr="002F201F">
        <w:trPr>
          <w:trHeight w:val="133"/>
        </w:trPr>
        <w:tc>
          <w:tcPr>
            <w:tcW w:w="773" w:type="pct"/>
          </w:tcPr>
          <w:p w14:paraId="1F6FBA5B" w14:textId="77777777" w:rsidR="00FF01A9" w:rsidRPr="001F4BAA" w:rsidRDefault="00FF01A9" w:rsidP="008A26E1">
            <w:pPr>
              <w:pStyle w:val="NoSpacing"/>
              <w:jc w:val="center"/>
            </w:pPr>
            <w:r w:rsidRPr="001F4BAA">
              <w:t>20–24.9 kg</w:t>
            </w:r>
          </w:p>
        </w:tc>
        <w:tc>
          <w:tcPr>
            <w:tcW w:w="741" w:type="pct"/>
          </w:tcPr>
          <w:p w14:paraId="1C4D00F7" w14:textId="77777777" w:rsidR="00FF01A9" w:rsidRPr="001F4BAA" w:rsidRDefault="00FF01A9" w:rsidP="008A26E1">
            <w:pPr>
              <w:pStyle w:val="NoSpacing"/>
              <w:jc w:val="center"/>
            </w:pPr>
            <w:r w:rsidRPr="001F4BAA">
              <w:t>4½ tablets</w:t>
            </w:r>
          </w:p>
        </w:tc>
        <w:tc>
          <w:tcPr>
            <w:tcW w:w="718" w:type="pct"/>
            <w:vMerge/>
            <w:shd w:val="clear" w:color="auto" w:fill="BFBFBF" w:themeFill="background1" w:themeFillShade="BF"/>
          </w:tcPr>
          <w:p w14:paraId="512AB748" w14:textId="77777777" w:rsidR="00FF01A9" w:rsidRPr="001F4BAA" w:rsidRDefault="00FF01A9" w:rsidP="008A26E1">
            <w:pPr>
              <w:pStyle w:val="NoSpacing"/>
              <w:jc w:val="center"/>
            </w:pPr>
          </w:p>
        </w:tc>
        <w:tc>
          <w:tcPr>
            <w:tcW w:w="925" w:type="pct"/>
          </w:tcPr>
          <w:p w14:paraId="6EC61DCB" w14:textId="77777777" w:rsidR="00FF01A9" w:rsidRPr="001F4BAA" w:rsidRDefault="00FF01A9" w:rsidP="008A26E1">
            <w:pPr>
              <w:pStyle w:val="NoSpacing"/>
              <w:jc w:val="center"/>
            </w:pPr>
            <w:r w:rsidRPr="001F4BAA">
              <w:t>1½ tablet</w:t>
            </w:r>
          </w:p>
        </w:tc>
        <w:tc>
          <w:tcPr>
            <w:tcW w:w="912" w:type="pct"/>
          </w:tcPr>
          <w:p w14:paraId="4171F061" w14:textId="77777777" w:rsidR="00FF01A9" w:rsidRPr="001F4BAA" w:rsidRDefault="00FF01A9" w:rsidP="008A26E1">
            <w:pPr>
              <w:pStyle w:val="NoSpacing"/>
              <w:jc w:val="center"/>
            </w:pPr>
            <w:r w:rsidRPr="001F4BAA">
              <w:t>1 tablet</w:t>
            </w:r>
          </w:p>
        </w:tc>
        <w:tc>
          <w:tcPr>
            <w:tcW w:w="930" w:type="pct"/>
          </w:tcPr>
          <w:p w14:paraId="4B1F87FD" w14:textId="77777777" w:rsidR="00FF01A9" w:rsidRPr="001F4BAA" w:rsidRDefault="00FF01A9" w:rsidP="008A26E1">
            <w:pPr>
              <w:pStyle w:val="NoSpacing"/>
              <w:jc w:val="center"/>
            </w:pPr>
            <w:r w:rsidRPr="001F4BAA">
              <w:t>4½ tablets</w:t>
            </w:r>
          </w:p>
        </w:tc>
      </w:tr>
      <w:tr w:rsidR="00FF01A9" w:rsidRPr="001F4BAA" w14:paraId="41DA38F2" w14:textId="77777777" w:rsidTr="002F201F">
        <w:trPr>
          <w:trHeight w:val="36"/>
        </w:trPr>
        <w:tc>
          <w:tcPr>
            <w:tcW w:w="773" w:type="pct"/>
          </w:tcPr>
          <w:p w14:paraId="006B93C3" w14:textId="77777777" w:rsidR="00FF01A9" w:rsidRPr="001F4BAA" w:rsidRDefault="00FF01A9" w:rsidP="008A26E1">
            <w:pPr>
              <w:pStyle w:val="NoSpacing"/>
              <w:jc w:val="center"/>
            </w:pPr>
            <w:r w:rsidRPr="001F4BAA">
              <w:t>25–29.9 kg</w:t>
            </w:r>
          </w:p>
        </w:tc>
        <w:tc>
          <w:tcPr>
            <w:tcW w:w="741" w:type="pct"/>
          </w:tcPr>
          <w:p w14:paraId="3A105CFB" w14:textId="77777777" w:rsidR="00FF01A9" w:rsidRPr="001F4BAA" w:rsidRDefault="00FF01A9" w:rsidP="008A26E1">
            <w:pPr>
              <w:pStyle w:val="NoSpacing"/>
              <w:jc w:val="center"/>
            </w:pPr>
            <w:r w:rsidRPr="001F4BAA">
              <w:t>5 tablets</w:t>
            </w:r>
          </w:p>
        </w:tc>
        <w:tc>
          <w:tcPr>
            <w:tcW w:w="718" w:type="pct"/>
            <w:vMerge/>
            <w:shd w:val="clear" w:color="auto" w:fill="BFBFBF" w:themeFill="background1" w:themeFillShade="BF"/>
          </w:tcPr>
          <w:p w14:paraId="20CBEB6B" w14:textId="77777777" w:rsidR="00FF01A9" w:rsidRPr="001F4BAA" w:rsidRDefault="00FF01A9" w:rsidP="008A26E1">
            <w:pPr>
              <w:pStyle w:val="NoSpacing"/>
              <w:jc w:val="center"/>
            </w:pPr>
          </w:p>
        </w:tc>
        <w:tc>
          <w:tcPr>
            <w:tcW w:w="925" w:type="pct"/>
          </w:tcPr>
          <w:p w14:paraId="4A132BD5" w14:textId="77777777" w:rsidR="00FF01A9" w:rsidRPr="001F4BAA" w:rsidRDefault="00FF01A9" w:rsidP="008A26E1">
            <w:pPr>
              <w:pStyle w:val="NoSpacing"/>
              <w:jc w:val="center"/>
            </w:pPr>
            <w:r w:rsidRPr="001F4BAA">
              <w:t>2 tablets</w:t>
            </w:r>
          </w:p>
        </w:tc>
        <w:tc>
          <w:tcPr>
            <w:tcW w:w="912" w:type="pct"/>
          </w:tcPr>
          <w:p w14:paraId="5C855A8D" w14:textId="77777777" w:rsidR="00FF01A9" w:rsidRPr="001F4BAA" w:rsidRDefault="00FF01A9" w:rsidP="008A26E1">
            <w:pPr>
              <w:pStyle w:val="NoSpacing"/>
              <w:jc w:val="center"/>
            </w:pPr>
            <w:r w:rsidRPr="001F4BAA">
              <w:t>1½ tablets</w:t>
            </w:r>
          </w:p>
        </w:tc>
        <w:tc>
          <w:tcPr>
            <w:tcW w:w="930" w:type="pct"/>
          </w:tcPr>
          <w:p w14:paraId="02EFBAB4" w14:textId="77777777" w:rsidR="00FF01A9" w:rsidRPr="001F4BAA" w:rsidRDefault="00FF01A9" w:rsidP="008A26E1">
            <w:pPr>
              <w:pStyle w:val="NoSpacing"/>
              <w:jc w:val="center"/>
            </w:pPr>
            <w:r w:rsidRPr="001F4BAA">
              <w:t>5 tablets</w:t>
            </w:r>
          </w:p>
        </w:tc>
      </w:tr>
      <w:tr w:rsidR="002F201F" w:rsidRPr="001F4BAA" w14:paraId="36E03286" w14:textId="77777777" w:rsidTr="002F201F">
        <w:trPr>
          <w:trHeight w:val="36"/>
        </w:trPr>
        <w:tc>
          <w:tcPr>
            <w:tcW w:w="5000" w:type="pct"/>
            <w:gridSpan w:val="6"/>
          </w:tcPr>
          <w:p w14:paraId="22BF56F6" w14:textId="77777777" w:rsidR="002F201F" w:rsidRPr="002F201F" w:rsidRDefault="002F201F" w:rsidP="002F201F">
            <w:pPr>
              <w:pStyle w:val="NoSpacing"/>
              <w:rPr>
                <w:sz w:val="12"/>
                <w:szCs w:val="12"/>
              </w:rPr>
            </w:pPr>
            <w:r w:rsidRPr="002F201F">
              <w:rPr>
                <w:sz w:val="12"/>
                <w:szCs w:val="12"/>
              </w:rPr>
              <w:t>* PZA: For each dose, dissolve 150 mg dispersible (1 tablet) in 3 mL of water to prepare a concentration of 50 mg/mL (150 mg/3mL).</w:t>
            </w:r>
          </w:p>
          <w:p w14:paraId="2177DEE2" w14:textId="77777777" w:rsidR="002F201F" w:rsidRPr="002F201F" w:rsidRDefault="002F201F" w:rsidP="002F201F">
            <w:pPr>
              <w:pStyle w:val="NoSpacing"/>
              <w:rPr>
                <w:sz w:val="12"/>
                <w:szCs w:val="12"/>
              </w:rPr>
            </w:pPr>
            <w:r w:rsidRPr="002F201F">
              <w:rPr>
                <w:sz w:val="12"/>
                <w:szCs w:val="12"/>
              </w:rPr>
              <w:t>** EMB: For each dose, crush 400 mg (1 tablet) to a fine powder and dissolve in 8 mL of water to prepare a concentration of 400mg/8mL. Discard unused solution.</w:t>
            </w:r>
          </w:p>
          <w:p w14:paraId="0EAE4179" w14:textId="77777777" w:rsidR="002F201F" w:rsidRPr="002F201F" w:rsidRDefault="002F201F" w:rsidP="002F201F">
            <w:pPr>
              <w:pStyle w:val="NoSpacing"/>
              <w:rPr>
                <w:sz w:val="12"/>
                <w:szCs w:val="12"/>
              </w:rPr>
            </w:pPr>
            <w:r w:rsidRPr="002F201F">
              <w:rPr>
                <w:rStyle w:val="Strong"/>
                <w:sz w:val="12"/>
                <w:szCs w:val="12"/>
              </w:rPr>
              <w:t>Note:</w:t>
            </w:r>
            <w:r w:rsidRPr="002F201F">
              <w:rPr>
                <w:sz w:val="12"/>
                <w:szCs w:val="12"/>
              </w:rPr>
              <w:t xml:space="preserve"> Give PZA 150 mg or 500 mg, and not both.</w:t>
            </w:r>
          </w:p>
          <w:p w14:paraId="17C9E198" w14:textId="4E12695E" w:rsidR="002F201F" w:rsidRPr="001F4BAA" w:rsidRDefault="002F201F" w:rsidP="002F201F">
            <w:pPr>
              <w:pStyle w:val="NoSpacing"/>
            </w:pPr>
            <w:r w:rsidRPr="002F201F">
              <w:rPr>
                <w:sz w:val="12"/>
                <w:szCs w:val="12"/>
              </w:rPr>
              <w:t>*** Continuation phase may be prolonged to 7 months in slow responders and children with HIV.</w:t>
            </w:r>
          </w:p>
        </w:tc>
      </w:tr>
      <w:tr w:rsidR="009C05FA" w:rsidRPr="001F4BAA" w14:paraId="19DCFDD2" w14:textId="77777777" w:rsidTr="009C05FA">
        <w:trPr>
          <w:cnfStyle w:val="010000000000" w:firstRow="0" w:lastRow="1" w:firstColumn="0" w:lastColumn="0" w:oddVBand="0" w:evenVBand="0" w:oddHBand="0" w:evenHBand="0" w:firstRowFirstColumn="0" w:firstRowLastColumn="0" w:lastRowFirstColumn="0" w:lastRowLastColumn="0"/>
          <w:trHeight w:val="36"/>
        </w:trPr>
        <w:tc>
          <w:tcPr>
            <w:tcW w:w="5000" w:type="pct"/>
            <w:gridSpan w:val="6"/>
          </w:tcPr>
          <w:p w14:paraId="7249F230" w14:textId="031DA13D" w:rsidR="009C05FA" w:rsidRPr="001F4BAA" w:rsidRDefault="009C05FA" w:rsidP="009C05FA">
            <w:pPr>
              <w:pStyle w:val="NoSpacing"/>
            </w:pPr>
          </w:p>
        </w:tc>
      </w:tr>
    </w:tbl>
    <w:p w14:paraId="7954D635" w14:textId="77777777" w:rsidR="00FF01A9" w:rsidRPr="0089499E" w:rsidRDefault="00FF01A9" w:rsidP="0089499E">
      <w:pPr>
        <w:pStyle w:val="NoSpacing"/>
        <w:rPr>
          <w:rStyle w:val="Strong"/>
        </w:rPr>
      </w:pPr>
      <w:r w:rsidRPr="0089499E">
        <w:rPr>
          <w:rStyle w:val="Strong"/>
        </w:rPr>
        <w:t>AND</w:t>
      </w:r>
    </w:p>
    <w:p w14:paraId="46AA9CB9" w14:textId="735F7BE0" w:rsidR="00FF01A9" w:rsidRPr="001F4BAA" w:rsidRDefault="00FF01A9" w:rsidP="00FF01A9">
      <w:pPr>
        <w:pStyle w:val="NoSpacing"/>
      </w:pPr>
      <w:r w:rsidRPr="001F4BAA">
        <w:t xml:space="preserve">If </w:t>
      </w:r>
      <w:r w:rsidR="005D0A75">
        <w:t xml:space="preserve">living with </w:t>
      </w:r>
      <w:r w:rsidRPr="001F4BAA">
        <w:t xml:space="preserve">HIV, malnourished or </w:t>
      </w:r>
      <w:r w:rsidR="005D0A75">
        <w:t xml:space="preserve">has </w:t>
      </w:r>
      <w:r w:rsidRPr="001F4BAA">
        <w:t>existing neuropathy:</w:t>
      </w:r>
    </w:p>
    <w:tbl>
      <w:tblPr>
        <w:tblpPr w:leftFromText="180" w:rightFromText="180" w:vertAnchor="text" w:horzAnchor="margin" w:tblpXSpec="right" w:tblpY="62"/>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2F201F" w:rsidRPr="001F4BAA" w14:paraId="31606928" w14:textId="77777777" w:rsidTr="002F201F">
        <w:tc>
          <w:tcPr>
            <w:tcW w:w="907" w:type="dxa"/>
            <w:shd w:val="clear" w:color="auto" w:fill="FFFFFF" w:themeFill="background1"/>
          </w:tcPr>
          <w:p w14:paraId="5EAD1736" w14:textId="77777777" w:rsidR="002F201F" w:rsidRPr="002344FD" w:rsidRDefault="002F201F" w:rsidP="002F201F">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31"/>
            </w:r>
          </w:p>
        </w:tc>
      </w:tr>
    </w:tbl>
    <w:p w14:paraId="1A4B4D96" w14:textId="355463BA" w:rsidR="00FF01A9" w:rsidRPr="001F4BAA" w:rsidRDefault="00FF01A9" w:rsidP="008542CC">
      <w:pPr>
        <w:pStyle w:val="BulletMedicine"/>
        <w:numPr>
          <w:ilvl w:val="0"/>
          <w:numId w:val="43"/>
        </w:numPr>
      </w:pPr>
      <w:r w:rsidRPr="001F4BAA">
        <w:t>Pyridoxine, oral</w:t>
      </w:r>
      <w:r w:rsidR="00DE7455">
        <w:fldChar w:fldCharType="begin"/>
      </w:r>
      <w:r w:rsidR="00DE7455">
        <w:instrText xml:space="preserve"> XE “Pyridoxine, oral” \f “m” </w:instrText>
      </w:r>
      <w:r w:rsidR="00DE7455">
        <w:fldChar w:fldCharType="end"/>
      </w:r>
      <w:r w:rsidRPr="001F4BAA">
        <w:t>, daily for 6–9 months.</w:t>
      </w:r>
    </w:p>
    <w:p w14:paraId="55EC27F1" w14:textId="085A4043" w:rsidR="00FF01A9" w:rsidRPr="001F4BAA" w:rsidRDefault="00FF01A9" w:rsidP="008542CC">
      <w:pPr>
        <w:pStyle w:val="BulletDirectionsInstructions"/>
        <w:numPr>
          <w:ilvl w:val="0"/>
          <w:numId w:val="58"/>
        </w:numPr>
      </w:pPr>
      <w:r w:rsidRPr="001F4BAA">
        <w:t xml:space="preserve">Child </w:t>
      </w:r>
      <w:r w:rsidR="007277E7">
        <w:t>&lt;</w:t>
      </w:r>
      <w:r w:rsidRPr="001F4BAA">
        <w:t>5 years old: 12.5 mg.</w:t>
      </w:r>
    </w:p>
    <w:p w14:paraId="5FC52815" w14:textId="09600F81" w:rsidR="00FF01A9" w:rsidRPr="001F4BAA" w:rsidRDefault="00FF01A9" w:rsidP="008542CC">
      <w:pPr>
        <w:pStyle w:val="BulletDirectionsInstructions"/>
        <w:numPr>
          <w:ilvl w:val="0"/>
          <w:numId w:val="58"/>
        </w:numPr>
      </w:pPr>
      <w:r w:rsidRPr="001F4BAA">
        <w:t>Child ≥5 years old: 25 mg.</w:t>
      </w:r>
    </w:p>
    <w:p w14:paraId="77D5C7EE" w14:textId="41B84F20" w:rsidR="00950108" w:rsidRDefault="00950108" w:rsidP="00950108">
      <w:pPr>
        <w:pStyle w:val="NoSpacing"/>
        <w:rPr>
          <w:u w:val="single"/>
        </w:rPr>
      </w:pPr>
    </w:p>
    <w:p w14:paraId="775B8E61" w14:textId="2D6EC12B" w:rsidR="00FF01A9" w:rsidRPr="001F4BAA" w:rsidRDefault="00FF01A9" w:rsidP="00950108">
      <w:pPr>
        <w:pStyle w:val="Heading7"/>
      </w:pPr>
      <w:r w:rsidRPr="001F4BAA">
        <w:t xml:space="preserve">Children ≥ 8 years </w:t>
      </w:r>
      <w:r w:rsidR="002A232A">
        <w:t xml:space="preserve">and </w:t>
      </w:r>
      <w:r w:rsidR="00A20B08">
        <w:t xml:space="preserve">adolescents (and </w:t>
      </w:r>
      <w:r w:rsidR="007277E7">
        <w:t>&gt;</w:t>
      </w:r>
      <w:r w:rsidR="002A232A">
        <w:t>25</w:t>
      </w:r>
      <w:r w:rsidR="005D0A75">
        <w:t xml:space="preserve"> </w:t>
      </w:r>
      <w:r w:rsidR="002A232A">
        <w:t>kg</w:t>
      </w:r>
      <w:r w:rsidR="00A20B08">
        <w:t>)</w:t>
      </w:r>
    </w:p>
    <w:tbl>
      <w:tblPr>
        <w:tblStyle w:val="SamplePHCTable"/>
        <w:tblW w:w="5000" w:type="pct"/>
        <w:tblLook w:val="0020" w:firstRow="1" w:lastRow="0" w:firstColumn="0" w:lastColumn="0" w:noHBand="0" w:noVBand="0"/>
      </w:tblPr>
      <w:tblGrid>
        <w:gridCol w:w="1241"/>
        <w:gridCol w:w="2485"/>
        <w:gridCol w:w="1399"/>
        <w:gridCol w:w="1554"/>
      </w:tblGrid>
      <w:tr w:rsidR="00FF01A9" w:rsidRPr="001F4BAA" w14:paraId="5C036D0E" w14:textId="77777777" w:rsidTr="00E14763">
        <w:trPr>
          <w:cnfStyle w:val="100000000000" w:firstRow="1" w:lastRow="0" w:firstColumn="0" w:lastColumn="0" w:oddVBand="0" w:evenVBand="0" w:oddHBand="0" w:evenHBand="0" w:firstRowFirstColumn="0" w:firstRowLastColumn="0" w:lastRowFirstColumn="0" w:lastRowLastColumn="0"/>
          <w:trHeight w:val="20"/>
        </w:trPr>
        <w:tc>
          <w:tcPr>
            <w:tcW w:w="930" w:type="pct"/>
            <w:tcBorders>
              <w:top w:val="nil"/>
              <w:left w:val="nil"/>
            </w:tcBorders>
          </w:tcPr>
          <w:p w14:paraId="4A21AFE6" w14:textId="77777777" w:rsidR="00FF01A9" w:rsidRPr="001F4BAA" w:rsidRDefault="00FF01A9" w:rsidP="00A63643">
            <w:pPr>
              <w:pStyle w:val="NoSpacing"/>
              <w:jc w:val="center"/>
            </w:pPr>
          </w:p>
        </w:tc>
        <w:tc>
          <w:tcPr>
            <w:tcW w:w="1860" w:type="pct"/>
          </w:tcPr>
          <w:p w14:paraId="0965F183" w14:textId="77777777" w:rsidR="00FF01A9" w:rsidRPr="001F4BAA" w:rsidRDefault="00FF01A9" w:rsidP="00A63643">
            <w:pPr>
              <w:pStyle w:val="NoSpacing"/>
              <w:jc w:val="center"/>
            </w:pPr>
            <w:r w:rsidRPr="001F4BAA">
              <w:t>2 months intensive phase given daily</w:t>
            </w:r>
          </w:p>
        </w:tc>
        <w:tc>
          <w:tcPr>
            <w:tcW w:w="2211" w:type="pct"/>
            <w:gridSpan w:val="2"/>
          </w:tcPr>
          <w:p w14:paraId="32F0D40B" w14:textId="4DB26AE9" w:rsidR="00FF01A9" w:rsidRPr="001F4BAA" w:rsidRDefault="00FF01A9" w:rsidP="00A63643">
            <w:pPr>
              <w:pStyle w:val="NoSpacing"/>
              <w:jc w:val="center"/>
            </w:pPr>
            <w:r w:rsidRPr="001F4BAA">
              <w:t>4 months continuation phase given daily</w:t>
            </w:r>
          </w:p>
        </w:tc>
      </w:tr>
      <w:tr w:rsidR="00FF01A9" w:rsidRPr="001F4BAA" w14:paraId="4DCBF3A5" w14:textId="77777777" w:rsidTr="00950108">
        <w:trPr>
          <w:trHeight w:val="20"/>
        </w:trPr>
        <w:tc>
          <w:tcPr>
            <w:tcW w:w="930" w:type="pct"/>
          </w:tcPr>
          <w:p w14:paraId="0A7BA1BC" w14:textId="77777777" w:rsidR="00FF01A9" w:rsidRPr="00E14763" w:rsidRDefault="00FF01A9" w:rsidP="00A63643">
            <w:pPr>
              <w:pStyle w:val="NoSpacing"/>
              <w:jc w:val="center"/>
              <w:rPr>
                <w:rStyle w:val="Strong"/>
              </w:rPr>
            </w:pPr>
            <w:r w:rsidRPr="00E14763">
              <w:rPr>
                <w:rStyle w:val="Strong"/>
              </w:rPr>
              <w:t>Weight</w:t>
            </w:r>
          </w:p>
          <w:p w14:paraId="43F84F23" w14:textId="77777777" w:rsidR="00FF01A9" w:rsidRPr="001F4BAA" w:rsidRDefault="00FF01A9" w:rsidP="00A63643">
            <w:pPr>
              <w:pStyle w:val="NoSpacing"/>
              <w:jc w:val="center"/>
            </w:pPr>
            <w:r w:rsidRPr="001F4BAA">
              <w:t>kg</w:t>
            </w:r>
          </w:p>
        </w:tc>
        <w:tc>
          <w:tcPr>
            <w:tcW w:w="1860" w:type="pct"/>
          </w:tcPr>
          <w:p w14:paraId="2800C124" w14:textId="7841FDD0" w:rsidR="00FF01A9" w:rsidRPr="00E14763" w:rsidRDefault="00FF01A9" w:rsidP="00A63643">
            <w:pPr>
              <w:pStyle w:val="NoSpacing"/>
              <w:jc w:val="center"/>
              <w:rPr>
                <w:rStyle w:val="Strong"/>
              </w:rPr>
            </w:pPr>
            <w:r w:rsidRPr="00E14763">
              <w:rPr>
                <w:rStyle w:val="Strong"/>
              </w:rPr>
              <w:t>RHZE</w:t>
            </w:r>
            <w:r w:rsidR="00DE7455">
              <w:rPr>
                <w:rStyle w:val="Strong"/>
              </w:rPr>
              <w:fldChar w:fldCharType="begin"/>
            </w:r>
            <w:r w:rsidR="00DE7455">
              <w:instrText xml:space="preserve"> XE “Rifampicin/isoniazid/pyrazinamide/ethambutol” \F “M” </w:instrText>
            </w:r>
            <w:r w:rsidR="00DE7455">
              <w:rPr>
                <w:rStyle w:val="Strong"/>
              </w:rPr>
              <w:fldChar w:fldCharType="end"/>
            </w:r>
            <w:r w:rsidRPr="00E14763">
              <w:rPr>
                <w:rStyle w:val="Strong"/>
              </w:rPr>
              <w:t xml:space="preserve"> (150/75/400/275)</w:t>
            </w:r>
          </w:p>
          <w:p w14:paraId="3FFE4A3C" w14:textId="77777777" w:rsidR="00FF01A9" w:rsidRPr="001F4BAA" w:rsidRDefault="00FF01A9" w:rsidP="00A63643">
            <w:pPr>
              <w:pStyle w:val="NoSpacing"/>
              <w:jc w:val="center"/>
            </w:pPr>
            <w:r w:rsidRPr="001F4BAA">
              <w:t>mg</w:t>
            </w:r>
          </w:p>
        </w:tc>
        <w:tc>
          <w:tcPr>
            <w:tcW w:w="1047" w:type="pct"/>
          </w:tcPr>
          <w:p w14:paraId="1972B691" w14:textId="1F6C6448" w:rsidR="00FF01A9" w:rsidRPr="00E14763" w:rsidRDefault="00FF01A9" w:rsidP="00A63643">
            <w:pPr>
              <w:pStyle w:val="NoSpacing"/>
              <w:jc w:val="center"/>
              <w:rPr>
                <w:rStyle w:val="Strong"/>
              </w:rPr>
            </w:pPr>
            <w:r w:rsidRPr="00E14763">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r w:rsidRPr="00E14763">
              <w:rPr>
                <w:rStyle w:val="Strong"/>
              </w:rPr>
              <w:t xml:space="preserve"> (150/75)</w:t>
            </w:r>
          </w:p>
          <w:p w14:paraId="60D29930" w14:textId="77777777" w:rsidR="00FF01A9" w:rsidRPr="001F4BAA" w:rsidRDefault="00FF01A9" w:rsidP="00A63643">
            <w:pPr>
              <w:pStyle w:val="NoSpacing"/>
              <w:jc w:val="center"/>
            </w:pPr>
            <w:r w:rsidRPr="001F4BAA">
              <w:t>mg</w:t>
            </w:r>
          </w:p>
        </w:tc>
        <w:tc>
          <w:tcPr>
            <w:tcW w:w="1163" w:type="pct"/>
          </w:tcPr>
          <w:p w14:paraId="0A4BAF57" w14:textId="09DCB0D6" w:rsidR="00FF01A9" w:rsidRPr="00E14763" w:rsidRDefault="00FF01A9" w:rsidP="00A63643">
            <w:pPr>
              <w:pStyle w:val="NoSpacing"/>
              <w:jc w:val="center"/>
              <w:rPr>
                <w:rStyle w:val="Strong"/>
              </w:rPr>
            </w:pPr>
            <w:r w:rsidRPr="00E14763">
              <w:rPr>
                <w:rStyle w:val="Strong"/>
              </w:rPr>
              <w:t>RH</w:t>
            </w:r>
            <w:r w:rsidR="00DE7455">
              <w:rPr>
                <w:rStyle w:val="Strong"/>
              </w:rPr>
              <w:fldChar w:fldCharType="begin"/>
            </w:r>
            <w:r w:rsidR="00DE7455">
              <w:instrText xml:space="preserve"> XE “Rifampicin/isoniazid” \F “M” </w:instrText>
            </w:r>
            <w:r w:rsidR="00DE7455">
              <w:rPr>
                <w:rStyle w:val="Strong"/>
              </w:rPr>
              <w:fldChar w:fldCharType="end"/>
            </w:r>
            <w:r w:rsidRPr="00E14763">
              <w:rPr>
                <w:rStyle w:val="Strong"/>
              </w:rPr>
              <w:t xml:space="preserve"> (300/150)</w:t>
            </w:r>
          </w:p>
          <w:p w14:paraId="14925B79" w14:textId="77777777" w:rsidR="00FF01A9" w:rsidRPr="001F4BAA" w:rsidRDefault="00FF01A9" w:rsidP="00A63643">
            <w:pPr>
              <w:pStyle w:val="NoSpacing"/>
              <w:jc w:val="center"/>
            </w:pPr>
            <w:r w:rsidRPr="001F4BAA">
              <w:t>mg</w:t>
            </w:r>
          </w:p>
        </w:tc>
      </w:tr>
      <w:tr w:rsidR="00FF01A9" w:rsidRPr="001F4BAA" w14:paraId="7A6BE1A4" w14:textId="77777777" w:rsidTr="00E14763">
        <w:trPr>
          <w:trHeight w:val="20"/>
        </w:trPr>
        <w:tc>
          <w:tcPr>
            <w:tcW w:w="930" w:type="pct"/>
          </w:tcPr>
          <w:p w14:paraId="244ECDBF" w14:textId="623D9AD1" w:rsidR="00FF01A9" w:rsidRPr="001F4BAA" w:rsidRDefault="002A232A" w:rsidP="00A63643">
            <w:pPr>
              <w:pStyle w:val="NoSpacing"/>
              <w:jc w:val="center"/>
            </w:pPr>
            <w:r>
              <w:t>25</w:t>
            </w:r>
            <w:r w:rsidR="00FF01A9" w:rsidRPr="001F4BAA">
              <w:t>–37</w:t>
            </w:r>
            <w:r>
              <w:t>.9</w:t>
            </w:r>
            <w:r w:rsidR="00FF01A9" w:rsidRPr="001F4BAA">
              <w:t xml:space="preserve"> kg</w:t>
            </w:r>
          </w:p>
        </w:tc>
        <w:tc>
          <w:tcPr>
            <w:tcW w:w="1860" w:type="pct"/>
          </w:tcPr>
          <w:p w14:paraId="7E37D2D4" w14:textId="77777777" w:rsidR="00FF01A9" w:rsidRPr="001F4BAA" w:rsidRDefault="00FF01A9" w:rsidP="00A63643">
            <w:pPr>
              <w:pStyle w:val="NoSpacing"/>
              <w:jc w:val="center"/>
            </w:pPr>
            <w:r w:rsidRPr="001F4BAA">
              <w:t>2 tablets</w:t>
            </w:r>
          </w:p>
        </w:tc>
        <w:tc>
          <w:tcPr>
            <w:tcW w:w="1047" w:type="pct"/>
          </w:tcPr>
          <w:p w14:paraId="3EA002EE" w14:textId="77777777" w:rsidR="00FF01A9" w:rsidRPr="001F4BAA" w:rsidRDefault="00FF01A9" w:rsidP="00A63643">
            <w:pPr>
              <w:pStyle w:val="NoSpacing"/>
              <w:jc w:val="center"/>
            </w:pPr>
            <w:r w:rsidRPr="001F4BAA">
              <w:t>2 tablets</w:t>
            </w:r>
          </w:p>
        </w:tc>
        <w:tc>
          <w:tcPr>
            <w:tcW w:w="1163" w:type="pct"/>
            <w:vMerge w:val="restart"/>
            <w:shd w:val="clear" w:color="auto" w:fill="BFBFBF" w:themeFill="background1" w:themeFillShade="BF"/>
          </w:tcPr>
          <w:p w14:paraId="1B9D3E4D" w14:textId="77777777" w:rsidR="00FF01A9" w:rsidRPr="001F4BAA" w:rsidRDefault="00FF01A9" w:rsidP="00A63643">
            <w:pPr>
              <w:pStyle w:val="NoSpacing"/>
              <w:jc w:val="center"/>
            </w:pPr>
          </w:p>
        </w:tc>
      </w:tr>
      <w:tr w:rsidR="00FF01A9" w:rsidRPr="001F4BAA" w14:paraId="5E19FDF7" w14:textId="77777777" w:rsidTr="00E14763">
        <w:trPr>
          <w:trHeight w:val="20"/>
        </w:trPr>
        <w:tc>
          <w:tcPr>
            <w:tcW w:w="930" w:type="pct"/>
          </w:tcPr>
          <w:p w14:paraId="17BC5055" w14:textId="7CD6F99A" w:rsidR="00FF01A9" w:rsidRPr="001F4BAA" w:rsidRDefault="00FF01A9" w:rsidP="00A63643">
            <w:pPr>
              <w:pStyle w:val="NoSpacing"/>
              <w:jc w:val="center"/>
            </w:pPr>
            <w:r w:rsidRPr="001F4BAA">
              <w:t>38–54</w:t>
            </w:r>
            <w:r w:rsidR="002A232A">
              <w:t>.9</w:t>
            </w:r>
            <w:r w:rsidRPr="001F4BAA">
              <w:t xml:space="preserve"> kg</w:t>
            </w:r>
          </w:p>
        </w:tc>
        <w:tc>
          <w:tcPr>
            <w:tcW w:w="1860" w:type="pct"/>
          </w:tcPr>
          <w:p w14:paraId="2E629B2E" w14:textId="77777777" w:rsidR="00FF01A9" w:rsidRPr="001F4BAA" w:rsidRDefault="00FF01A9" w:rsidP="00A63643">
            <w:pPr>
              <w:pStyle w:val="NoSpacing"/>
              <w:jc w:val="center"/>
            </w:pPr>
            <w:r w:rsidRPr="001F4BAA">
              <w:t>3 tablets</w:t>
            </w:r>
          </w:p>
        </w:tc>
        <w:tc>
          <w:tcPr>
            <w:tcW w:w="1047" w:type="pct"/>
          </w:tcPr>
          <w:p w14:paraId="17E8066F" w14:textId="77777777" w:rsidR="00FF01A9" w:rsidRPr="001F4BAA" w:rsidRDefault="00FF01A9" w:rsidP="00A63643">
            <w:pPr>
              <w:pStyle w:val="NoSpacing"/>
              <w:jc w:val="center"/>
            </w:pPr>
            <w:r w:rsidRPr="001F4BAA">
              <w:t>3 tablets</w:t>
            </w:r>
          </w:p>
        </w:tc>
        <w:tc>
          <w:tcPr>
            <w:tcW w:w="1163" w:type="pct"/>
            <w:vMerge/>
            <w:shd w:val="clear" w:color="auto" w:fill="BFBFBF" w:themeFill="background1" w:themeFillShade="BF"/>
          </w:tcPr>
          <w:p w14:paraId="3B4B982E" w14:textId="77777777" w:rsidR="00FF01A9" w:rsidRPr="001F4BAA" w:rsidRDefault="00FF01A9" w:rsidP="00A63643">
            <w:pPr>
              <w:pStyle w:val="NoSpacing"/>
              <w:jc w:val="center"/>
            </w:pPr>
          </w:p>
        </w:tc>
      </w:tr>
      <w:tr w:rsidR="00FF01A9" w:rsidRPr="001F4BAA" w14:paraId="6CD6A146" w14:textId="77777777" w:rsidTr="00E14763">
        <w:trPr>
          <w:trHeight w:val="20"/>
        </w:trPr>
        <w:tc>
          <w:tcPr>
            <w:tcW w:w="930" w:type="pct"/>
          </w:tcPr>
          <w:p w14:paraId="2630E418" w14:textId="77777777" w:rsidR="00FF01A9" w:rsidRPr="001F4BAA" w:rsidRDefault="00FF01A9" w:rsidP="00A63643">
            <w:pPr>
              <w:pStyle w:val="NoSpacing"/>
              <w:jc w:val="center"/>
            </w:pPr>
            <w:r w:rsidRPr="001F4BAA">
              <w:t>55–70 kg</w:t>
            </w:r>
          </w:p>
        </w:tc>
        <w:tc>
          <w:tcPr>
            <w:tcW w:w="1860" w:type="pct"/>
          </w:tcPr>
          <w:p w14:paraId="3CAB2DC2" w14:textId="77777777" w:rsidR="00FF01A9" w:rsidRPr="001F4BAA" w:rsidRDefault="00FF01A9" w:rsidP="00A63643">
            <w:pPr>
              <w:pStyle w:val="NoSpacing"/>
              <w:jc w:val="center"/>
            </w:pPr>
            <w:r w:rsidRPr="001F4BAA">
              <w:t>4 tablets</w:t>
            </w:r>
          </w:p>
        </w:tc>
        <w:tc>
          <w:tcPr>
            <w:tcW w:w="1047" w:type="pct"/>
            <w:vMerge w:val="restart"/>
            <w:shd w:val="clear" w:color="auto" w:fill="BFBFBF" w:themeFill="background1" w:themeFillShade="BF"/>
          </w:tcPr>
          <w:p w14:paraId="0E07386E" w14:textId="77777777" w:rsidR="00FF01A9" w:rsidRPr="001F4BAA" w:rsidRDefault="00FF01A9" w:rsidP="00A63643">
            <w:pPr>
              <w:pStyle w:val="NoSpacing"/>
              <w:jc w:val="center"/>
            </w:pPr>
          </w:p>
        </w:tc>
        <w:tc>
          <w:tcPr>
            <w:tcW w:w="1163" w:type="pct"/>
          </w:tcPr>
          <w:p w14:paraId="460C9C57" w14:textId="77777777" w:rsidR="00FF01A9" w:rsidRPr="001F4BAA" w:rsidRDefault="00FF01A9" w:rsidP="00A63643">
            <w:pPr>
              <w:pStyle w:val="NoSpacing"/>
              <w:jc w:val="center"/>
            </w:pPr>
            <w:r w:rsidRPr="001F4BAA">
              <w:t>2 tablets</w:t>
            </w:r>
          </w:p>
        </w:tc>
      </w:tr>
      <w:tr w:rsidR="00FF01A9" w:rsidRPr="001F4BAA" w14:paraId="739F595C" w14:textId="77777777" w:rsidTr="00E14763">
        <w:trPr>
          <w:trHeight w:val="20"/>
        </w:trPr>
        <w:tc>
          <w:tcPr>
            <w:tcW w:w="930" w:type="pct"/>
          </w:tcPr>
          <w:p w14:paraId="00F5FB4F" w14:textId="77777777" w:rsidR="00FF01A9" w:rsidRPr="001F4BAA" w:rsidRDefault="00FF01A9" w:rsidP="00A63643">
            <w:pPr>
              <w:pStyle w:val="NoSpacing"/>
              <w:jc w:val="center"/>
            </w:pPr>
            <w:r w:rsidRPr="001F4BAA">
              <w:t>&gt;71 kg</w:t>
            </w:r>
          </w:p>
        </w:tc>
        <w:tc>
          <w:tcPr>
            <w:tcW w:w="1860" w:type="pct"/>
          </w:tcPr>
          <w:p w14:paraId="77B6C95B" w14:textId="77777777" w:rsidR="00FF01A9" w:rsidRPr="001F4BAA" w:rsidRDefault="00FF01A9" w:rsidP="00A63643">
            <w:pPr>
              <w:pStyle w:val="NoSpacing"/>
              <w:jc w:val="center"/>
            </w:pPr>
            <w:r w:rsidRPr="001F4BAA">
              <w:t>5 tablets</w:t>
            </w:r>
          </w:p>
        </w:tc>
        <w:tc>
          <w:tcPr>
            <w:tcW w:w="1047" w:type="pct"/>
            <w:vMerge/>
            <w:shd w:val="clear" w:color="auto" w:fill="BFBFBF" w:themeFill="background1" w:themeFillShade="BF"/>
          </w:tcPr>
          <w:p w14:paraId="3A57A916" w14:textId="77777777" w:rsidR="00FF01A9" w:rsidRPr="001F4BAA" w:rsidRDefault="00FF01A9" w:rsidP="00A63643">
            <w:pPr>
              <w:pStyle w:val="NoSpacing"/>
              <w:jc w:val="center"/>
            </w:pPr>
          </w:p>
        </w:tc>
        <w:tc>
          <w:tcPr>
            <w:tcW w:w="1163" w:type="pct"/>
          </w:tcPr>
          <w:p w14:paraId="4FFE8E21" w14:textId="77777777" w:rsidR="00FF01A9" w:rsidRPr="001F4BAA" w:rsidRDefault="00FF01A9" w:rsidP="00A63643">
            <w:pPr>
              <w:pStyle w:val="NoSpacing"/>
              <w:jc w:val="center"/>
            </w:pPr>
            <w:r w:rsidRPr="001F4BAA">
              <w:t>2 tablets</w:t>
            </w:r>
          </w:p>
        </w:tc>
      </w:tr>
    </w:tbl>
    <w:p w14:paraId="4334024D" w14:textId="77777777" w:rsidR="00FF01A9" w:rsidRPr="00A63643" w:rsidRDefault="00FF01A9" w:rsidP="00FF01A9">
      <w:pPr>
        <w:pStyle w:val="NoSpacing"/>
        <w:rPr>
          <w:rStyle w:val="Strong"/>
        </w:rPr>
      </w:pPr>
      <w:r w:rsidRPr="00A63643">
        <w:rPr>
          <w:rStyle w:val="Strong"/>
        </w:rPr>
        <w:t>AND</w:t>
      </w:r>
    </w:p>
    <w:p w14:paraId="3D4922C2" w14:textId="5404137B" w:rsidR="00FF01A9" w:rsidRPr="001F4BAA" w:rsidRDefault="00FF01A9" w:rsidP="00FF01A9">
      <w:pPr>
        <w:pStyle w:val="NoSpacing"/>
      </w:pPr>
      <w:r w:rsidRPr="001F4BAA">
        <w:t xml:space="preserve">If </w:t>
      </w:r>
      <w:r w:rsidR="005D0A75">
        <w:t xml:space="preserve">living with </w:t>
      </w:r>
      <w:r w:rsidRPr="001F4BAA">
        <w:t xml:space="preserve">HIV, malnourished, or </w:t>
      </w:r>
      <w:r w:rsidR="005D0A75">
        <w:t xml:space="preserve">has </w:t>
      </w:r>
      <w:r w:rsidRPr="001F4BAA">
        <w:t>existing neuropathy:</w:t>
      </w:r>
    </w:p>
    <w:tbl>
      <w:tblPr>
        <w:tblpPr w:leftFromText="180" w:rightFromText="180" w:vertAnchor="text" w:tblpXSpec="right"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FF01A9" w:rsidRPr="001F4BAA" w14:paraId="2B96D1F9" w14:textId="77777777" w:rsidTr="00A63643">
        <w:tc>
          <w:tcPr>
            <w:tcW w:w="907" w:type="dxa"/>
            <w:shd w:val="clear" w:color="auto" w:fill="FFFFFF" w:themeFill="background1"/>
          </w:tcPr>
          <w:p w14:paraId="39C73DB3" w14:textId="2C958161" w:rsidR="00FF01A9" w:rsidRPr="002344FD" w:rsidRDefault="00B5324C" w:rsidP="00A63643">
            <w:pPr>
              <w:pStyle w:val="LoEText"/>
              <w:framePr w:hSpace="0" w:wrap="auto" w:vAnchor="margin" w:hAnchor="text" w:xAlign="left" w:yAlign="inline"/>
              <w:suppressOverlap w:val="0"/>
              <w:rPr>
                <w:sz w:val="14"/>
                <w:szCs w:val="14"/>
              </w:rPr>
            </w:pPr>
            <w:r w:rsidRPr="002344FD">
              <w:rPr>
                <w:sz w:val="14"/>
                <w:szCs w:val="14"/>
              </w:rPr>
              <w:t>LoE:IVb</w:t>
            </w:r>
            <w:r w:rsidR="00FF01A9" w:rsidRPr="002344FD">
              <w:rPr>
                <w:rStyle w:val="EndnoteReference8"/>
                <w:sz w:val="14"/>
                <w:szCs w:val="14"/>
              </w:rPr>
              <w:endnoteReference w:id="32"/>
            </w:r>
          </w:p>
        </w:tc>
      </w:tr>
    </w:tbl>
    <w:p w14:paraId="5401FE0B" w14:textId="0CF5688A" w:rsidR="00FF01A9" w:rsidRPr="001F4BAA" w:rsidRDefault="00FF01A9" w:rsidP="008542CC">
      <w:pPr>
        <w:pStyle w:val="BulletMedicine"/>
        <w:numPr>
          <w:ilvl w:val="0"/>
          <w:numId w:val="44"/>
        </w:numPr>
      </w:pPr>
      <w:r w:rsidRPr="001F4BAA">
        <w:t>Pyridoxine, oral</w:t>
      </w:r>
      <w:r w:rsidR="00DE7455">
        <w:fldChar w:fldCharType="begin"/>
      </w:r>
      <w:r w:rsidR="00DE7455">
        <w:instrText xml:space="preserve"> XE “Pyridoxine, oral” \f “m” </w:instrText>
      </w:r>
      <w:r w:rsidR="00DE7455">
        <w:fldChar w:fldCharType="end"/>
      </w:r>
      <w:r w:rsidRPr="001F4BAA">
        <w:t>, daily for 6</w:t>
      </w:r>
      <w:r w:rsidR="00801F2D">
        <w:t xml:space="preserve"> to </w:t>
      </w:r>
      <w:r w:rsidRPr="001F4BAA">
        <w:t>9 months.</w:t>
      </w:r>
    </w:p>
    <w:p w14:paraId="09AE8E65" w14:textId="3DB82869" w:rsidR="00FF01A9" w:rsidRPr="001F4BAA" w:rsidRDefault="00FF01A9" w:rsidP="008542CC">
      <w:pPr>
        <w:pStyle w:val="BulletDirectionsInstructions"/>
        <w:numPr>
          <w:ilvl w:val="0"/>
          <w:numId w:val="58"/>
        </w:numPr>
      </w:pPr>
      <w:r w:rsidRPr="001F4BAA">
        <w:t>Child ≥5 years old: 25 mg.</w:t>
      </w:r>
    </w:p>
    <w:p w14:paraId="032D6466" w14:textId="77777777" w:rsidR="00FF01A9" w:rsidRPr="001F4BAA" w:rsidRDefault="00FF01A9" w:rsidP="00A63643">
      <w:pPr>
        <w:pStyle w:val="ListParagraph"/>
      </w:pPr>
      <w:r w:rsidRPr="001F4BAA">
        <w:t>Weigh at each visit and adjust treatment dosages to body weight. If calculating dosages, rather give ½ tablet more than ½ tablet less.</w:t>
      </w:r>
    </w:p>
    <w:p w14:paraId="7F7142E4" w14:textId="6D77F00D" w:rsidR="00FF01A9" w:rsidRPr="001F4BAA" w:rsidRDefault="00F343C5" w:rsidP="00A63643">
      <w:pPr>
        <w:pStyle w:val="ListParagraph"/>
      </w:pPr>
      <w:r>
        <w:t xml:space="preserve">Ensure that </w:t>
      </w:r>
      <w:r w:rsidR="00FF01A9" w:rsidRPr="001F4BAA">
        <w:t>the correct dose and duration of treatment</w:t>
      </w:r>
      <w:r>
        <w:t xml:space="preserve"> are adhered to</w:t>
      </w:r>
      <w:r w:rsidR="00FF01A9" w:rsidRPr="001F4BAA">
        <w:t>.</w:t>
      </w:r>
    </w:p>
    <w:p w14:paraId="459A6185" w14:textId="55A42244" w:rsidR="00FF01A9" w:rsidRPr="001F4BAA" w:rsidRDefault="00FF01A9" w:rsidP="002F201F">
      <w:pPr>
        <w:pStyle w:val="Heading5"/>
        <w:spacing w:before="240"/>
      </w:pPr>
      <w:r w:rsidRPr="001F4BAA">
        <w:t>REFERRAL</w:t>
      </w:r>
    </w:p>
    <w:p w14:paraId="4E9C0EE5" w14:textId="77777777" w:rsidR="00FF01A9" w:rsidRPr="001F4BAA" w:rsidRDefault="00FF01A9" w:rsidP="00FF01A9">
      <w:pPr>
        <w:pStyle w:val="NoSpacing"/>
      </w:pPr>
      <w:r w:rsidRPr="001F4BAA">
        <w:t>Disseminated forms of TB.</w:t>
      </w:r>
    </w:p>
    <w:p w14:paraId="53F45064" w14:textId="77777777" w:rsidR="00FF01A9" w:rsidRPr="001F4BAA" w:rsidRDefault="00FF01A9" w:rsidP="00FF01A9">
      <w:pPr>
        <w:pStyle w:val="NoSpacing"/>
      </w:pPr>
      <w:r w:rsidRPr="001F4BAA">
        <w:t>All patients who cannot be managed on an ambulatory basis.</w:t>
      </w:r>
    </w:p>
    <w:p w14:paraId="5EBCE711" w14:textId="5CF31969" w:rsidR="00FF01A9" w:rsidRPr="001F4BAA" w:rsidRDefault="00FF01A9" w:rsidP="00FF01A9">
      <w:pPr>
        <w:pStyle w:val="NoSpacing"/>
      </w:pPr>
      <w:r w:rsidRPr="001F4BAA">
        <w:t xml:space="preserve">Children </w:t>
      </w:r>
      <w:r w:rsidR="007277E7">
        <w:t>&lt;</w:t>
      </w:r>
      <w:r w:rsidRPr="001F4BAA">
        <w:t>12 years of age for a chest X-ray for diagnostic purposes.</w:t>
      </w:r>
    </w:p>
    <w:p w14:paraId="0FF94FBF" w14:textId="32AFC045" w:rsidR="00FF01A9" w:rsidRPr="001F4BAA" w:rsidRDefault="004D7D0D" w:rsidP="00FF01A9">
      <w:pPr>
        <w:pStyle w:val="NoSpacing"/>
      </w:pPr>
      <w:r>
        <w:t>Children with previously treated TB requiring r</w:t>
      </w:r>
      <w:r w:rsidR="00FF01A9" w:rsidRPr="001F4BAA">
        <w:t>e</w:t>
      </w:r>
      <w:r>
        <w:t>-</w:t>
      </w:r>
      <w:r w:rsidR="00FF01A9" w:rsidRPr="001F4BAA">
        <w:t>treatment.</w:t>
      </w:r>
    </w:p>
    <w:p w14:paraId="6A74FA52" w14:textId="556B51C7" w:rsidR="00FF01A9" w:rsidRPr="001F4BAA" w:rsidRDefault="00FF01A9" w:rsidP="00FF01A9">
      <w:pPr>
        <w:pStyle w:val="NoSpacing"/>
      </w:pPr>
      <w:r w:rsidRPr="001F4BAA">
        <w:t xml:space="preserve">Children who are contacts of patients with </w:t>
      </w:r>
      <w:r w:rsidR="002A232A">
        <w:t xml:space="preserve">drug resistant </w:t>
      </w:r>
      <w:r w:rsidRPr="001F4BAA">
        <w:t>TB.</w:t>
      </w:r>
    </w:p>
    <w:p w14:paraId="24B414E0" w14:textId="77777777" w:rsidR="00FF01A9" w:rsidRDefault="00FF01A9" w:rsidP="00FF01A9">
      <w:pPr>
        <w:pStyle w:val="NoSpacing"/>
      </w:pPr>
    </w:p>
    <w:p w14:paraId="719C0EE7" w14:textId="77777777" w:rsidR="00D067D0" w:rsidRDefault="00D067D0" w:rsidP="00FF01A9">
      <w:pPr>
        <w:pStyle w:val="NoSpacing"/>
      </w:pPr>
    </w:p>
    <w:p w14:paraId="671C6D1D" w14:textId="77777777" w:rsidR="00D067D0" w:rsidRPr="001F4BAA" w:rsidRDefault="00D067D0" w:rsidP="00FF01A9">
      <w:pPr>
        <w:pStyle w:val="NoSpacing"/>
      </w:pPr>
    </w:p>
    <w:p w14:paraId="2B919D3C" w14:textId="254603C3" w:rsidR="00FF01A9" w:rsidRPr="00DF6523" w:rsidRDefault="00AB6E48" w:rsidP="00DF6523">
      <w:pPr>
        <w:pStyle w:val="Heading3"/>
      </w:pPr>
      <w:bookmarkStart w:id="99" w:name="_Toc177054046"/>
      <w:r w:rsidRPr="00DF6523">
        <w:lastRenderedPageBreak/>
        <w:t xml:space="preserve">TB, </w:t>
      </w:r>
      <w:r w:rsidR="00DF6523" w:rsidRPr="00DF6523">
        <w:t>HIV</w:t>
      </w:r>
      <w:r w:rsidRPr="00DF6523">
        <w:t xml:space="preserve"> and </w:t>
      </w:r>
      <w:r w:rsidR="00DF6523" w:rsidRPr="00DF6523">
        <w:t>AIDS</w:t>
      </w:r>
      <w:bookmarkEnd w:id="99"/>
      <w:r w:rsidR="00F14C7D">
        <w:fldChar w:fldCharType="begin"/>
      </w:r>
      <w:r w:rsidR="00F14C7D">
        <w:instrText xml:space="preserve"> XE "</w:instrText>
      </w:r>
      <w:r w:rsidR="00F14C7D" w:rsidRPr="004A0AEB">
        <w:instrText>TB, HIV and AIDS</w:instrText>
      </w:r>
      <w:r w:rsidR="00F14C7D">
        <w:instrText xml:space="preserve">" </w:instrText>
      </w:r>
      <w:r w:rsidR="00F14C7D" w:rsidRPr="00F14C7D">
        <w:instrText xml:space="preserve">\f “c” </w:instrText>
      </w:r>
      <w:r w:rsidR="00F14C7D">
        <w:fldChar w:fldCharType="end"/>
      </w:r>
    </w:p>
    <w:p w14:paraId="0C49C1B2" w14:textId="77777777" w:rsidR="00FF01A9" w:rsidRPr="001F4BAA" w:rsidRDefault="00FF01A9" w:rsidP="002344FD">
      <w:pPr>
        <w:pStyle w:val="ICD10"/>
        <w:shd w:val="clear" w:color="auto" w:fill="F2F2F2" w:themeFill="background1" w:themeFillShade="F2"/>
        <w:tabs>
          <w:tab w:val="left" w:pos="2753"/>
        </w:tabs>
      </w:pPr>
      <w:r w:rsidRPr="001F4BAA">
        <w:t>B20.0</w:t>
      </w:r>
    </w:p>
    <w:p w14:paraId="67B26F02" w14:textId="13C8CE84" w:rsidR="00FF01A9" w:rsidRPr="001F4BAA" w:rsidRDefault="002A232A" w:rsidP="00184E74">
      <w:r>
        <w:t xml:space="preserve">People living with HIV (PLHIV) </w:t>
      </w:r>
      <w:r w:rsidR="00FF01A9" w:rsidRPr="001F4BAA">
        <w:t>with suspected TB should have one negative sputum TB</w:t>
      </w:r>
      <w:r w:rsidR="00496AA1">
        <w:noBreakHyphen/>
      </w:r>
      <w:r>
        <w:t>NAAT test</w:t>
      </w:r>
      <w:r w:rsidR="00FF01A9" w:rsidRPr="001F4BAA">
        <w:t xml:space="preserve"> or two negative sputum smears, before sputum is sent for culture.</w:t>
      </w:r>
    </w:p>
    <w:p w14:paraId="5E6AD560" w14:textId="1C0816F5" w:rsidR="00FF01A9" w:rsidRPr="001F4BAA" w:rsidRDefault="00FF01A9" w:rsidP="00FF01A9">
      <w:pPr>
        <w:pStyle w:val="NoSpacing"/>
      </w:pPr>
      <w:r w:rsidRPr="001F4BAA">
        <w:t xml:space="preserve">Advise </w:t>
      </w:r>
      <w:r w:rsidR="002A232A">
        <w:t xml:space="preserve">PLHIV </w:t>
      </w:r>
      <w:r w:rsidRPr="001F4BAA">
        <w:t>to present to a clinic if they develop common TB symptoms:</w:t>
      </w:r>
    </w:p>
    <w:tbl>
      <w:tblPr>
        <w:tblW w:w="0" w:type="auto"/>
        <w:tblInd w:w="-113" w:type="dxa"/>
        <w:tblLook w:val="04A0" w:firstRow="1" w:lastRow="0" w:firstColumn="1" w:lastColumn="0" w:noHBand="0" w:noVBand="1"/>
      </w:tblPr>
      <w:tblGrid>
        <w:gridCol w:w="3340"/>
        <w:gridCol w:w="3340"/>
      </w:tblGrid>
      <w:tr w:rsidR="00FF01A9" w:rsidRPr="001F4BAA" w14:paraId="7C87EE88" w14:textId="77777777" w:rsidTr="00184E74">
        <w:tc>
          <w:tcPr>
            <w:tcW w:w="3340" w:type="dxa"/>
          </w:tcPr>
          <w:p w14:paraId="4388AF8C" w14:textId="77777777" w:rsidR="00FF01A9" w:rsidRPr="001F4BAA" w:rsidRDefault="00FF01A9" w:rsidP="00184E74">
            <w:pPr>
              <w:pStyle w:val="ListParagraph"/>
            </w:pPr>
            <w:r w:rsidRPr="001F4BAA">
              <w:t>active cough (any duration)</w:t>
            </w:r>
          </w:p>
        </w:tc>
        <w:tc>
          <w:tcPr>
            <w:tcW w:w="3340" w:type="dxa"/>
          </w:tcPr>
          <w:p w14:paraId="6DC3685F" w14:textId="77777777" w:rsidR="00FF01A9" w:rsidRPr="001F4BAA" w:rsidRDefault="00FF01A9" w:rsidP="00184E74">
            <w:pPr>
              <w:pStyle w:val="ListParagraph"/>
            </w:pPr>
            <w:r w:rsidRPr="001F4BAA">
              <w:t>night sweats</w:t>
            </w:r>
          </w:p>
        </w:tc>
      </w:tr>
      <w:tr w:rsidR="00FF01A9" w:rsidRPr="001F4BAA" w14:paraId="1D65D8EB" w14:textId="77777777" w:rsidTr="00184E74">
        <w:tc>
          <w:tcPr>
            <w:tcW w:w="3340" w:type="dxa"/>
          </w:tcPr>
          <w:p w14:paraId="05D6D883" w14:textId="77777777" w:rsidR="00FF01A9" w:rsidRPr="001F4BAA" w:rsidRDefault="00FF01A9" w:rsidP="00184E74">
            <w:pPr>
              <w:pStyle w:val="ListParagraph"/>
            </w:pPr>
            <w:r w:rsidRPr="001F4BAA">
              <w:t>fever</w:t>
            </w:r>
          </w:p>
        </w:tc>
        <w:tc>
          <w:tcPr>
            <w:tcW w:w="3340" w:type="dxa"/>
          </w:tcPr>
          <w:p w14:paraId="1E3CCBDE" w14:textId="77777777" w:rsidR="00FF01A9" w:rsidRPr="001F4BAA" w:rsidRDefault="00FF01A9" w:rsidP="00184E74">
            <w:pPr>
              <w:pStyle w:val="ListParagraph"/>
            </w:pPr>
            <w:r w:rsidRPr="001F4BAA">
              <w:t>loss of weight</w:t>
            </w:r>
          </w:p>
        </w:tc>
      </w:tr>
    </w:tbl>
    <w:p w14:paraId="09D081B1" w14:textId="62AFA84C" w:rsidR="00FF01A9" w:rsidRPr="001F4BAA" w:rsidRDefault="002A232A" w:rsidP="001D5444">
      <w:r>
        <w:t xml:space="preserve">PLHIV </w:t>
      </w:r>
      <w:r w:rsidR="00FF01A9" w:rsidRPr="001F4BAA">
        <w:t xml:space="preserve">with </w:t>
      </w:r>
      <w:r w:rsidR="00B16F07">
        <w:t xml:space="preserve">concomitant </w:t>
      </w:r>
      <w:r w:rsidR="00FF01A9" w:rsidRPr="001F4BAA">
        <w:t xml:space="preserve">TB should be treated according to the standard TB treatment protocol. </w:t>
      </w:r>
    </w:p>
    <w:p w14:paraId="2E681B3E" w14:textId="6A638D1B" w:rsidR="00FF01A9" w:rsidRDefault="00FF01A9" w:rsidP="00FF01A9">
      <w:pPr>
        <w:pStyle w:val="NoSpacing"/>
      </w:pPr>
      <w:r w:rsidRPr="001F4BAA">
        <w:t>Medicine interactions may occur with ART</w:t>
      </w:r>
      <w:r w:rsidR="00801F2D">
        <w:t>.</w:t>
      </w:r>
      <w:r w:rsidRPr="001F4BAA">
        <w:t xml:space="preserve"> (See Sections 11.1: Antiretroviral therapy, adults</w:t>
      </w:r>
      <w:r w:rsidR="00B16F07">
        <w:t xml:space="preserve"> and adolescents</w:t>
      </w:r>
      <w:r w:rsidRPr="001F4BAA">
        <w:t>; 11.</w:t>
      </w:r>
      <w:r w:rsidR="00CA310F">
        <w:t>8</w:t>
      </w:r>
      <w:r w:rsidRPr="001F4BAA">
        <w:t>: Opportunistic infections, treatment in children</w:t>
      </w:r>
      <w:r w:rsidR="00CA310F">
        <w:t>.</w:t>
      </w:r>
      <w:r w:rsidR="00801F2D">
        <w:t>)</w:t>
      </w:r>
    </w:p>
    <w:p w14:paraId="6AE9DC6F" w14:textId="7366481D" w:rsidR="00FF01A9" w:rsidRPr="00B93A10" w:rsidRDefault="00A72467" w:rsidP="00B93A10">
      <w:pPr>
        <w:pStyle w:val="Heading3"/>
      </w:pPr>
      <w:bookmarkStart w:id="100" w:name="_Toc177054047"/>
      <w:r w:rsidRPr="00B93A10">
        <w:t>Drug-resistant tuberculosis (</w:t>
      </w:r>
      <w:r w:rsidR="00B93A10" w:rsidRPr="00B93A10">
        <w:t>M</w:t>
      </w:r>
      <w:r w:rsidRPr="00B93A10">
        <w:t>DR TB</w:t>
      </w:r>
      <w:r w:rsidR="00FF01A9" w:rsidRPr="00B93A10">
        <w:t>)</w:t>
      </w:r>
      <w:bookmarkEnd w:id="100"/>
      <w:r w:rsidR="00F14C7D">
        <w:fldChar w:fldCharType="begin"/>
      </w:r>
      <w:r w:rsidR="00F14C7D">
        <w:instrText xml:space="preserve"> XE "</w:instrText>
      </w:r>
      <w:r w:rsidR="00F14C7D" w:rsidRPr="004A0AEB">
        <w:instrText>Drug-resistant tuberculosis (MDR TB)</w:instrText>
      </w:r>
      <w:r w:rsidR="00F14C7D">
        <w:instrText xml:space="preserve">" </w:instrText>
      </w:r>
      <w:r w:rsidR="00F14C7D" w:rsidRPr="00F14C7D">
        <w:instrText xml:space="preserve">\f “c” </w:instrText>
      </w:r>
      <w:r w:rsidR="00F14C7D">
        <w:fldChar w:fldCharType="end"/>
      </w:r>
    </w:p>
    <w:p w14:paraId="1EB280C1" w14:textId="19A7606B" w:rsidR="00B67182" w:rsidRDefault="002A232A" w:rsidP="00B67182">
      <w:pPr>
        <w:pStyle w:val="Centeredbox"/>
      </w:pPr>
      <w:r>
        <w:t xml:space="preserve">Drug-resistant </w:t>
      </w:r>
      <w:r w:rsidR="00B67182">
        <w:t xml:space="preserve">TB </w:t>
      </w:r>
      <w:r>
        <w:t xml:space="preserve">(DR-TB) </w:t>
      </w:r>
      <w:r w:rsidR="00B67182">
        <w:t xml:space="preserve">guidelines are updated regularly. </w:t>
      </w:r>
      <w:r w:rsidR="00B67182">
        <w:br/>
        <w:t>Consult the most recent National DR</w:t>
      </w:r>
      <w:r w:rsidR="007C7353">
        <w:t>-</w:t>
      </w:r>
      <w:r w:rsidR="00B67182">
        <w:t>TB Programme Guidelines.</w:t>
      </w:r>
    </w:p>
    <w:p w14:paraId="4FCD9BC7" w14:textId="77777777" w:rsidR="00FF01A9" w:rsidRPr="001F4BAA" w:rsidRDefault="00FF01A9" w:rsidP="00DF6523">
      <w:pPr>
        <w:pStyle w:val="Heading5"/>
      </w:pPr>
      <w:r w:rsidRPr="001F4BAA">
        <w:t>DESCRIPTION</w:t>
      </w:r>
    </w:p>
    <w:p w14:paraId="0530BD9B" w14:textId="50516F74" w:rsidR="002A232A" w:rsidRPr="002A232A" w:rsidRDefault="002A232A" w:rsidP="002A232A">
      <w:pPr>
        <w:spacing w:before="0" w:after="0"/>
        <w:rPr>
          <w:rFonts w:eastAsia="Times New Roman" w:cs="Arial"/>
          <w:bCs/>
          <w:color w:val="000000"/>
          <w:spacing w:val="0"/>
        </w:rPr>
      </w:pPr>
      <w:r w:rsidRPr="002A232A">
        <w:rPr>
          <w:rFonts w:eastAsia="Times New Roman" w:cs="Arial"/>
          <w:bCs/>
          <w:color w:val="000000"/>
          <w:spacing w:val="0"/>
        </w:rPr>
        <w:t xml:space="preserve">Isoniazid monoresistant TB is TB disease caused by </w:t>
      </w:r>
      <w:r w:rsidRPr="002A232A">
        <w:rPr>
          <w:rFonts w:eastAsia="Times New Roman" w:cs="Arial"/>
          <w:bCs/>
          <w:i/>
          <w:iCs/>
          <w:color w:val="000000"/>
          <w:spacing w:val="0"/>
        </w:rPr>
        <w:t>M.</w:t>
      </w:r>
      <w:r w:rsidR="00801F2D">
        <w:rPr>
          <w:rFonts w:eastAsia="Times New Roman" w:cs="Arial"/>
          <w:bCs/>
          <w:i/>
          <w:iCs/>
          <w:color w:val="000000"/>
          <w:spacing w:val="0"/>
        </w:rPr>
        <w:t xml:space="preserve"> </w:t>
      </w:r>
      <w:r w:rsidRPr="002A232A">
        <w:rPr>
          <w:rFonts w:eastAsia="Times New Roman" w:cs="Arial"/>
          <w:bCs/>
          <w:i/>
          <w:iCs/>
          <w:color w:val="000000"/>
          <w:spacing w:val="0"/>
        </w:rPr>
        <w:t>tuberculosis</w:t>
      </w:r>
      <w:r w:rsidRPr="002A232A">
        <w:rPr>
          <w:rFonts w:eastAsia="Times New Roman" w:cs="Arial"/>
          <w:bCs/>
          <w:color w:val="000000"/>
          <w:spacing w:val="0"/>
        </w:rPr>
        <w:t xml:space="preserve"> that is resistant to isoniazid, but susceptible to rifampicin.</w:t>
      </w:r>
    </w:p>
    <w:p w14:paraId="39E68E8B" w14:textId="77777777" w:rsidR="002A232A" w:rsidRPr="002A232A" w:rsidRDefault="002A232A" w:rsidP="002A232A">
      <w:pPr>
        <w:spacing w:before="0" w:after="0"/>
        <w:rPr>
          <w:rFonts w:eastAsia="Times New Roman" w:cs="Arial"/>
          <w:bCs/>
          <w:color w:val="000000"/>
          <w:spacing w:val="0"/>
        </w:rPr>
      </w:pPr>
    </w:p>
    <w:p w14:paraId="5CF73CEA" w14:textId="452AA0C5" w:rsidR="002A232A" w:rsidRPr="002A232A" w:rsidRDefault="002A232A" w:rsidP="002A232A">
      <w:pPr>
        <w:spacing w:before="0" w:after="0"/>
        <w:rPr>
          <w:rFonts w:eastAsia="Times New Roman" w:cs="Arial"/>
          <w:bCs/>
          <w:color w:val="000000"/>
          <w:spacing w:val="0"/>
        </w:rPr>
      </w:pPr>
      <w:r w:rsidRPr="002A232A">
        <w:rPr>
          <w:rFonts w:eastAsia="Times New Roman" w:cs="Arial"/>
          <w:bCs/>
          <w:color w:val="000000"/>
          <w:spacing w:val="0"/>
        </w:rPr>
        <w:t>Rifampicin resistant tuberculosis (RR</w:t>
      </w:r>
      <w:r w:rsidR="007C7353">
        <w:rPr>
          <w:rFonts w:eastAsia="Times New Roman" w:cs="Arial"/>
          <w:bCs/>
          <w:color w:val="000000"/>
          <w:spacing w:val="0"/>
        </w:rPr>
        <w:t>-</w:t>
      </w:r>
      <w:r w:rsidRPr="002A232A">
        <w:rPr>
          <w:rFonts w:eastAsia="Times New Roman" w:cs="Arial"/>
          <w:bCs/>
          <w:color w:val="000000"/>
          <w:spacing w:val="0"/>
        </w:rPr>
        <w:t xml:space="preserve">TB) is TB disease caused by </w:t>
      </w:r>
      <w:r w:rsidRPr="002A232A">
        <w:rPr>
          <w:rFonts w:eastAsia="Times New Roman" w:cs="Arial"/>
          <w:bCs/>
          <w:i/>
          <w:color w:val="000000"/>
          <w:spacing w:val="0"/>
        </w:rPr>
        <w:t xml:space="preserve">M. tuberculosis </w:t>
      </w:r>
      <w:r w:rsidRPr="002A232A">
        <w:rPr>
          <w:rFonts w:eastAsia="Times New Roman" w:cs="Arial"/>
          <w:bCs/>
          <w:iCs/>
          <w:color w:val="000000"/>
          <w:spacing w:val="0"/>
        </w:rPr>
        <w:t>that is resistant</w:t>
      </w:r>
      <w:r w:rsidRPr="002A232A">
        <w:rPr>
          <w:rFonts w:eastAsia="Times New Roman" w:cs="Arial"/>
          <w:bCs/>
          <w:color w:val="000000"/>
          <w:spacing w:val="0"/>
        </w:rPr>
        <w:t xml:space="preserve"> to rifampicin, with or without resistance to other anti-TB drugs.</w:t>
      </w:r>
    </w:p>
    <w:p w14:paraId="13E8D5B8" w14:textId="77777777" w:rsidR="002A232A" w:rsidRPr="002A232A" w:rsidRDefault="002A232A" w:rsidP="002A232A">
      <w:pPr>
        <w:spacing w:before="0" w:after="0"/>
        <w:rPr>
          <w:rFonts w:eastAsia="Times New Roman" w:cs="Arial"/>
          <w:bCs/>
          <w:color w:val="000000"/>
          <w:spacing w:val="0"/>
          <w:lang w:val="en-ZA"/>
        </w:rPr>
      </w:pPr>
    </w:p>
    <w:p w14:paraId="665BBF38" w14:textId="77777777" w:rsidR="002A232A" w:rsidRPr="002A232A" w:rsidRDefault="002A232A" w:rsidP="002A232A">
      <w:pPr>
        <w:spacing w:before="0" w:after="0"/>
        <w:rPr>
          <w:rFonts w:eastAsia="Times New Roman" w:cs="Arial"/>
          <w:bCs/>
          <w:color w:val="000000"/>
          <w:spacing w:val="0"/>
          <w:lang w:val="en-ZA"/>
        </w:rPr>
      </w:pPr>
      <w:r w:rsidRPr="002A232A">
        <w:rPr>
          <w:rFonts w:eastAsia="Times New Roman" w:cs="Arial"/>
          <w:bCs/>
          <w:color w:val="000000"/>
          <w:spacing w:val="0"/>
          <w:lang w:val="en-ZA"/>
        </w:rPr>
        <w:t xml:space="preserve">Pre-XDR TB is TB disease caused by a strain of </w:t>
      </w:r>
      <w:r w:rsidRPr="002A232A">
        <w:rPr>
          <w:rFonts w:eastAsia="Times New Roman" w:cs="Arial"/>
          <w:bCs/>
          <w:i/>
          <w:iCs/>
          <w:color w:val="000000"/>
          <w:spacing w:val="0"/>
          <w:lang w:val="en-ZA"/>
        </w:rPr>
        <w:t>M. tuberculosis</w:t>
      </w:r>
      <w:r w:rsidRPr="002A232A">
        <w:rPr>
          <w:rFonts w:eastAsia="Times New Roman" w:cs="Arial"/>
          <w:bCs/>
          <w:color w:val="000000"/>
          <w:spacing w:val="0"/>
          <w:lang w:val="en-ZA"/>
        </w:rPr>
        <w:t xml:space="preserve"> that is resistant to rifampicin and at least one fluoroquinolone (either levofloxacin or moxifloxacin).  </w:t>
      </w:r>
    </w:p>
    <w:p w14:paraId="68C3BD34" w14:textId="77777777" w:rsidR="002A232A" w:rsidRPr="002A232A" w:rsidRDefault="002A232A" w:rsidP="002A232A">
      <w:pPr>
        <w:spacing w:before="0" w:after="0"/>
        <w:rPr>
          <w:rFonts w:eastAsia="Times New Roman" w:cs="Arial"/>
          <w:bCs/>
          <w:color w:val="000000"/>
          <w:spacing w:val="0"/>
          <w:lang w:val="en-ZA"/>
        </w:rPr>
      </w:pPr>
    </w:p>
    <w:tbl>
      <w:tblPr>
        <w:tblpPr w:leftFromText="180" w:rightFromText="180" w:vertAnchor="text" w:horzAnchor="margin" w:tblpXSpec="right" w:tblpY="33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907"/>
      </w:tblGrid>
      <w:tr w:rsidR="002F201F" w:rsidRPr="001F4BAA" w14:paraId="053C76D1" w14:textId="77777777" w:rsidTr="002F201F">
        <w:tc>
          <w:tcPr>
            <w:tcW w:w="907" w:type="dxa"/>
            <w:shd w:val="clear" w:color="auto" w:fill="FFFFFF" w:themeFill="background1"/>
          </w:tcPr>
          <w:p w14:paraId="61FB6AC8" w14:textId="77777777" w:rsidR="002F201F" w:rsidRPr="002344FD" w:rsidRDefault="002F201F" w:rsidP="002F201F">
            <w:pPr>
              <w:pStyle w:val="LoEText"/>
              <w:framePr w:hSpace="0" w:wrap="auto" w:vAnchor="margin" w:hAnchor="text" w:xAlign="left" w:yAlign="inline"/>
              <w:suppressOverlap w:val="0"/>
              <w:rPr>
                <w:sz w:val="14"/>
                <w:szCs w:val="14"/>
              </w:rPr>
            </w:pPr>
            <w:r w:rsidRPr="002344FD">
              <w:rPr>
                <w:sz w:val="14"/>
                <w:szCs w:val="14"/>
              </w:rPr>
              <w:t>LoE:IVb</w:t>
            </w:r>
            <w:r w:rsidRPr="002344FD">
              <w:rPr>
                <w:rStyle w:val="EndnoteReference8"/>
                <w:sz w:val="14"/>
                <w:szCs w:val="14"/>
              </w:rPr>
              <w:endnoteReference w:id="33"/>
            </w:r>
          </w:p>
        </w:tc>
      </w:tr>
    </w:tbl>
    <w:p w14:paraId="4B44035C" w14:textId="0F666C60" w:rsidR="00B5324C" w:rsidRPr="002A232A" w:rsidRDefault="002A232A" w:rsidP="002A232A">
      <w:pPr>
        <w:spacing w:before="0" w:after="0"/>
        <w:rPr>
          <w:rFonts w:eastAsia="Times New Roman" w:cs="Arial"/>
          <w:bCs/>
          <w:color w:val="000000"/>
          <w:spacing w:val="0"/>
        </w:rPr>
      </w:pPr>
      <w:r w:rsidRPr="002A232A">
        <w:rPr>
          <w:rFonts w:eastAsia="Times New Roman" w:cs="Arial"/>
          <w:bCs/>
          <w:color w:val="000000"/>
          <w:spacing w:val="0"/>
          <w:lang w:val="en-ZA"/>
        </w:rPr>
        <w:t>Extensively drug-resistant TB (XDR</w:t>
      </w:r>
      <w:r w:rsidR="007C7353">
        <w:rPr>
          <w:rFonts w:eastAsia="Times New Roman" w:cs="Arial"/>
          <w:bCs/>
          <w:color w:val="000000"/>
          <w:spacing w:val="0"/>
          <w:lang w:val="en-ZA"/>
        </w:rPr>
        <w:t>-</w:t>
      </w:r>
      <w:r w:rsidRPr="002A232A">
        <w:rPr>
          <w:rFonts w:eastAsia="Times New Roman" w:cs="Arial"/>
          <w:bCs/>
          <w:color w:val="000000"/>
          <w:spacing w:val="0"/>
          <w:lang w:val="en-ZA"/>
        </w:rPr>
        <w:t xml:space="preserve">TB) is TB disease caused by a strain of </w:t>
      </w:r>
      <w:r w:rsidRPr="002A232A">
        <w:rPr>
          <w:rFonts w:eastAsia="Times New Roman" w:cs="Arial"/>
          <w:bCs/>
          <w:i/>
          <w:iCs/>
          <w:color w:val="000000"/>
          <w:spacing w:val="0"/>
          <w:lang w:val="en-ZA"/>
        </w:rPr>
        <w:t>M. tuberculosis</w:t>
      </w:r>
      <w:r w:rsidRPr="002A232A">
        <w:rPr>
          <w:rFonts w:eastAsia="Times New Roman" w:cs="Arial"/>
          <w:bCs/>
          <w:color w:val="000000"/>
          <w:spacing w:val="0"/>
          <w:lang w:val="en-ZA"/>
        </w:rPr>
        <w:t xml:space="preserve"> that is resistant to rifampicin AND at least one fluoroquinolone (levofloxacin or moxifloxacin) AND either bedaquiline or linezolid.</w:t>
      </w:r>
      <w:r w:rsidR="00B5324C">
        <w:rPr>
          <w:rFonts w:eastAsia="Times New Roman" w:cs="Arial"/>
          <w:bCs/>
          <w:color w:val="000000"/>
          <w:spacing w:val="0"/>
          <w:lang w:val="en-ZA"/>
        </w:rPr>
        <w:t xml:space="preserve"> </w:t>
      </w:r>
    </w:p>
    <w:p w14:paraId="383E6961" w14:textId="79EE6FCD" w:rsidR="002A232A" w:rsidRPr="002A232A" w:rsidRDefault="002A232A" w:rsidP="002A232A">
      <w:pPr>
        <w:spacing w:before="0" w:after="0"/>
        <w:rPr>
          <w:rFonts w:eastAsia="Times New Roman" w:cs="Arial"/>
          <w:bCs/>
          <w:color w:val="000000"/>
          <w:spacing w:val="0"/>
        </w:rPr>
      </w:pPr>
    </w:p>
    <w:p w14:paraId="40517930" w14:textId="684CF559" w:rsidR="00FF01A9" w:rsidRPr="00957A9D" w:rsidRDefault="00957A9D" w:rsidP="00957A9D">
      <w:pPr>
        <w:pStyle w:val="Heading4"/>
      </w:pPr>
      <w:bookmarkStart w:id="101" w:name="_Toc177054048"/>
      <w:r w:rsidRPr="00957A9D">
        <w:t>Isoniazid mono</w:t>
      </w:r>
      <w:r w:rsidR="00FF01A9" w:rsidRPr="00957A9D">
        <w:t>-</w:t>
      </w:r>
      <w:r w:rsidRPr="00957A9D">
        <w:t>resistant tuberculosis</w:t>
      </w:r>
      <w:r w:rsidR="00FF01A9" w:rsidRPr="00957A9D">
        <w:t xml:space="preserve"> </w:t>
      </w:r>
      <w:r w:rsidRPr="00957A9D">
        <w:t>in adults</w:t>
      </w:r>
      <w:bookmarkEnd w:id="101"/>
      <w:r w:rsidR="00F14C7D">
        <w:fldChar w:fldCharType="begin"/>
      </w:r>
      <w:r w:rsidR="00F14C7D">
        <w:instrText xml:space="preserve"> XE "</w:instrText>
      </w:r>
      <w:r w:rsidR="00F14C7D" w:rsidRPr="004A0AEB">
        <w:instrText>Isoniazid mono-resistant tuberculosis in adults</w:instrText>
      </w:r>
      <w:r w:rsidR="00F14C7D">
        <w:instrText xml:space="preserve">" </w:instrText>
      </w:r>
      <w:r w:rsidR="00F14C7D" w:rsidRPr="00F14C7D">
        <w:instrText xml:space="preserve">\f “c” </w:instrText>
      </w:r>
      <w:r w:rsidR="00F14C7D">
        <w:fldChar w:fldCharType="end"/>
      </w:r>
    </w:p>
    <w:p w14:paraId="10A302C1" w14:textId="53B76521" w:rsidR="00FF01A9" w:rsidRPr="001F4BAA" w:rsidRDefault="00FF01A9" w:rsidP="002344FD">
      <w:pPr>
        <w:pStyle w:val="ICD10"/>
        <w:shd w:val="clear" w:color="auto" w:fill="F2F2F2" w:themeFill="background1" w:themeFillShade="F2"/>
        <w:tabs>
          <w:tab w:val="left" w:pos="2753"/>
        </w:tabs>
      </w:pPr>
      <w:r w:rsidRPr="001F4BAA">
        <w:t>A15.0-3/A15.7-8/A16.0-</w:t>
      </w:r>
      <w:r w:rsidR="00993FC1">
        <w:t>2/A16.</w:t>
      </w:r>
      <w:r w:rsidRPr="001F4BAA">
        <w:t>4/A16.7-9 + (U50.00-01</w:t>
      </w:r>
      <w:r w:rsidR="00E85A32">
        <w:t>+</w:t>
      </w:r>
      <w:r w:rsidRPr="001F4BAA">
        <w:t>U50.10-11)</w:t>
      </w:r>
      <w:r w:rsidR="00645ED1">
        <w:t xml:space="preserve"> + (</w:t>
      </w:r>
      <w:r w:rsidR="00645ED1" w:rsidRPr="001F4BAA">
        <w:t>B20.0</w:t>
      </w:r>
      <w:r w:rsidR="00645ED1">
        <w:t>)</w:t>
      </w:r>
    </w:p>
    <w:p w14:paraId="0C10D604" w14:textId="77777777" w:rsidR="00FF01A9" w:rsidRPr="001F4BAA" w:rsidRDefault="00FF01A9" w:rsidP="00957A9D">
      <w:pPr>
        <w:pStyle w:val="Heading5"/>
      </w:pPr>
      <w:r w:rsidRPr="001F4BAA">
        <w:t>MEDICINE TREATMENT</w:t>
      </w:r>
    </w:p>
    <w:p w14:paraId="7CEF0BAD" w14:textId="121DEB6B" w:rsidR="00FF01A9" w:rsidRPr="002A232A" w:rsidRDefault="00FF01A9" w:rsidP="00FF01A9">
      <w:pPr>
        <w:pStyle w:val="NoSpacing"/>
        <w:rPr>
          <w:u w:val="single"/>
        </w:rPr>
      </w:pPr>
      <w:r w:rsidRPr="002A232A">
        <w:rPr>
          <w:u w:val="single"/>
        </w:rPr>
        <w:t xml:space="preserve">Confirmed </w:t>
      </w:r>
      <w:r w:rsidR="002A232A" w:rsidRPr="002A232A">
        <w:rPr>
          <w:u w:val="single"/>
        </w:rPr>
        <w:t xml:space="preserve">isoniazid </w:t>
      </w:r>
      <w:r w:rsidRPr="002A232A">
        <w:rPr>
          <w:u w:val="single"/>
        </w:rPr>
        <w:t xml:space="preserve">mono-resistant TB: </w:t>
      </w:r>
    </w:p>
    <w:p w14:paraId="1D3B6EB8" w14:textId="7522C61B" w:rsidR="002A232A" w:rsidRPr="002A232A" w:rsidRDefault="002A232A" w:rsidP="008542CC">
      <w:pPr>
        <w:numPr>
          <w:ilvl w:val="0"/>
          <w:numId w:val="14"/>
        </w:numPr>
        <w:spacing w:before="0" w:after="0" w:line="259" w:lineRule="auto"/>
        <w:contextualSpacing/>
        <w:jc w:val="left"/>
        <w:rPr>
          <w:rFonts w:eastAsia="Calibri" w:cs="Times New Roman"/>
          <w:lang w:val="en-ZA"/>
        </w:rPr>
      </w:pPr>
      <w:r w:rsidRPr="002A232A">
        <w:rPr>
          <w:rFonts w:eastAsia="Calibri" w:cs="Times New Roman"/>
          <w:lang w:val="en-ZA"/>
        </w:rPr>
        <w:t>RHZE at standard dos</w:t>
      </w:r>
      <w:r w:rsidR="00D82C1B">
        <w:rPr>
          <w:rFonts w:eastAsia="Calibri" w:cs="Times New Roman"/>
          <w:lang w:val="en-ZA"/>
        </w:rPr>
        <w:t>es</w:t>
      </w:r>
      <w:r w:rsidR="00801F2D">
        <w:rPr>
          <w:rFonts w:eastAsia="Calibri" w:cs="Times New Roman"/>
          <w:lang w:val="en-ZA"/>
        </w:rPr>
        <w:t>.</w:t>
      </w:r>
      <w:r w:rsidR="00B11860">
        <w:rPr>
          <w:rFonts w:eastAsia="Calibri" w:cs="Times New Roman"/>
          <w:lang w:val="en-ZA"/>
        </w:rPr>
        <w:t xml:space="preserve"> (See Section </w:t>
      </w:r>
      <w:r w:rsidR="00AF15C4">
        <w:rPr>
          <w:rFonts w:eastAsia="Calibri" w:cs="Times New Roman"/>
          <w:lang w:val="en-ZA"/>
        </w:rPr>
        <w:t xml:space="preserve">17.4.1: Pulmonary Tuberculosis (TB) in </w:t>
      </w:r>
      <w:r w:rsidR="00D82C1B">
        <w:rPr>
          <w:rFonts w:eastAsia="Calibri" w:cs="Times New Roman"/>
          <w:lang w:val="en-ZA"/>
        </w:rPr>
        <w:t>a</w:t>
      </w:r>
      <w:r w:rsidR="00AF15C4">
        <w:rPr>
          <w:rFonts w:eastAsia="Calibri" w:cs="Times New Roman"/>
          <w:lang w:val="en-ZA"/>
        </w:rPr>
        <w:t>dults</w:t>
      </w:r>
      <w:r w:rsidR="00801F2D">
        <w:rPr>
          <w:rFonts w:eastAsia="Calibri" w:cs="Times New Roman"/>
          <w:lang w:val="en-ZA"/>
        </w:rPr>
        <w:t>.</w:t>
      </w:r>
      <w:r w:rsidR="00AF15C4">
        <w:rPr>
          <w:rFonts w:eastAsia="Calibri" w:cs="Times New Roman"/>
          <w:lang w:val="en-ZA"/>
        </w:rPr>
        <w:t>)</w:t>
      </w:r>
    </w:p>
    <w:p w14:paraId="0C133907" w14:textId="77777777" w:rsidR="002A232A" w:rsidRPr="002A232A" w:rsidRDefault="002A232A" w:rsidP="002A232A">
      <w:pPr>
        <w:spacing w:before="0" w:after="0"/>
        <w:jc w:val="left"/>
        <w:rPr>
          <w:rFonts w:ascii="Calibri" w:eastAsia="Calibri" w:hAnsi="Calibri" w:cs="Times New Roman"/>
          <w:b/>
          <w:bCs/>
          <w:spacing w:val="0"/>
          <w:sz w:val="22"/>
          <w:szCs w:val="22"/>
          <w:lang w:val="en-US"/>
        </w:rPr>
      </w:pPr>
      <w:r w:rsidRPr="002A232A">
        <w:rPr>
          <w:rFonts w:ascii="Calibri" w:eastAsia="Calibri" w:hAnsi="Calibri" w:cs="Times New Roman"/>
          <w:b/>
          <w:bCs/>
          <w:spacing w:val="0"/>
          <w:sz w:val="22"/>
          <w:szCs w:val="22"/>
          <w:lang w:val="en-US"/>
        </w:rPr>
        <w:t>AND</w:t>
      </w:r>
    </w:p>
    <w:p w14:paraId="587F6D26" w14:textId="77777777" w:rsidR="002A232A" w:rsidRPr="002A232A" w:rsidRDefault="002A232A" w:rsidP="008542CC">
      <w:pPr>
        <w:numPr>
          <w:ilvl w:val="0"/>
          <w:numId w:val="14"/>
        </w:numPr>
        <w:spacing w:before="0" w:after="0"/>
        <w:contextualSpacing/>
        <w:jc w:val="left"/>
        <w:rPr>
          <w:rFonts w:eastAsia="Calibri" w:cs="Arial"/>
          <w:b/>
          <w:bCs/>
          <w:lang w:val="en-ZA"/>
        </w:rPr>
      </w:pPr>
      <w:r w:rsidRPr="002A232A">
        <w:rPr>
          <w:rFonts w:eastAsia="Calibri" w:cs="Arial"/>
          <w:lang w:val="en-ZA"/>
        </w:rPr>
        <w:t>Levofloxacin, oral, daily</w:t>
      </w:r>
    </w:p>
    <w:p w14:paraId="2B8B4012" w14:textId="66CB522B" w:rsidR="002A232A" w:rsidRPr="002A232A" w:rsidRDefault="002A232A" w:rsidP="008542CC">
      <w:pPr>
        <w:numPr>
          <w:ilvl w:val="1"/>
          <w:numId w:val="14"/>
        </w:numPr>
        <w:spacing w:before="0" w:after="0" w:line="259" w:lineRule="auto"/>
        <w:contextualSpacing/>
        <w:jc w:val="left"/>
        <w:rPr>
          <w:rFonts w:eastAsia="Calibri" w:cs="Arial"/>
          <w:lang w:val="en-ZA"/>
        </w:rPr>
      </w:pPr>
      <w:r w:rsidRPr="002A232A">
        <w:rPr>
          <w:rFonts w:eastAsia="Calibri" w:cs="Arial"/>
          <w:lang w:val="en-ZA"/>
        </w:rPr>
        <w:t>30–45</w:t>
      </w:r>
      <w:r w:rsidR="002D5DFE">
        <w:rPr>
          <w:rFonts w:eastAsia="Calibri" w:cs="Arial"/>
          <w:lang w:val="en-ZA"/>
        </w:rPr>
        <w:t xml:space="preserve"> </w:t>
      </w:r>
      <w:r w:rsidRPr="002A232A">
        <w:rPr>
          <w:rFonts w:eastAsia="Calibri" w:cs="Arial"/>
          <w:lang w:val="en-ZA"/>
        </w:rPr>
        <w:t>kg: 750 mg</w:t>
      </w:r>
      <w:r w:rsidR="00CB5DDB">
        <w:rPr>
          <w:rFonts w:eastAsia="Calibri" w:cs="Arial"/>
          <w:lang w:val="en-ZA"/>
        </w:rPr>
        <w:t>.</w:t>
      </w:r>
    </w:p>
    <w:p w14:paraId="1825B048" w14:textId="5216E867" w:rsidR="002A232A" w:rsidRPr="002A232A" w:rsidRDefault="002A232A" w:rsidP="008542CC">
      <w:pPr>
        <w:numPr>
          <w:ilvl w:val="1"/>
          <w:numId w:val="14"/>
        </w:numPr>
        <w:spacing w:before="0" w:after="0" w:line="259" w:lineRule="auto"/>
        <w:contextualSpacing/>
        <w:jc w:val="left"/>
        <w:rPr>
          <w:rFonts w:eastAsia="Calibri" w:cs="Arial"/>
          <w:lang w:val="en-ZA"/>
        </w:rPr>
      </w:pPr>
      <w:r w:rsidRPr="002A232A">
        <w:rPr>
          <w:rFonts w:eastAsia="Calibri" w:cs="Arial"/>
          <w:lang w:val="en-ZA"/>
        </w:rPr>
        <w:t>≥46</w:t>
      </w:r>
      <w:r w:rsidR="002D5DFE">
        <w:rPr>
          <w:rFonts w:eastAsia="Calibri" w:cs="Arial"/>
          <w:lang w:val="en-ZA"/>
        </w:rPr>
        <w:t xml:space="preserve"> </w:t>
      </w:r>
      <w:r w:rsidRPr="002A232A">
        <w:rPr>
          <w:rFonts w:eastAsia="Calibri" w:cs="Arial"/>
          <w:lang w:val="en-ZA"/>
        </w:rPr>
        <w:t>kg: 1</w:t>
      </w:r>
      <w:r w:rsidR="00CB5DDB">
        <w:rPr>
          <w:rFonts w:eastAsia="Calibri" w:cs="Arial"/>
          <w:lang w:val="en-ZA"/>
        </w:rPr>
        <w:t xml:space="preserve"> </w:t>
      </w:r>
      <w:r w:rsidRPr="002A232A">
        <w:rPr>
          <w:rFonts w:eastAsia="Calibri" w:cs="Arial"/>
          <w:lang w:val="en-ZA"/>
        </w:rPr>
        <w:t>000 mg</w:t>
      </w:r>
      <w:r w:rsidR="00CB5DDB">
        <w:rPr>
          <w:rFonts w:eastAsia="Calibri" w:cs="Arial"/>
          <w:lang w:val="en-ZA"/>
        </w:rPr>
        <w:t>.</w:t>
      </w:r>
    </w:p>
    <w:p w14:paraId="78E88767" w14:textId="77777777" w:rsidR="002A232A" w:rsidRPr="002A232A" w:rsidRDefault="002A232A" w:rsidP="002A232A">
      <w:pPr>
        <w:spacing w:before="0" w:after="0"/>
        <w:rPr>
          <w:rFonts w:eastAsia="Times New Roman" w:cs="Arial"/>
          <w:bCs/>
          <w:color w:val="000000"/>
          <w:spacing w:val="0"/>
        </w:rPr>
      </w:pPr>
    </w:p>
    <w:p w14:paraId="0B9F850A" w14:textId="77777777" w:rsidR="002A232A" w:rsidRPr="002A232A" w:rsidRDefault="002A232A" w:rsidP="002A232A">
      <w:pPr>
        <w:spacing w:before="0" w:after="0"/>
        <w:rPr>
          <w:rFonts w:eastAsia="Times New Roman" w:cs="Arial"/>
          <w:bCs/>
          <w:color w:val="000000"/>
          <w:spacing w:val="0"/>
          <w:u w:val="single"/>
        </w:rPr>
      </w:pPr>
      <w:r w:rsidRPr="002A232A">
        <w:rPr>
          <w:rFonts w:eastAsia="Times New Roman" w:cs="Arial"/>
          <w:bCs/>
          <w:color w:val="000000"/>
          <w:spacing w:val="0"/>
          <w:u w:val="single"/>
        </w:rPr>
        <w:lastRenderedPageBreak/>
        <w:t>Confirmed isoniazid monoresistant TB AND contraindication to isoniazid:</w:t>
      </w:r>
    </w:p>
    <w:p w14:paraId="799FDCD6" w14:textId="458BE9CF" w:rsidR="00FF01A9" w:rsidRPr="001F4BAA" w:rsidRDefault="00FF01A9" w:rsidP="00AA5EED">
      <w:pPr>
        <w:pStyle w:val="BulletMedicine"/>
      </w:pPr>
      <w:r w:rsidRPr="001F4BAA">
        <w:t>Rifampicin, oral</w:t>
      </w:r>
      <w:r w:rsidR="00DE7455">
        <w:fldChar w:fldCharType="begin"/>
      </w:r>
      <w:r w:rsidR="00DE7455">
        <w:instrText xml:space="preserve"> XE “Rifampicin, oral” \f “m” \f “m” </w:instrText>
      </w:r>
      <w:r w:rsidR="00DE7455">
        <w:fldChar w:fldCharType="end"/>
      </w:r>
      <w:r w:rsidRPr="001F4BAA">
        <w:t>, 10 mg/kg daily.</w:t>
      </w:r>
    </w:p>
    <w:p w14:paraId="04E7FAA7" w14:textId="77777777" w:rsidR="00FF01A9" w:rsidRPr="00E14CCB" w:rsidRDefault="00FF01A9" w:rsidP="00FF01A9">
      <w:pPr>
        <w:pStyle w:val="NoSpacing"/>
        <w:rPr>
          <w:rStyle w:val="Strong"/>
        </w:rPr>
      </w:pPr>
      <w:r w:rsidRPr="00E14CCB">
        <w:rPr>
          <w:rStyle w:val="Strong"/>
        </w:rPr>
        <w:t>AND</w:t>
      </w:r>
    </w:p>
    <w:p w14:paraId="5287845A" w14:textId="17BC4354" w:rsidR="00FF01A9" w:rsidRPr="001F4BAA" w:rsidRDefault="00FF01A9" w:rsidP="00AA5EED">
      <w:pPr>
        <w:pStyle w:val="BulletMedicine"/>
      </w:pPr>
      <w:r w:rsidRPr="001F4BAA">
        <w:t>Ethambutol, oral</w:t>
      </w:r>
      <w:r w:rsidR="00DE7455">
        <w:fldChar w:fldCharType="begin"/>
      </w:r>
      <w:r w:rsidR="00DE7455">
        <w:instrText xml:space="preserve"> XE “Ethambutol, oral” \f “m” </w:instrText>
      </w:r>
      <w:r w:rsidR="00DE7455">
        <w:fldChar w:fldCharType="end"/>
      </w:r>
      <w:r w:rsidRPr="001F4BAA">
        <w:t>, 15 mg/kg daily.</w:t>
      </w:r>
    </w:p>
    <w:p w14:paraId="33ED4690" w14:textId="77777777" w:rsidR="00FF01A9" w:rsidRPr="00E14CCB" w:rsidRDefault="00FF01A9" w:rsidP="00FF01A9">
      <w:pPr>
        <w:pStyle w:val="NoSpacing"/>
        <w:rPr>
          <w:rStyle w:val="Strong"/>
        </w:rPr>
      </w:pPr>
      <w:r w:rsidRPr="00E14CCB">
        <w:rPr>
          <w:rStyle w:val="Strong"/>
        </w:rPr>
        <w:t>AND</w:t>
      </w:r>
    </w:p>
    <w:p w14:paraId="30B8E24C" w14:textId="7B72A4F7" w:rsidR="00FF01A9" w:rsidRPr="001F4BAA" w:rsidRDefault="00FF01A9" w:rsidP="00AA5EED">
      <w:pPr>
        <w:pStyle w:val="BulletMedicine"/>
      </w:pPr>
      <w:r w:rsidRPr="001F4BAA">
        <w:t>Pyrazinamide, oral</w:t>
      </w:r>
      <w:r w:rsidR="00DE7455">
        <w:fldChar w:fldCharType="begin"/>
      </w:r>
      <w:r w:rsidR="00DE7455">
        <w:instrText xml:space="preserve"> XE “Pyrazinamide, oral” \f “m” </w:instrText>
      </w:r>
      <w:r w:rsidR="00DE7455">
        <w:fldChar w:fldCharType="end"/>
      </w:r>
      <w:r w:rsidRPr="001F4BAA">
        <w:t>, 25 mg/kg daily.</w:t>
      </w:r>
    </w:p>
    <w:p w14:paraId="3FCE4B3C" w14:textId="77777777" w:rsidR="00FF01A9" w:rsidRPr="00E14CCB" w:rsidRDefault="00FF01A9" w:rsidP="00FF01A9">
      <w:pPr>
        <w:pStyle w:val="NoSpacing"/>
        <w:rPr>
          <w:rStyle w:val="Strong"/>
        </w:rPr>
      </w:pPr>
      <w:r w:rsidRPr="00E14CCB">
        <w:rPr>
          <w:rStyle w:val="Strong"/>
        </w:rPr>
        <w:t>AND</w:t>
      </w:r>
    </w:p>
    <w:p w14:paraId="68291D87" w14:textId="34D60414" w:rsidR="00FF01A9" w:rsidRPr="001F4BAA" w:rsidRDefault="00FF01A9" w:rsidP="00AA5EED">
      <w:pPr>
        <w:pStyle w:val="BulletMedicine"/>
      </w:pPr>
      <w:r w:rsidRPr="001F4BAA">
        <w:t>Levofloxacin, oral</w:t>
      </w:r>
      <w:r w:rsidR="00DE7455">
        <w:fldChar w:fldCharType="begin"/>
      </w:r>
      <w:r w:rsidR="00DE7455">
        <w:instrText xml:space="preserve"> XE “Levofloxacin, oral” \f “m” </w:instrText>
      </w:r>
      <w:r w:rsidR="00DE7455">
        <w:fldChar w:fldCharType="end"/>
      </w:r>
      <w:r w:rsidRPr="001F4BAA">
        <w:t>, daily.</w:t>
      </w:r>
    </w:p>
    <w:tbl>
      <w:tblPr>
        <w:tblpPr w:leftFromText="180" w:rightFromText="180" w:vertAnchor="text" w:horzAnchor="margin" w:tblpXSpec="right" w:tblpY="119"/>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
      </w:tblGrid>
      <w:tr w:rsidR="00AA5EED" w:rsidRPr="001F4BAA" w14:paraId="285DC2C9" w14:textId="77777777" w:rsidTr="00AA5EED">
        <w:tc>
          <w:tcPr>
            <w:tcW w:w="907" w:type="dxa"/>
          </w:tcPr>
          <w:p w14:paraId="4924EB25" w14:textId="06C31444" w:rsidR="00AA5EED" w:rsidRPr="002344FD" w:rsidRDefault="00357CF3" w:rsidP="00AA5EED">
            <w:pPr>
              <w:pStyle w:val="LoEText"/>
              <w:framePr w:hSpace="0" w:wrap="auto" w:vAnchor="margin" w:hAnchor="text" w:xAlign="left" w:yAlign="inline"/>
              <w:suppressOverlap w:val="0"/>
              <w:rPr>
                <w:sz w:val="14"/>
                <w:szCs w:val="14"/>
              </w:rPr>
            </w:pPr>
            <w:r w:rsidRPr="002344FD">
              <w:rPr>
                <w:sz w:val="14"/>
                <w:szCs w:val="14"/>
              </w:rPr>
              <w:t>LoE:IIb</w:t>
            </w:r>
            <w:r w:rsidR="00AA5EED" w:rsidRPr="002344FD">
              <w:rPr>
                <w:rStyle w:val="EndnoteReference8"/>
                <w:sz w:val="14"/>
                <w:szCs w:val="14"/>
              </w:rPr>
              <w:endnoteReference w:id="34"/>
            </w:r>
          </w:p>
        </w:tc>
      </w:tr>
    </w:tbl>
    <w:p w14:paraId="0C5EB0FE" w14:textId="53DE9527" w:rsidR="00FF01A9" w:rsidRPr="001F4BAA" w:rsidRDefault="00FF01A9" w:rsidP="008542CC">
      <w:pPr>
        <w:pStyle w:val="BulletDirectionsInstructions"/>
        <w:numPr>
          <w:ilvl w:val="0"/>
          <w:numId w:val="58"/>
        </w:numPr>
      </w:pPr>
      <w:r w:rsidRPr="001F4BAA">
        <w:t>30</w:t>
      </w:r>
      <w:r w:rsidR="00801F2D">
        <w:t xml:space="preserve"> to </w:t>
      </w:r>
      <w:r w:rsidR="002A232A">
        <w:t>45</w:t>
      </w:r>
      <w:r w:rsidRPr="001F4BAA">
        <w:t xml:space="preserve"> kg:</w:t>
      </w:r>
      <w:r w:rsidRPr="001F4BAA">
        <w:tab/>
        <w:t>750 mg</w:t>
      </w:r>
    </w:p>
    <w:p w14:paraId="01A8C4B9" w14:textId="115DD603" w:rsidR="00FF01A9" w:rsidRPr="001F4BAA" w:rsidRDefault="007277E7" w:rsidP="008542CC">
      <w:pPr>
        <w:pStyle w:val="BulletDirectionsInstructions"/>
        <w:numPr>
          <w:ilvl w:val="0"/>
          <w:numId w:val="58"/>
        </w:numPr>
      </w:pPr>
      <w:r>
        <w:t>&gt;</w:t>
      </w:r>
      <w:r w:rsidR="002A232A">
        <w:t>46</w:t>
      </w:r>
      <w:r w:rsidR="00FF01A9" w:rsidRPr="001F4BAA">
        <w:t xml:space="preserve"> kg:</w:t>
      </w:r>
      <w:r w:rsidR="00FF01A9" w:rsidRPr="001F4BAA">
        <w:tab/>
        <w:t>1</w:t>
      </w:r>
      <w:r w:rsidR="001C3065">
        <w:t xml:space="preserve"> </w:t>
      </w:r>
      <w:r w:rsidR="00FF01A9" w:rsidRPr="001F4BAA">
        <w:t>000 mg</w:t>
      </w:r>
    </w:p>
    <w:p w14:paraId="7D0D3AC0" w14:textId="77777777" w:rsidR="00FF01A9" w:rsidRPr="001F4BAA" w:rsidRDefault="00FF01A9" w:rsidP="00FF01A9">
      <w:pPr>
        <w:pStyle w:val="NoSpacing"/>
      </w:pPr>
      <w:r w:rsidRPr="001F4BAA">
        <w:t>Treatment should be given for at least 6 months.</w:t>
      </w:r>
    </w:p>
    <w:p w14:paraId="63387B2F" w14:textId="77777777" w:rsidR="00FF01A9" w:rsidRDefault="00FF01A9" w:rsidP="00FF01A9">
      <w:pPr>
        <w:pStyle w:val="NoSpacing"/>
      </w:pPr>
    </w:p>
    <w:p w14:paraId="67E6CB15" w14:textId="77777777" w:rsidR="003B612F" w:rsidRPr="00C24E99" w:rsidRDefault="003B612F" w:rsidP="003B612F">
      <w:pPr>
        <w:keepNext/>
        <w:spacing w:before="0" w:after="0"/>
        <w:jc w:val="left"/>
        <w:outlineLvl w:val="4"/>
        <w:rPr>
          <w:rFonts w:eastAsia="Calibri" w:cs="Times New Roman"/>
          <w:b/>
          <w:bCs/>
          <w:caps/>
          <w:sz w:val="20"/>
        </w:rPr>
      </w:pPr>
      <w:r w:rsidRPr="00C24E99">
        <w:rPr>
          <w:rFonts w:eastAsia="Calibri" w:cs="Times New Roman"/>
          <w:b/>
          <w:bCs/>
          <w:caps/>
          <w:sz w:val="20"/>
        </w:rPr>
        <w:t>REFERRAL</w:t>
      </w:r>
    </w:p>
    <w:p w14:paraId="1C09C12B" w14:textId="77777777" w:rsidR="003B612F" w:rsidRDefault="003B612F" w:rsidP="003B612F">
      <w:pPr>
        <w:pStyle w:val="Heading5"/>
        <w:spacing w:before="0"/>
      </w:pPr>
      <w:r w:rsidRPr="00825CCE">
        <w:rPr>
          <w:rFonts w:eastAsia="Calibri" w:cs="Times New Roman"/>
          <w:b w:val="0"/>
          <w:bCs w:val="0"/>
          <w:caps w:val="0"/>
          <w:sz w:val="18"/>
          <w:lang w:val="en-ZA"/>
        </w:rPr>
        <w:t>All drug resistant TB patients to medical officer at primary care level for initiation of therapy.</w:t>
      </w:r>
    </w:p>
    <w:p w14:paraId="77C1FBD3" w14:textId="77777777" w:rsidR="003B612F" w:rsidRPr="001F4BAA" w:rsidRDefault="003B612F" w:rsidP="00FF01A9">
      <w:pPr>
        <w:pStyle w:val="NoSpacing"/>
      </w:pPr>
    </w:p>
    <w:p w14:paraId="49099466" w14:textId="06FAD91A" w:rsidR="00FF01A9" w:rsidRPr="004807DA" w:rsidRDefault="002A232A" w:rsidP="004807DA">
      <w:pPr>
        <w:pStyle w:val="Heading4"/>
      </w:pPr>
      <w:bookmarkStart w:id="102" w:name="_Toc177054049"/>
      <w:r>
        <w:t>RIFAMPICIN</w:t>
      </w:r>
      <w:r w:rsidR="004807DA" w:rsidRPr="004807DA">
        <w:t>-resistant tuberculosis (</w:t>
      </w:r>
      <w:r>
        <w:t>RR</w:t>
      </w:r>
      <w:r w:rsidR="004807DA" w:rsidRPr="004807DA">
        <w:t xml:space="preserve"> TB</w:t>
      </w:r>
      <w:r w:rsidR="00FF01A9" w:rsidRPr="004807DA">
        <w:t>),</w:t>
      </w:r>
      <w:r w:rsidR="00957A9D" w:rsidRPr="004807DA">
        <w:t xml:space="preserve"> </w:t>
      </w:r>
      <w:r w:rsidR="004807DA" w:rsidRPr="004807DA">
        <w:t>in adults</w:t>
      </w:r>
      <w:bookmarkEnd w:id="102"/>
      <w:r w:rsidR="00F14C7D">
        <w:fldChar w:fldCharType="begin"/>
      </w:r>
      <w:r w:rsidR="00F14C7D">
        <w:instrText xml:space="preserve"> XE "</w:instrText>
      </w:r>
      <w:r w:rsidR="00F14C7D" w:rsidRPr="004A0AEB">
        <w:instrText>Multidrug-resistant tuberculosis (MDR TB), in adults</w:instrText>
      </w:r>
      <w:r w:rsidR="00F14C7D">
        <w:instrText xml:space="preserve">" </w:instrText>
      </w:r>
      <w:r w:rsidR="00F14C7D" w:rsidRPr="00F14C7D">
        <w:instrText xml:space="preserve">\f “c” </w:instrText>
      </w:r>
      <w:r w:rsidR="00F14C7D">
        <w:fldChar w:fldCharType="end"/>
      </w:r>
    </w:p>
    <w:p w14:paraId="0F8EDC8F" w14:textId="211C2679" w:rsidR="00FF01A9" w:rsidRPr="001F4BAA" w:rsidRDefault="00FF01A9" w:rsidP="002344FD">
      <w:pPr>
        <w:pStyle w:val="ICD10"/>
        <w:shd w:val="clear" w:color="auto" w:fill="F2F2F2" w:themeFill="background1" w:themeFillShade="F2"/>
        <w:tabs>
          <w:tab w:val="left" w:pos="2753"/>
        </w:tabs>
      </w:pPr>
      <w:r w:rsidRPr="001F4BAA">
        <w:t>A15.0-3/A15.7-8/A16.0-2/A16.7-8 + (U50.00-01</w:t>
      </w:r>
      <w:r w:rsidR="00AF4476">
        <w:t>+</w:t>
      </w:r>
      <w:r w:rsidR="00287AC5">
        <w:t>U50.20-21</w:t>
      </w:r>
      <w:r w:rsidRPr="001F4BAA">
        <w:t>)</w:t>
      </w:r>
      <w:r w:rsidR="00645ED1">
        <w:t xml:space="preserve"> + (</w:t>
      </w:r>
      <w:r w:rsidR="00645ED1" w:rsidRPr="001F4BAA">
        <w:t>B20.0</w:t>
      </w:r>
      <w:r w:rsidR="00645ED1">
        <w:t>)</w:t>
      </w:r>
    </w:p>
    <w:p w14:paraId="76B002B5" w14:textId="7F5552F3" w:rsidR="00FF01A9" w:rsidRPr="00C82720" w:rsidRDefault="00D21CE0" w:rsidP="00D21CE0">
      <w:pPr>
        <w:pStyle w:val="Centeredbox"/>
        <w:rPr>
          <w:rStyle w:val="Strong"/>
        </w:rPr>
      </w:pPr>
      <w:r w:rsidRPr="00C82720">
        <w:rPr>
          <w:rStyle w:val="Strong"/>
        </w:rPr>
        <w:t xml:space="preserve">Never treat for </w:t>
      </w:r>
      <w:r w:rsidR="002A232A">
        <w:rPr>
          <w:rStyle w:val="Strong"/>
        </w:rPr>
        <w:t>drug resistant</w:t>
      </w:r>
      <w:r w:rsidRPr="00C82720">
        <w:rPr>
          <w:rStyle w:val="Strong"/>
        </w:rPr>
        <w:t xml:space="preserve"> TB without laboratory confirmation, either by molecular or phenotypic (culture and sensitivity) results.</w:t>
      </w:r>
      <w:r w:rsidRPr="00C82720">
        <w:rPr>
          <w:rStyle w:val="Strong"/>
        </w:rPr>
        <w:br/>
      </w:r>
    </w:p>
    <w:p w14:paraId="6997692B" w14:textId="77777777" w:rsidR="00FF01A9" w:rsidRPr="001F4BAA" w:rsidRDefault="00FF01A9" w:rsidP="004807DA">
      <w:pPr>
        <w:pStyle w:val="Heading5"/>
      </w:pPr>
      <w:r w:rsidRPr="001F4BAA">
        <w:t>GENERAL MEASURES</w:t>
      </w:r>
    </w:p>
    <w:p w14:paraId="70AA953F" w14:textId="77777777" w:rsidR="00FF01A9" w:rsidRPr="001F4BAA" w:rsidRDefault="00FF01A9" w:rsidP="00FF01A9">
      <w:pPr>
        <w:pStyle w:val="NoSpacing"/>
      </w:pPr>
      <w:r w:rsidRPr="001F4BAA">
        <w:t>Counsel and educate patients about the disease and its treatment, including treatment duration.</w:t>
      </w:r>
    </w:p>
    <w:p w14:paraId="5B2C910A" w14:textId="10CBF0C1" w:rsidR="00FF01A9" w:rsidRPr="001F4BAA" w:rsidRDefault="00FF01A9" w:rsidP="00FF01A9">
      <w:pPr>
        <w:pStyle w:val="NoSpacing"/>
      </w:pPr>
      <w:r w:rsidRPr="001F4BAA">
        <w:t xml:space="preserve">Screen all close contacts for signs and symptoms of </w:t>
      </w:r>
      <w:r w:rsidR="002A232A">
        <w:t xml:space="preserve">drug-resistant </w:t>
      </w:r>
      <w:r w:rsidRPr="001F4BAA">
        <w:t>TB and by sputum sampling to detect early disease.</w:t>
      </w:r>
    </w:p>
    <w:p w14:paraId="57C50FE9" w14:textId="77777777" w:rsidR="00FF01A9" w:rsidRPr="001F4BAA" w:rsidRDefault="00FF01A9" w:rsidP="00FF01A9">
      <w:pPr>
        <w:pStyle w:val="NoSpacing"/>
      </w:pPr>
      <w:r w:rsidRPr="001F4BAA">
        <w:t>Infection control and cough etiquette is important to limit spread.</w:t>
      </w:r>
    </w:p>
    <w:p w14:paraId="3EE1485B" w14:textId="77777777" w:rsidR="002A232A" w:rsidRDefault="002A232A" w:rsidP="002A232A">
      <w:pPr>
        <w:keepNext/>
        <w:spacing w:before="0" w:after="0"/>
        <w:outlineLvl w:val="4"/>
        <w:rPr>
          <w:rFonts w:eastAsia="Times New Roman" w:cs="Arial"/>
          <w:b/>
          <w:bCs/>
          <w:caps/>
          <w:spacing w:val="0"/>
          <w:sz w:val="20"/>
          <w:szCs w:val="24"/>
        </w:rPr>
      </w:pPr>
    </w:p>
    <w:p w14:paraId="21197062" w14:textId="77777777" w:rsidR="002A232A" w:rsidRPr="002A232A" w:rsidRDefault="002A232A" w:rsidP="002A232A">
      <w:pPr>
        <w:keepNext/>
        <w:spacing w:before="0" w:after="0"/>
        <w:outlineLvl w:val="4"/>
        <w:rPr>
          <w:rFonts w:eastAsia="Times New Roman" w:cs="Arial"/>
          <w:b/>
          <w:bCs/>
          <w:caps/>
          <w:spacing w:val="0"/>
          <w:sz w:val="20"/>
          <w:szCs w:val="24"/>
        </w:rPr>
      </w:pPr>
      <w:r w:rsidRPr="002A232A">
        <w:rPr>
          <w:rFonts w:eastAsia="Times New Roman" w:cs="Arial"/>
          <w:b/>
          <w:bCs/>
          <w:caps/>
          <w:spacing w:val="0"/>
          <w:sz w:val="20"/>
          <w:szCs w:val="24"/>
        </w:rPr>
        <w:t>MEDICINE TREATMENT</w:t>
      </w:r>
    </w:p>
    <w:p w14:paraId="67F91D1E" w14:textId="77777777" w:rsidR="002A232A" w:rsidRPr="002A232A" w:rsidRDefault="002A232A" w:rsidP="002A232A">
      <w:pPr>
        <w:spacing w:before="0" w:after="0"/>
        <w:rPr>
          <w:rFonts w:eastAsia="Times New Roman" w:cs="Arial"/>
          <w:b/>
          <w:bCs/>
          <w:spacing w:val="-2"/>
        </w:rPr>
      </w:pPr>
      <w:r w:rsidRPr="002A232A">
        <w:rPr>
          <w:rFonts w:eastAsia="Times New Roman" w:cs="Arial"/>
          <w:b/>
          <w:bCs/>
          <w:spacing w:val="-2"/>
        </w:rPr>
        <w:t>Drug resistant TB prophylaxis</w:t>
      </w:r>
    </w:p>
    <w:p w14:paraId="5ADEE69B" w14:textId="77777777" w:rsidR="002A232A" w:rsidRPr="002A232A" w:rsidRDefault="002A232A" w:rsidP="002A232A">
      <w:pPr>
        <w:spacing w:before="0" w:after="0"/>
        <w:rPr>
          <w:rFonts w:eastAsia="Times New Roman" w:cs="Arial"/>
          <w:bCs/>
          <w:color w:val="000000"/>
          <w:spacing w:val="0"/>
        </w:rPr>
      </w:pPr>
      <w:r w:rsidRPr="002A232A">
        <w:rPr>
          <w:rFonts w:eastAsia="Times New Roman" w:cs="Arial"/>
          <w:bCs/>
          <w:color w:val="000000"/>
          <w:spacing w:val="0"/>
        </w:rPr>
        <w:t>The effectiveness of preventive therapy in adults exposed to drug resistant TB bacteria is not currently known. Consult a specialist for management.</w:t>
      </w:r>
    </w:p>
    <w:p w14:paraId="3441B8ED" w14:textId="77777777" w:rsidR="002A232A" w:rsidRPr="002A232A" w:rsidRDefault="002A232A" w:rsidP="002A232A">
      <w:pPr>
        <w:spacing w:before="0" w:after="0"/>
        <w:rPr>
          <w:rFonts w:eastAsia="Times New Roman" w:cs="Arial"/>
          <w:bCs/>
          <w:color w:val="000000"/>
          <w:spacing w:val="0"/>
          <w:sz w:val="10"/>
        </w:rPr>
      </w:pPr>
    </w:p>
    <w:p w14:paraId="58603629" w14:textId="4FFCA42E" w:rsidR="002A232A" w:rsidRPr="002A232A" w:rsidRDefault="002A232A" w:rsidP="002A232A">
      <w:pPr>
        <w:spacing w:before="0" w:after="0"/>
        <w:rPr>
          <w:rFonts w:eastAsia="Times New Roman" w:cs="Arial"/>
          <w:b/>
          <w:bCs/>
          <w:color w:val="000000"/>
          <w:spacing w:val="0"/>
        </w:rPr>
      </w:pPr>
      <w:r w:rsidRPr="002A232A">
        <w:rPr>
          <w:rFonts w:eastAsia="Times New Roman" w:cs="Arial"/>
          <w:b/>
          <w:bCs/>
          <w:color w:val="000000"/>
          <w:spacing w:val="0"/>
        </w:rPr>
        <w:t>RR</w:t>
      </w:r>
      <w:r w:rsidR="00FC7A61">
        <w:rPr>
          <w:rFonts w:eastAsia="Times New Roman" w:cs="Arial"/>
          <w:b/>
          <w:bCs/>
          <w:color w:val="000000"/>
          <w:spacing w:val="0"/>
        </w:rPr>
        <w:t>-</w:t>
      </w:r>
      <w:r w:rsidRPr="002A232A">
        <w:rPr>
          <w:rFonts w:eastAsia="Times New Roman" w:cs="Arial"/>
          <w:b/>
          <w:bCs/>
          <w:color w:val="000000"/>
          <w:spacing w:val="0"/>
        </w:rPr>
        <w:t>TB and Pre-XDR TB treatment</w:t>
      </w:r>
    </w:p>
    <w:p w14:paraId="7E0AA978" w14:textId="77777777" w:rsidR="002A232A" w:rsidRPr="002A232A" w:rsidRDefault="002A232A" w:rsidP="002A232A">
      <w:pPr>
        <w:spacing w:before="0" w:after="0"/>
        <w:rPr>
          <w:rFonts w:eastAsia="Times New Roman" w:cs="Arial"/>
          <w:b/>
          <w:bCs/>
          <w:color w:val="000000"/>
          <w:spacing w:val="0"/>
        </w:rPr>
      </w:pPr>
      <w:r w:rsidRPr="002A232A">
        <w:rPr>
          <w:rFonts w:eastAsia="Times New Roman" w:cs="Arial"/>
          <w:color w:val="000000"/>
          <w:spacing w:val="0"/>
        </w:rPr>
        <w:t>Consult the most recent national drug resistant TB programme guidelines.</w:t>
      </w:r>
    </w:p>
    <w:p w14:paraId="7A1453FB" w14:textId="77777777" w:rsidR="002A232A" w:rsidRPr="002A232A" w:rsidRDefault="002A232A" w:rsidP="002A232A">
      <w:pPr>
        <w:spacing w:before="0" w:after="0"/>
        <w:rPr>
          <w:rFonts w:eastAsia="Times New Roman" w:cs="Arial"/>
          <w:bCs/>
          <w:color w:val="000000"/>
          <w:spacing w:val="0"/>
        </w:rPr>
      </w:pPr>
      <w:r w:rsidRPr="002A232A">
        <w:rPr>
          <w:rFonts w:eastAsia="Times New Roman" w:cs="Arial"/>
          <w:bCs/>
          <w:color w:val="000000"/>
          <w:spacing w:val="0"/>
        </w:rPr>
        <w:t xml:space="preserve">Treatment for 6–18 months is required. </w:t>
      </w:r>
    </w:p>
    <w:p w14:paraId="78E6B9E5" w14:textId="77777777" w:rsidR="002A232A" w:rsidRPr="002A232A" w:rsidRDefault="002A232A" w:rsidP="002A232A">
      <w:pPr>
        <w:spacing w:before="0" w:after="0"/>
        <w:rPr>
          <w:rFonts w:eastAsia="Times New Roman" w:cs="Arial"/>
          <w:bCs/>
          <w:color w:val="000000"/>
          <w:spacing w:val="0"/>
          <w:sz w:val="10"/>
          <w:szCs w:val="10"/>
        </w:rPr>
      </w:pPr>
    </w:p>
    <w:p w14:paraId="46766DD1" w14:textId="77777777" w:rsidR="002A232A" w:rsidRPr="002A232A" w:rsidRDefault="002A232A" w:rsidP="002A232A">
      <w:pPr>
        <w:widowControl w:val="0"/>
        <w:spacing w:before="0" w:after="0"/>
        <w:rPr>
          <w:rFonts w:eastAsia="Times New Roman" w:cs="Arial"/>
          <w:bCs/>
          <w:strike/>
          <w:color w:val="000000"/>
          <w:spacing w:val="0"/>
          <w:lang w:val="en-ZA"/>
        </w:rPr>
      </w:pPr>
      <w:r w:rsidRPr="002A232A">
        <w:rPr>
          <w:rFonts w:eastAsia="Times New Roman" w:cs="Arial"/>
          <w:bCs/>
          <w:color w:val="000000"/>
          <w:spacing w:val="-2"/>
          <w:lang w:val="en-ZA"/>
        </w:rPr>
        <w:t>Management of drug resistant TB should be conducted in dedicated drug resistant TB clinics and hospitals with appropriate infection control measures.</w:t>
      </w:r>
    </w:p>
    <w:p w14:paraId="485FCCDB" w14:textId="77777777" w:rsidR="002A232A" w:rsidRPr="002A232A" w:rsidRDefault="002A232A" w:rsidP="002A232A">
      <w:pPr>
        <w:spacing w:before="0" w:after="0"/>
        <w:rPr>
          <w:rFonts w:eastAsia="Times New Roman" w:cs="Arial"/>
          <w:bCs/>
          <w:color w:val="000000"/>
          <w:spacing w:val="0"/>
          <w:sz w:val="10"/>
          <w:szCs w:val="10"/>
          <w:lang w:val="en-ZA"/>
        </w:rPr>
      </w:pPr>
    </w:p>
    <w:p w14:paraId="1E42D6E9" w14:textId="2A3369B4" w:rsidR="002A232A" w:rsidRPr="002A232A" w:rsidRDefault="002A232A" w:rsidP="002A232A">
      <w:pPr>
        <w:spacing w:before="0" w:after="0"/>
        <w:rPr>
          <w:rFonts w:eastAsia="Times New Roman" w:cs="Arial"/>
          <w:bCs/>
          <w:color w:val="000000"/>
          <w:spacing w:val="0"/>
          <w:lang w:val="en-ZA"/>
        </w:rPr>
      </w:pPr>
      <w:r w:rsidRPr="002A232A">
        <w:rPr>
          <w:rFonts w:eastAsia="Times New Roman" w:cs="Arial"/>
          <w:b/>
          <w:bCs/>
          <w:color w:val="000000"/>
          <w:spacing w:val="0"/>
          <w:lang w:val="en-ZA"/>
        </w:rPr>
        <w:t>XDR</w:t>
      </w:r>
      <w:r w:rsidR="008703C2">
        <w:rPr>
          <w:rFonts w:eastAsia="Times New Roman" w:cs="Arial"/>
          <w:b/>
          <w:bCs/>
          <w:color w:val="000000"/>
          <w:spacing w:val="0"/>
          <w:lang w:val="en-ZA"/>
        </w:rPr>
        <w:t>-</w:t>
      </w:r>
      <w:r w:rsidRPr="002A232A">
        <w:rPr>
          <w:rFonts w:eastAsia="Times New Roman" w:cs="Arial"/>
          <w:b/>
          <w:bCs/>
          <w:color w:val="000000"/>
          <w:spacing w:val="0"/>
          <w:lang w:val="en-ZA"/>
        </w:rPr>
        <w:t>TB treatment</w:t>
      </w:r>
    </w:p>
    <w:p w14:paraId="053B6AF6" w14:textId="77777777" w:rsidR="002A232A" w:rsidRPr="002A232A" w:rsidRDefault="002A232A" w:rsidP="002A232A">
      <w:pPr>
        <w:spacing w:before="0" w:after="0"/>
        <w:rPr>
          <w:rFonts w:eastAsia="Times New Roman" w:cs="Arial"/>
          <w:bCs/>
          <w:color w:val="000000"/>
          <w:spacing w:val="0"/>
          <w:sz w:val="6"/>
          <w:szCs w:val="10"/>
          <w:lang w:val="en-ZA"/>
        </w:rPr>
      </w:pPr>
    </w:p>
    <w:p w14:paraId="53830953" w14:textId="57E7EC6F" w:rsidR="002A232A" w:rsidRPr="002A232A" w:rsidRDefault="002A232A" w:rsidP="002A232A">
      <w:pPr>
        <w:spacing w:before="0" w:after="0"/>
        <w:rPr>
          <w:rFonts w:eastAsia="Times New Roman" w:cs="Arial"/>
          <w:bCs/>
          <w:color w:val="000000"/>
          <w:spacing w:val="0"/>
          <w:lang w:val="en-ZA"/>
        </w:rPr>
      </w:pPr>
      <w:r w:rsidRPr="002A232A">
        <w:rPr>
          <w:rFonts w:eastAsia="Times New Roman" w:cs="Arial"/>
          <w:bCs/>
          <w:color w:val="000000"/>
          <w:spacing w:val="0"/>
          <w:lang w:val="en-ZA"/>
        </w:rPr>
        <w:t>Patients with XDR</w:t>
      </w:r>
      <w:r w:rsidR="008703C2">
        <w:rPr>
          <w:rFonts w:eastAsia="Times New Roman" w:cs="Arial"/>
          <w:bCs/>
          <w:color w:val="000000"/>
          <w:spacing w:val="0"/>
          <w:lang w:val="en-ZA"/>
        </w:rPr>
        <w:t>-</w:t>
      </w:r>
      <w:r w:rsidRPr="002A232A">
        <w:rPr>
          <w:rFonts w:eastAsia="Times New Roman" w:cs="Arial"/>
          <w:bCs/>
          <w:color w:val="000000"/>
          <w:spacing w:val="0"/>
          <w:lang w:val="en-ZA"/>
        </w:rPr>
        <w:t xml:space="preserve">TB should be discussed with the National Clinical Advisory Committee (NCAC - </w:t>
      </w:r>
      <w:hyperlink r:id="rId15" w:history="1">
        <w:r w:rsidRPr="00801F2D">
          <w:rPr>
            <w:rStyle w:val="Hyperlink"/>
            <w:rFonts w:eastAsia="Times New Roman" w:cs="Arial"/>
            <w:bCs/>
            <w:spacing w:val="0"/>
            <w:lang w:val="en-ZA"/>
          </w:rPr>
          <w:t>NCAC@witshealth.co.za</w:t>
        </w:r>
      </w:hyperlink>
      <w:r w:rsidRPr="002A232A">
        <w:rPr>
          <w:rFonts w:eastAsia="Times New Roman" w:cs="Arial"/>
          <w:bCs/>
          <w:color w:val="000000"/>
          <w:spacing w:val="0"/>
          <w:lang w:val="en-ZA"/>
        </w:rPr>
        <w:t xml:space="preserve">) and referred to a TB hospital for an individualised regimen of at least 4 effective medicines, based on susceptibility tests </w:t>
      </w:r>
      <w:r w:rsidRPr="002A232A">
        <w:rPr>
          <w:rFonts w:eastAsia="Times New Roman" w:cs="Arial"/>
          <w:bCs/>
          <w:color w:val="000000"/>
          <w:spacing w:val="0"/>
          <w:lang w:val="en-ZA"/>
        </w:rPr>
        <w:lastRenderedPageBreak/>
        <w:t>and treatment history. Infection control to prevent airborne transmission is essential to prevent nosocomial transmission.</w:t>
      </w:r>
    </w:p>
    <w:p w14:paraId="419FAE1C" w14:textId="77777777" w:rsidR="003B612F" w:rsidRDefault="003B612F" w:rsidP="003B612F">
      <w:pPr>
        <w:keepNext/>
        <w:spacing w:before="0" w:after="0"/>
        <w:jc w:val="left"/>
        <w:outlineLvl w:val="4"/>
        <w:rPr>
          <w:rFonts w:eastAsia="Calibri" w:cs="Times New Roman"/>
          <w:b/>
          <w:bCs/>
          <w:caps/>
          <w:sz w:val="20"/>
        </w:rPr>
      </w:pPr>
    </w:p>
    <w:p w14:paraId="0136C382" w14:textId="77777777" w:rsidR="00C24E99" w:rsidRPr="00C24E99" w:rsidRDefault="00C24E99" w:rsidP="003B612F">
      <w:pPr>
        <w:keepNext/>
        <w:spacing w:before="0" w:after="0"/>
        <w:jc w:val="left"/>
        <w:outlineLvl w:val="4"/>
        <w:rPr>
          <w:rFonts w:eastAsia="Calibri" w:cs="Times New Roman"/>
          <w:b/>
          <w:bCs/>
          <w:caps/>
          <w:sz w:val="20"/>
        </w:rPr>
      </w:pPr>
      <w:r w:rsidRPr="00C24E99">
        <w:rPr>
          <w:rFonts w:eastAsia="Calibri" w:cs="Times New Roman"/>
          <w:b/>
          <w:bCs/>
          <w:caps/>
          <w:sz w:val="20"/>
        </w:rPr>
        <w:t>REFERRAL</w:t>
      </w:r>
    </w:p>
    <w:p w14:paraId="682D5AC9" w14:textId="63EAA664" w:rsidR="00825CCE" w:rsidRDefault="00825CCE" w:rsidP="003B612F">
      <w:pPr>
        <w:pStyle w:val="Heading5"/>
        <w:spacing w:before="0"/>
      </w:pPr>
      <w:r w:rsidRPr="00825CCE">
        <w:rPr>
          <w:rFonts w:eastAsia="Calibri" w:cs="Times New Roman"/>
          <w:b w:val="0"/>
          <w:bCs w:val="0"/>
          <w:caps w:val="0"/>
          <w:sz w:val="18"/>
          <w:lang w:val="en-ZA"/>
        </w:rPr>
        <w:t>All drug resistant TB patients to medical officer at primary care level for initiation of therapy.</w:t>
      </w:r>
    </w:p>
    <w:p w14:paraId="349346FA" w14:textId="762EB0E8" w:rsidR="00FF01A9" w:rsidRDefault="00FF01A9" w:rsidP="00034F96">
      <w:pPr>
        <w:pStyle w:val="ListParagraph"/>
        <w:numPr>
          <w:ilvl w:val="0"/>
          <w:numId w:val="0"/>
        </w:numPr>
        <w:ind w:left="284"/>
      </w:pPr>
    </w:p>
    <w:p w14:paraId="4C4F1983" w14:textId="77777777" w:rsidR="002F201F" w:rsidRDefault="002F201F" w:rsidP="00034F96">
      <w:pPr>
        <w:pStyle w:val="ListParagraph"/>
        <w:numPr>
          <w:ilvl w:val="0"/>
          <w:numId w:val="0"/>
        </w:numPr>
        <w:ind w:left="284"/>
      </w:pPr>
    </w:p>
    <w:p w14:paraId="11929707" w14:textId="77777777" w:rsidR="002F201F" w:rsidRPr="001F4BAA" w:rsidRDefault="002F201F" w:rsidP="00034F96">
      <w:pPr>
        <w:pStyle w:val="ListParagraph"/>
        <w:numPr>
          <w:ilvl w:val="0"/>
          <w:numId w:val="0"/>
        </w:numPr>
        <w:ind w:left="284"/>
      </w:pPr>
    </w:p>
    <w:p w14:paraId="695028A4" w14:textId="3F86077C" w:rsidR="00FF01A9" w:rsidRPr="00F15673" w:rsidRDefault="00825CCE" w:rsidP="00F15673">
      <w:pPr>
        <w:pStyle w:val="Heading4"/>
      </w:pPr>
      <w:bookmarkStart w:id="103" w:name="_Toc177054050"/>
      <w:r>
        <w:t>RIFAMPICIN</w:t>
      </w:r>
      <w:r w:rsidR="004807DA" w:rsidRPr="00F15673">
        <w:t xml:space="preserve">-resistant </w:t>
      </w:r>
      <w:r>
        <w:t xml:space="preserve">(RR), PRE-XDR AND XDR </w:t>
      </w:r>
      <w:r w:rsidR="004807DA" w:rsidRPr="00F15673">
        <w:t>tuberculosis</w:t>
      </w:r>
      <w:r w:rsidR="00FF01A9" w:rsidRPr="00F15673">
        <w:t>,</w:t>
      </w:r>
      <w:r w:rsidR="004807DA" w:rsidRPr="00F15673">
        <w:t xml:space="preserve"> in children</w:t>
      </w:r>
      <w:bookmarkEnd w:id="103"/>
      <w:r w:rsidR="00F14C7D">
        <w:fldChar w:fldCharType="begin"/>
      </w:r>
      <w:r w:rsidR="00F14C7D">
        <w:instrText xml:space="preserve"> XE "</w:instrText>
      </w:r>
      <w:r w:rsidR="00F14C7D" w:rsidRPr="004A0AEB">
        <w:instrText>Multidrug-resistant tuberculosis (MDR TB), in children</w:instrText>
      </w:r>
      <w:r w:rsidR="00F14C7D">
        <w:instrText xml:space="preserve">" </w:instrText>
      </w:r>
      <w:r w:rsidR="00F14C7D">
        <w:fldChar w:fldCharType="end"/>
      </w:r>
    </w:p>
    <w:p w14:paraId="0997BB4E" w14:textId="75E3358A" w:rsidR="00A40638" w:rsidRPr="001F4BAA" w:rsidRDefault="00A40638" w:rsidP="002344FD">
      <w:pPr>
        <w:pStyle w:val="ICD10"/>
        <w:shd w:val="clear" w:color="auto" w:fill="F2F2F2" w:themeFill="background1" w:themeFillShade="F2"/>
        <w:tabs>
          <w:tab w:val="left" w:pos="2753"/>
        </w:tabs>
      </w:pPr>
      <w:r w:rsidRPr="001F4BAA">
        <w:t>A15.0-3/A15.7-8/A16.0-2/A16.7-8 + (U50.00-01</w:t>
      </w:r>
      <w:r>
        <w:t>+U50.20-21</w:t>
      </w:r>
      <w:r w:rsidRPr="001F4BAA">
        <w:t>)</w:t>
      </w:r>
      <w:r w:rsidR="001B2896">
        <w:t xml:space="preserve"> + (</w:t>
      </w:r>
      <w:r w:rsidR="001B2896" w:rsidRPr="001F4BAA">
        <w:t>B20.0</w:t>
      </w:r>
      <w:r w:rsidR="001B2896">
        <w:t>)</w:t>
      </w:r>
    </w:p>
    <w:p w14:paraId="79565A4A" w14:textId="74E963D7" w:rsidR="002D51F3" w:rsidRPr="00C82720" w:rsidRDefault="002D51F3" w:rsidP="002D51F3">
      <w:pPr>
        <w:pStyle w:val="Centeredbox"/>
        <w:rPr>
          <w:rStyle w:val="Strong"/>
        </w:rPr>
      </w:pPr>
      <w:r w:rsidRPr="00C82720">
        <w:rPr>
          <w:rStyle w:val="Strong"/>
        </w:rPr>
        <w:t xml:space="preserve">Never treat for </w:t>
      </w:r>
      <w:r w:rsidR="00825CCE">
        <w:rPr>
          <w:rStyle w:val="Strong"/>
        </w:rPr>
        <w:t>drug resistant</w:t>
      </w:r>
      <w:r w:rsidRPr="00C82720">
        <w:rPr>
          <w:rStyle w:val="Strong"/>
        </w:rPr>
        <w:t xml:space="preserve"> TB without laboratory confirmation, either by molecular or phenotypic (culture and sensitivity) results.</w:t>
      </w:r>
      <w:r w:rsidRPr="00C82720">
        <w:rPr>
          <w:rStyle w:val="Strong"/>
        </w:rPr>
        <w:br/>
        <w:t xml:space="preserve">All cases should be discussed with a designated specialist </w:t>
      </w:r>
      <w:r w:rsidR="00825CCE">
        <w:rPr>
          <w:rStyle w:val="Strong"/>
        </w:rPr>
        <w:t xml:space="preserve">drug resistant TB </w:t>
      </w:r>
      <w:r w:rsidRPr="00C82720">
        <w:rPr>
          <w:rStyle w:val="Strong"/>
        </w:rPr>
        <w:t>centre</w:t>
      </w:r>
      <w:r w:rsidR="00825CCE">
        <w:rPr>
          <w:rStyle w:val="Strong"/>
        </w:rPr>
        <w:t>.</w:t>
      </w:r>
      <w:r w:rsidRPr="00C82720">
        <w:rPr>
          <w:rStyle w:val="Strong"/>
        </w:rPr>
        <w:t xml:space="preserve"> </w:t>
      </w:r>
    </w:p>
    <w:p w14:paraId="3F1093C0" w14:textId="77777777" w:rsidR="00FF01A9" w:rsidRPr="001F4BAA" w:rsidRDefault="00FF01A9" w:rsidP="00F15673">
      <w:pPr>
        <w:pStyle w:val="Heading5"/>
      </w:pPr>
      <w:r w:rsidRPr="001F4BAA">
        <w:t>GENERAL MEASURES</w:t>
      </w:r>
    </w:p>
    <w:p w14:paraId="7A00F67A" w14:textId="25589FBA" w:rsidR="00FF01A9" w:rsidRPr="001F4BAA" w:rsidRDefault="00FF01A9" w:rsidP="00FF01A9">
      <w:pPr>
        <w:pStyle w:val="NoSpacing"/>
      </w:pPr>
      <w:r w:rsidRPr="001F4BAA">
        <w:t xml:space="preserve">Suspect </w:t>
      </w:r>
      <w:r w:rsidR="00825CCE">
        <w:t>drug-resistant</w:t>
      </w:r>
      <w:r w:rsidR="005E64EE">
        <w:t xml:space="preserve"> TB </w:t>
      </w:r>
      <w:r w:rsidRPr="001F4BAA">
        <w:t>when any of the features listed below is present:</w:t>
      </w:r>
    </w:p>
    <w:p w14:paraId="11FC9C56" w14:textId="77777777" w:rsidR="00FF01A9" w:rsidRPr="001F4BAA" w:rsidRDefault="00FF01A9" w:rsidP="002D51F3">
      <w:pPr>
        <w:pStyle w:val="ListParagraph"/>
      </w:pPr>
      <w:r w:rsidRPr="001F4BAA">
        <w:t>A known source case (or contact) with drug resistant TB or high-risk source case, e.g. on TB therapy who was recently released from prison.</w:t>
      </w:r>
    </w:p>
    <w:p w14:paraId="23064604" w14:textId="5A292625" w:rsidR="00FF01A9" w:rsidRPr="001F4BAA" w:rsidRDefault="00FF01A9" w:rsidP="002D51F3">
      <w:pPr>
        <w:pStyle w:val="ListParagraph"/>
      </w:pPr>
      <w:r w:rsidRPr="001F4BAA">
        <w:t xml:space="preserve">A </w:t>
      </w:r>
      <w:r w:rsidR="00825CCE">
        <w:t xml:space="preserve">patient </w:t>
      </w:r>
      <w:r w:rsidR="0023096F">
        <w:t xml:space="preserve">with confirmed treatment adherence that </w:t>
      </w:r>
      <w:r w:rsidR="00825CCE">
        <w:t xml:space="preserve">remains </w:t>
      </w:r>
      <w:r w:rsidRPr="001F4BAA">
        <w:t xml:space="preserve">smear positive after 2 months </w:t>
      </w:r>
      <w:r w:rsidR="00825CCE">
        <w:t>of 1</w:t>
      </w:r>
      <w:r w:rsidR="00825CCE" w:rsidRPr="00825CCE">
        <w:rPr>
          <w:vertAlign w:val="superscript"/>
        </w:rPr>
        <w:t>st</w:t>
      </w:r>
      <w:r w:rsidR="00825CCE">
        <w:t xml:space="preserve"> line </w:t>
      </w:r>
      <w:r w:rsidRPr="001F4BAA">
        <w:t>TB treatment</w:t>
      </w:r>
      <w:r w:rsidR="00553289">
        <w:t>.</w:t>
      </w:r>
    </w:p>
    <w:p w14:paraId="42B8D8D3" w14:textId="5B01B21D" w:rsidR="00FF01A9" w:rsidRPr="001F4BAA" w:rsidRDefault="00FF01A9" w:rsidP="002D51F3">
      <w:pPr>
        <w:pStyle w:val="ListParagraph"/>
      </w:pPr>
      <w:r w:rsidRPr="001F4BAA">
        <w:t xml:space="preserve">Any severely ill child with TB who failed </w:t>
      </w:r>
      <w:r w:rsidR="00825CCE">
        <w:t>to improve</w:t>
      </w:r>
      <w:r w:rsidR="00F86AEA">
        <w:t>,</w:t>
      </w:r>
      <w:r w:rsidR="00825CCE">
        <w:t xml:space="preserve"> </w:t>
      </w:r>
      <w:r w:rsidRPr="001F4BAA">
        <w:t>or got worse on TB treatment.</w:t>
      </w:r>
    </w:p>
    <w:p w14:paraId="4862FA88" w14:textId="776632C4" w:rsidR="00FF01A9" w:rsidRPr="001F4BAA" w:rsidRDefault="00FF01A9" w:rsidP="002D51F3">
      <w:pPr>
        <w:pStyle w:val="ListParagraph"/>
      </w:pPr>
      <w:r w:rsidRPr="001F4BAA">
        <w:t>Patients who defaulted TB treatment (</w:t>
      </w:r>
      <w:r w:rsidR="007277E7">
        <w:t>&gt;</w:t>
      </w:r>
      <w:r w:rsidRPr="001F4BAA">
        <w:t>2 months).</w:t>
      </w:r>
    </w:p>
    <w:p w14:paraId="1832121E" w14:textId="26B67E3E" w:rsidR="00FF01A9" w:rsidRPr="001F4BAA" w:rsidRDefault="00CB057C" w:rsidP="002D51F3">
      <w:pPr>
        <w:pStyle w:val="ListParagraph"/>
      </w:pPr>
      <w:r>
        <w:t>History of t</w:t>
      </w:r>
      <w:r w:rsidR="00FF01A9" w:rsidRPr="001F4BAA">
        <w:t>reatment interruption (</w:t>
      </w:r>
      <w:r w:rsidR="007277E7">
        <w:t>&lt;</w:t>
      </w:r>
      <w:r w:rsidR="00FF01A9" w:rsidRPr="001F4BAA">
        <w:t xml:space="preserve">1 month) or relapse </w:t>
      </w:r>
      <w:r w:rsidR="00374972">
        <w:t xml:space="preserve">at some point </w:t>
      </w:r>
      <w:r w:rsidR="00005AFA">
        <w:t xml:space="preserve">during </w:t>
      </w:r>
      <w:r w:rsidR="00374972">
        <w:t xml:space="preserve">their </w:t>
      </w:r>
      <w:r w:rsidR="00FF01A9" w:rsidRPr="001F4BAA">
        <w:t xml:space="preserve">TB </w:t>
      </w:r>
      <w:r w:rsidR="00005AFA">
        <w:t>therapy</w:t>
      </w:r>
      <w:r w:rsidR="004B7B09">
        <w:t>.</w:t>
      </w:r>
    </w:p>
    <w:p w14:paraId="262CA9FB" w14:textId="01DF50D3" w:rsidR="00336FB8" w:rsidRPr="001F4BAA" w:rsidRDefault="00FF01A9" w:rsidP="002E33F3">
      <w:pPr>
        <w:pStyle w:val="ListParagraph"/>
      </w:pPr>
      <w:r w:rsidRPr="001F4BAA">
        <w:t>With recurrent TB disease after completion of TB treatment (re</w:t>
      </w:r>
      <w:r w:rsidR="00FB3AEB">
        <w:t>-</w:t>
      </w:r>
      <w:r w:rsidRPr="001F4BAA">
        <w:t>treatment case).</w:t>
      </w:r>
    </w:p>
    <w:p w14:paraId="42295A2B" w14:textId="77777777" w:rsidR="002E33F3" w:rsidRDefault="002E33F3" w:rsidP="00FF01A9">
      <w:pPr>
        <w:pStyle w:val="NoSpacing"/>
        <w:rPr>
          <w:rFonts w:eastAsia="Times New Roman" w:cs="Arial"/>
          <w:bCs/>
          <w:color w:val="000000"/>
          <w:spacing w:val="-2"/>
        </w:rPr>
      </w:pPr>
    </w:p>
    <w:p w14:paraId="1ECE1303" w14:textId="2C5B35BD" w:rsidR="00FF01A9" w:rsidRDefault="00825CCE" w:rsidP="00FF01A9">
      <w:pPr>
        <w:pStyle w:val="NoSpacing"/>
      </w:pPr>
      <w:r w:rsidRPr="00FE5617">
        <w:rPr>
          <w:rFonts w:eastAsia="Times New Roman" w:cs="Arial"/>
          <w:bCs/>
          <w:color w:val="000000"/>
          <w:spacing w:val="-2"/>
        </w:rPr>
        <w:t xml:space="preserve">Management of </w:t>
      </w:r>
      <w:r>
        <w:rPr>
          <w:rFonts w:eastAsia="Times New Roman" w:cs="Arial"/>
          <w:bCs/>
          <w:color w:val="000000"/>
          <w:spacing w:val="-2"/>
        </w:rPr>
        <w:t>drug resistant</w:t>
      </w:r>
      <w:r w:rsidRPr="00FE5617">
        <w:rPr>
          <w:rFonts w:eastAsia="Times New Roman" w:cs="Arial"/>
          <w:bCs/>
          <w:color w:val="000000"/>
          <w:spacing w:val="-2"/>
        </w:rPr>
        <w:t xml:space="preserve"> TB should be conducted in dedicated </w:t>
      </w:r>
      <w:r>
        <w:rPr>
          <w:rFonts w:eastAsia="Times New Roman" w:cs="Arial"/>
          <w:bCs/>
          <w:color w:val="000000"/>
          <w:spacing w:val="-2"/>
        </w:rPr>
        <w:t>drug resistant</w:t>
      </w:r>
      <w:r w:rsidRPr="00FE5617">
        <w:rPr>
          <w:rFonts w:eastAsia="Times New Roman" w:cs="Arial"/>
          <w:bCs/>
          <w:color w:val="000000"/>
          <w:spacing w:val="-2"/>
        </w:rPr>
        <w:t xml:space="preserve"> TB clinics and hospitals with appropriate infection control measures</w:t>
      </w:r>
      <w:r w:rsidR="00005AFA">
        <w:rPr>
          <w:rFonts w:eastAsia="Times New Roman" w:cs="Arial"/>
          <w:bCs/>
          <w:color w:val="000000"/>
          <w:spacing w:val="-2"/>
        </w:rPr>
        <w:t>.</w:t>
      </w:r>
      <w:r w:rsidRPr="001F4BAA">
        <w:t xml:space="preserve"> </w:t>
      </w:r>
      <w:r w:rsidR="00FF01A9" w:rsidRPr="001F4BAA">
        <w:t>Initiate treatment in consultation with a designated expert. An uninterrupted medicine supply, direct supervision with proper education and counselling is necessary.</w:t>
      </w:r>
    </w:p>
    <w:p w14:paraId="46C50B9D" w14:textId="77777777" w:rsidR="00005AFA" w:rsidRPr="001F4BAA" w:rsidRDefault="00005AFA" w:rsidP="00FF01A9">
      <w:pPr>
        <w:pStyle w:val="NoSpacing"/>
      </w:pPr>
    </w:p>
    <w:p w14:paraId="6735793F" w14:textId="77777777" w:rsidR="00FF01A9" w:rsidRPr="001F4BAA" w:rsidRDefault="00FF01A9" w:rsidP="00F15673">
      <w:pPr>
        <w:pStyle w:val="Heading5"/>
      </w:pPr>
      <w:r w:rsidRPr="001F4BAA">
        <w:t>REFERRAL</w:t>
      </w:r>
    </w:p>
    <w:p w14:paraId="589C92A8" w14:textId="77777777" w:rsidR="00825CCE" w:rsidRPr="00825CCE" w:rsidRDefault="00FF01A9" w:rsidP="00825CCE">
      <w:pPr>
        <w:spacing w:after="0"/>
        <w:rPr>
          <w:rFonts w:eastAsia="Calibri" w:cs="Times New Roman"/>
          <w:lang w:val="en-ZA"/>
        </w:rPr>
      </w:pPr>
      <w:r w:rsidRPr="001F4BAA">
        <w:t>All children</w:t>
      </w:r>
      <w:r w:rsidR="00825CCE">
        <w:t xml:space="preserve"> </w:t>
      </w:r>
      <w:r w:rsidR="00825CCE" w:rsidRPr="00825CCE">
        <w:rPr>
          <w:rFonts w:eastAsia="Calibri" w:cs="Times New Roman"/>
          <w:lang w:val="en-ZA"/>
        </w:rPr>
        <w:t>with suspected drug resistant TB to a medical officer at primary care level for initiation of therapy.</w:t>
      </w:r>
    </w:p>
    <w:p w14:paraId="5E0F1D55" w14:textId="62FFCF02" w:rsidR="006C26B1" w:rsidRPr="00A97762" w:rsidRDefault="006C26B1" w:rsidP="00FF01A9">
      <w:pPr>
        <w:pStyle w:val="NoSpacing"/>
      </w:pPr>
    </w:p>
    <w:bookmarkEnd w:id="6"/>
    <w:p w14:paraId="6A9CE32F" w14:textId="677646D7" w:rsidR="00DE7455" w:rsidRDefault="00DE7455" w:rsidP="00FF01A9">
      <w:pPr>
        <w:pStyle w:val="NoSpacing"/>
      </w:pPr>
    </w:p>
    <w:p w14:paraId="46DE4D01" w14:textId="77777777" w:rsidR="00223C3D" w:rsidRDefault="00223C3D" w:rsidP="00FF01A9">
      <w:pPr>
        <w:pStyle w:val="NoSpacing"/>
      </w:pPr>
    </w:p>
    <w:p w14:paraId="151F7B52" w14:textId="77777777" w:rsidR="00223C3D" w:rsidRDefault="00223C3D" w:rsidP="00FF01A9">
      <w:pPr>
        <w:pStyle w:val="NoSpacing"/>
      </w:pPr>
    </w:p>
    <w:p w14:paraId="44309C7E" w14:textId="77777777" w:rsidR="00223C3D" w:rsidRDefault="00223C3D" w:rsidP="00FF01A9">
      <w:pPr>
        <w:pStyle w:val="NoSpacing"/>
      </w:pPr>
    </w:p>
    <w:p w14:paraId="7BDDCE0D" w14:textId="77777777" w:rsidR="00223C3D" w:rsidRDefault="00223C3D" w:rsidP="00FF01A9">
      <w:pPr>
        <w:pStyle w:val="NoSpacing"/>
      </w:pPr>
    </w:p>
    <w:p w14:paraId="298148E7" w14:textId="77777777" w:rsidR="00223C3D" w:rsidRPr="008F4CA0" w:rsidRDefault="00223C3D" w:rsidP="00FF01A9">
      <w:pPr>
        <w:pStyle w:val="NoSpacing"/>
      </w:pPr>
    </w:p>
    <w:sectPr w:rsidR="00223C3D" w:rsidRPr="008F4CA0" w:rsidSect="006A5A00">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8391" w:h="11906" w:code="11"/>
      <w:pgMar w:top="851" w:right="851" w:bottom="851" w:left="851" w:header="709" w:footer="709"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4145" w14:textId="77777777" w:rsidR="00A75121" w:rsidRPr="006C0A38" w:rsidRDefault="00A75121" w:rsidP="00AD1B9A">
      <w:pPr>
        <w:rPr>
          <w:b/>
          <w:bCs/>
          <w:sz w:val="12"/>
          <w:szCs w:val="12"/>
          <w:lang w:val="en-ZA"/>
        </w:rPr>
      </w:pPr>
      <w:r w:rsidRPr="006C0A38">
        <w:rPr>
          <w:b/>
          <w:bCs/>
          <w:sz w:val="12"/>
          <w:szCs w:val="12"/>
          <w:lang w:val="en-ZA"/>
        </w:rPr>
        <w:t>References:</w:t>
      </w:r>
    </w:p>
  </w:endnote>
  <w:endnote w:type="continuationSeparator" w:id="0">
    <w:p w14:paraId="660B6F57" w14:textId="77777777" w:rsidR="00A75121" w:rsidRPr="006C0A38" w:rsidRDefault="00A75121" w:rsidP="006C0A38">
      <w:pPr>
        <w:pStyle w:val="Footer"/>
        <w:pBdr>
          <w:top w:val="none" w:sz="0" w:space="0" w:color="auto"/>
        </w:pBdr>
        <w:rPr>
          <w:sz w:val="12"/>
          <w:szCs w:val="12"/>
        </w:rPr>
      </w:pPr>
    </w:p>
  </w:endnote>
  <w:endnote w:type="continuationNotice" w:id="1">
    <w:p w14:paraId="2DED9086" w14:textId="77777777" w:rsidR="00A75121" w:rsidRPr="006C0A38" w:rsidRDefault="00A75121">
      <w:pPr>
        <w:spacing w:before="0" w:after="0"/>
        <w:rPr>
          <w:sz w:val="12"/>
          <w:szCs w:val="12"/>
        </w:rPr>
      </w:pPr>
    </w:p>
  </w:endnote>
  <w:endnote w:id="2">
    <w:p w14:paraId="025B3EE5" w14:textId="77777777" w:rsidR="008C4800" w:rsidRPr="00357CF3" w:rsidRDefault="008C4800" w:rsidP="006135F7">
      <w:pPr>
        <w:pStyle w:val="EndnoteText"/>
        <w:jc w:val="both"/>
        <w:rPr>
          <w:szCs w:val="12"/>
          <w:lang w:val="en-ZA"/>
        </w:rPr>
      </w:pPr>
      <w:r w:rsidRPr="00357CF3">
        <w:rPr>
          <w:rStyle w:val="EndnoteReference"/>
        </w:rPr>
        <w:endnoteRef/>
      </w:r>
      <w:r w:rsidRPr="00357CF3">
        <w:rPr>
          <w:szCs w:val="12"/>
          <w:lang w:val="en-ZA"/>
        </w:rPr>
        <w:tab/>
      </w:r>
      <w:r w:rsidRPr="008E7E44">
        <w:rPr>
          <w:szCs w:val="12"/>
        </w:rPr>
        <w:t xml:space="preserve">D'Amato G, Vitale C, Lanza M, et al. Near fatal asthma: treatment and prevention. </w:t>
      </w:r>
      <w:r w:rsidRPr="008E7E44">
        <w:rPr>
          <w:i/>
          <w:iCs/>
          <w:szCs w:val="12"/>
        </w:rPr>
        <w:t>Eur Ann Allergy Clin Immunol. 2016;48(4):116-122</w:t>
      </w:r>
    </w:p>
  </w:endnote>
  <w:endnote w:id="3">
    <w:p w14:paraId="14C5FCA0" w14:textId="77777777" w:rsidR="008C4800" w:rsidRPr="00357CF3" w:rsidRDefault="008C4800" w:rsidP="00306BFF">
      <w:pPr>
        <w:pStyle w:val="EndnoteText"/>
        <w:jc w:val="both"/>
        <w:rPr>
          <w:szCs w:val="12"/>
          <w:lang w:val="en-ZA"/>
        </w:rPr>
      </w:pPr>
      <w:r w:rsidRPr="00357CF3">
        <w:rPr>
          <w:rStyle w:val="EndnoteReference"/>
        </w:rPr>
        <w:endnoteRef/>
      </w:r>
      <w:r w:rsidRPr="00357CF3">
        <w:rPr>
          <w:szCs w:val="12"/>
          <w:lang w:val="en-ZA"/>
        </w:rPr>
        <w:tab/>
        <w:t>Salbutamol MDI (</w:t>
      </w:r>
      <w:r>
        <w:rPr>
          <w:szCs w:val="12"/>
          <w:lang w:val="en-ZA"/>
        </w:rPr>
        <w:t xml:space="preserve">dose in </w:t>
      </w:r>
      <w:r w:rsidRPr="00357CF3">
        <w:rPr>
          <w:szCs w:val="12"/>
          <w:lang w:val="en-ZA"/>
        </w:rPr>
        <w:t>adults</w:t>
      </w:r>
      <w:r>
        <w:rPr>
          <w:szCs w:val="12"/>
          <w:lang w:val="en-ZA"/>
        </w:rPr>
        <w:t xml:space="preserve"> and children):  SAMF 14</w:t>
      </w:r>
      <w:r w:rsidRPr="005B479F">
        <w:rPr>
          <w:szCs w:val="12"/>
          <w:vertAlign w:val="superscript"/>
          <w:lang w:val="en-ZA"/>
        </w:rPr>
        <w:t>th</w:t>
      </w:r>
      <w:r>
        <w:rPr>
          <w:szCs w:val="12"/>
          <w:lang w:val="en-ZA"/>
        </w:rPr>
        <w:t xml:space="preserve"> Edition</w:t>
      </w:r>
      <w:r w:rsidRPr="00357CF3">
        <w:rPr>
          <w:szCs w:val="12"/>
          <w:lang w:val="en-ZA"/>
        </w:rPr>
        <w:t xml:space="preserve"> </w:t>
      </w:r>
    </w:p>
  </w:endnote>
  <w:endnote w:id="4">
    <w:p w14:paraId="0A793243" w14:textId="77777777" w:rsidR="008C4800" w:rsidRPr="00357CF3" w:rsidRDefault="008C4800" w:rsidP="00306BFF">
      <w:pPr>
        <w:pStyle w:val="EndnoteText"/>
        <w:jc w:val="both"/>
        <w:rPr>
          <w:rFonts w:eastAsia="Calibri"/>
          <w:szCs w:val="12"/>
          <w:lang w:val="en-ZA"/>
        </w:rPr>
      </w:pPr>
      <w:r w:rsidRPr="00357CF3">
        <w:rPr>
          <w:rStyle w:val="EndnoteReference"/>
        </w:rPr>
        <w:endnoteRef/>
      </w:r>
      <w:r w:rsidRPr="00357CF3">
        <w:rPr>
          <w:szCs w:val="12"/>
        </w:rPr>
        <w:t xml:space="preserve"> 6 breaths:  Levin ME.  Optimal aerosol delivery.  Current Allergy &amp; Clinical Immunology.  2011; 24(1):27-30</w:t>
      </w:r>
    </w:p>
  </w:endnote>
  <w:endnote w:id="5">
    <w:p w14:paraId="537AEF81" w14:textId="77777777" w:rsidR="008C4800" w:rsidRPr="00357CF3" w:rsidRDefault="008C4800" w:rsidP="00306BFF">
      <w:pPr>
        <w:pStyle w:val="EndnoteText"/>
        <w:jc w:val="both"/>
        <w:rPr>
          <w:szCs w:val="12"/>
          <w:lang w:val="en-ZA"/>
        </w:rPr>
      </w:pPr>
      <w:r w:rsidRPr="00357CF3">
        <w:rPr>
          <w:rStyle w:val="EndnoteReference"/>
        </w:rPr>
        <w:endnoteRef/>
      </w:r>
      <w:r w:rsidRPr="00357CF3">
        <w:rPr>
          <w:szCs w:val="12"/>
          <w:lang w:val="en-ZA"/>
        </w:rPr>
        <w:tab/>
        <w:t xml:space="preserve">Salbutamol nebulisation (paediatrics): National Department of Health, Essential Drugs Programme: Paediatric Hospital Level STGs and EML, 2017. </w:t>
      </w:r>
      <w:hyperlink r:id="rId1" w:history="1">
        <w:r w:rsidRPr="00357CF3">
          <w:rPr>
            <w:rStyle w:val="Hyperlink"/>
            <w:szCs w:val="12"/>
            <w:lang w:val="en-ZA"/>
          </w:rPr>
          <w:t>http://www.health.gov.za/</w:t>
        </w:r>
      </w:hyperlink>
      <w:r w:rsidRPr="00357CF3">
        <w:rPr>
          <w:szCs w:val="12"/>
          <w:lang w:val="en-ZA"/>
        </w:rPr>
        <w:t xml:space="preserve"> </w:t>
      </w:r>
    </w:p>
  </w:endnote>
  <w:endnote w:id="6">
    <w:p w14:paraId="2E42F7BD" w14:textId="77777777" w:rsidR="008C4800" w:rsidRPr="00357CF3" w:rsidRDefault="008C4800" w:rsidP="00306BFF">
      <w:pPr>
        <w:pStyle w:val="EndnoteText"/>
        <w:jc w:val="both"/>
        <w:rPr>
          <w:szCs w:val="12"/>
          <w:lang w:val="en-ZA"/>
        </w:rPr>
      </w:pPr>
      <w:r w:rsidRPr="00357CF3">
        <w:rPr>
          <w:rStyle w:val="EndnoteReference"/>
        </w:rPr>
        <w:endnoteRef/>
      </w:r>
      <w:r w:rsidRPr="00357CF3">
        <w:rPr>
          <w:szCs w:val="12"/>
        </w:rPr>
        <w:t xml:space="preserve"> </w:t>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2" w:history="1">
        <w:r w:rsidRPr="00357CF3">
          <w:rPr>
            <w:rStyle w:val="Hyperlink"/>
            <w:szCs w:val="12"/>
            <w:lang w:val="en-ZA" w:eastAsia="en-ZA"/>
          </w:rPr>
          <w:t>http://www.health.gov.za/</w:t>
        </w:r>
      </w:hyperlink>
      <w:r w:rsidRPr="00357CF3">
        <w:rPr>
          <w:szCs w:val="12"/>
          <w:lang w:val="en-ZA" w:eastAsia="en-ZA"/>
        </w:rPr>
        <w:t xml:space="preserve"> </w:t>
      </w:r>
    </w:p>
    <w:p w14:paraId="5A26D943" w14:textId="77777777" w:rsidR="008C4800" w:rsidRPr="00357CF3" w:rsidRDefault="008C4800" w:rsidP="00306BFF">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7">
    <w:p w14:paraId="5C0AD943" w14:textId="77777777" w:rsidR="008C4800" w:rsidRPr="00357CF3" w:rsidRDefault="008C4800" w:rsidP="005636C1">
      <w:pPr>
        <w:pStyle w:val="EndnoteText"/>
        <w:jc w:val="both"/>
        <w:rPr>
          <w:szCs w:val="12"/>
          <w:lang w:val="en-ZA"/>
        </w:rPr>
      </w:pPr>
      <w:r w:rsidRPr="00357CF3">
        <w:rPr>
          <w:rStyle w:val="EndnoteReference"/>
        </w:rPr>
        <w:endnoteRef/>
      </w:r>
      <w:r w:rsidRPr="00357CF3">
        <w:rPr>
          <w:szCs w:val="12"/>
          <w:lang w:val="en-ZA"/>
        </w:rPr>
        <w:tab/>
        <w:t xml:space="preserve">Ipratropium bromide nebulisation (paediatrics): </w:t>
      </w:r>
      <w:r w:rsidRPr="00357CF3">
        <w:rPr>
          <w:szCs w:val="12"/>
        </w:rPr>
        <w:t xml:space="preserve">Kling S, Zar HJ, Levin ME, Green RJ, Jeena PM, Risenga SM, Thula SA ,Goussard P, Gie RP, for the South African Childhood Asthma Working Group (SACAWG)S Afr Med J 2013;103(3):199-207. </w:t>
      </w:r>
      <w:hyperlink r:id="rId3" w:history="1">
        <w:r w:rsidRPr="00357CF3">
          <w:rPr>
            <w:rStyle w:val="Hyperlink"/>
            <w:szCs w:val="12"/>
          </w:rPr>
          <w:t>http://www.samj.org.za/index.php/samj/article/view/6658</w:t>
        </w:r>
      </w:hyperlink>
      <w:r w:rsidRPr="00357CF3">
        <w:rPr>
          <w:szCs w:val="12"/>
        </w:rPr>
        <w:t xml:space="preserve"> </w:t>
      </w:r>
    </w:p>
  </w:endnote>
  <w:endnote w:id="8">
    <w:p w14:paraId="5A63E555" w14:textId="77777777" w:rsidR="008C4800" w:rsidRPr="00357CF3" w:rsidRDefault="008C4800" w:rsidP="00306BFF">
      <w:pPr>
        <w:pStyle w:val="EndnoteText"/>
        <w:jc w:val="both"/>
        <w:rPr>
          <w:szCs w:val="12"/>
          <w:lang w:val="en-ZA"/>
        </w:rPr>
      </w:pPr>
      <w:r w:rsidRPr="00357CF3">
        <w:rPr>
          <w:rStyle w:val="EndnoteReference"/>
        </w:rPr>
        <w:endnoteRef/>
      </w:r>
      <w:r w:rsidRPr="00357CF3">
        <w:rPr>
          <w:szCs w:val="12"/>
        </w:rPr>
        <w:t xml:space="preserve"> </w:t>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4" w:history="1">
        <w:r w:rsidRPr="00357CF3">
          <w:rPr>
            <w:rStyle w:val="Hyperlink"/>
            <w:szCs w:val="12"/>
            <w:lang w:val="en-ZA" w:eastAsia="en-ZA"/>
          </w:rPr>
          <w:t>http://www.health.gov.za/</w:t>
        </w:r>
      </w:hyperlink>
      <w:r w:rsidRPr="00357CF3">
        <w:rPr>
          <w:szCs w:val="12"/>
          <w:lang w:val="en-ZA" w:eastAsia="en-ZA"/>
        </w:rPr>
        <w:t xml:space="preserve"> </w:t>
      </w:r>
    </w:p>
    <w:p w14:paraId="4561E624" w14:textId="77777777" w:rsidR="008C4800" w:rsidRPr="00357CF3" w:rsidRDefault="008C4800" w:rsidP="00306BFF">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9">
    <w:p w14:paraId="0CCD1485" w14:textId="77777777" w:rsidR="008C4800" w:rsidRPr="00357CF3" w:rsidRDefault="008C4800" w:rsidP="00306BFF">
      <w:pPr>
        <w:pStyle w:val="EndnoteText"/>
        <w:jc w:val="both"/>
        <w:rPr>
          <w:szCs w:val="12"/>
          <w:lang w:val="en-ZA"/>
        </w:rPr>
      </w:pPr>
      <w:r w:rsidRPr="00357CF3">
        <w:rPr>
          <w:rStyle w:val="EndnoteReference"/>
        </w:rPr>
        <w:endnoteRef/>
      </w:r>
      <w:r w:rsidRPr="00357CF3">
        <w:rPr>
          <w:szCs w:val="12"/>
        </w:rPr>
        <w:t xml:space="preserve"> </w:t>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5" w:history="1">
        <w:r w:rsidRPr="00357CF3">
          <w:rPr>
            <w:rStyle w:val="Hyperlink"/>
            <w:szCs w:val="12"/>
            <w:lang w:val="en-ZA" w:eastAsia="en-ZA"/>
          </w:rPr>
          <w:t>http://www.health.gov.za/</w:t>
        </w:r>
      </w:hyperlink>
      <w:r w:rsidRPr="00357CF3">
        <w:rPr>
          <w:szCs w:val="12"/>
          <w:lang w:val="en-ZA" w:eastAsia="en-ZA"/>
        </w:rPr>
        <w:t xml:space="preserve"> </w:t>
      </w:r>
    </w:p>
    <w:p w14:paraId="3298F3E1" w14:textId="77777777" w:rsidR="008C4800" w:rsidRPr="00357CF3" w:rsidRDefault="008C4800" w:rsidP="00306BFF">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10">
    <w:p w14:paraId="7D2DE2EE" w14:textId="77777777" w:rsidR="008C4800" w:rsidRPr="00357CF3" w:rsidRDefault="008C4800" w:rsidP="00C35CD7">
      <w:pPr>
        <w:pStyle w:val="EndnoteText"/>
        <w:tabs>
          <w:tab w:val="left" w:pos="180"/>
        </w:tabs>
        <w:jc w:val="both"/>
        <w:rPr>
          <w:rFonts w:eastAsia="Calibri" w:cs="Arial"/>
          <w:spacing w:val="0"/>
          <w:szCs w:val="12"/>
          <w:lang w:val="en-US"/>
        </w:rPr>
      </w:pPr>
      <w:r w:rsidRPr="00357CF3">
        <w:rPr>
          <w:rStyle w:val="EndnoteReference"/>
        </w:rPr>
        <w:endnoteRef/>
      </w:r>
      <w:r w:rsidRPr="00357CF3">
        <w:rPr>
          <w:szCs w:val="12"/>
        </w:rPr>
        <w:t xml:space="preserve"> </w:t>
      </w:r>
      <w:r w:rsidRPr="00357CF3">
        <w:rPr>
          <w:rFonts w:eastAsia="Calibri" w:cs="Arial"/>
          <w:spacing w:val="0"/>
          <w:szCs w:val="12"/>
          <w:lang w:val="en-US"/>
        </w:rPr>
        <w:t xml:space="preserve">Low-dose ICS with SABA MDI (Rescue use): Global Initiative for Asthma. Global Strategy for asthma management and prevention, 2019. </w:t>
      </w:r>
      <w:hyperlink r:id="rId6" w:history="1">
        <w:r w:rsidRPr="00357CF3">
          <w:rPr>
            <w:rFonts w:eastAsia="Calibri" w:cs="Arial"/>
            <w:color w:val="0563C1"/>
            <w:spacing w:val="0"/>
            <w:szCs w:val="12"/>
            <w:u w:val="single"/>
            <w:lang w:val="en-US"/>
          </w:rPr>
          <w:t>http://www.ginasthma.org/</w:t>
        </w:r>
      </w:hyperlink>
      <w:r w:rsidRPr="00357CF3">
        <w:rPr>
          <w:rFonts w:eastAsia="Calibri" w:cs="Arial"/>
          <w:spacing w:val="0"/>
          <w:szCs w:val="12"/>
          <w:lang w:val="en-US"/>
        </w:rPr>
        <w:t xml:space="preserve"> </w:t>
      </w:r>
    </w:p>
    <w:p w14:paraId="6467B5AD"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ab/>
        <w:t xml:space="preserve">Low-dose ICS with SABA MDI (Rescue use): Reddel HK, FitzGerald JM, Bateman ED, Bacharier LB, Becker A, Brusselle G, Buhl R, Cruz AA, Fleming L, Inoue H, Ko FW, Krishnan JA, Levy ML, Lin J, Pedersen SE, Sheikh A, Yorgancioglu A, Boulet LP. GINA 2019: a fundamental change in asthma management: Treatment of asthma with short-acting bronchodilators alone is no longer recommended for adults and adolescents. Eur Respir J. 2019 Jun 27;53(6). </w:t>
      </w:r>
      <w:hyperlink r:id="rId7" w:history="1">
        <w:r w:rsidRPr="00357CF3">
          <w:rPr>
            <w:rFonts w:eastAsia="Calibri" w:cs="Arial"/>
            <w:color w:val="0563C1"/>
            <w:sz w:val="12"/>
            <w:szCs w:val="12"/>
            <w:u w:val="single"/>
            <w:lang w:val="en-US"/>
          </w:rPr>
          <w:t>https://www.ncbi.nlm.nih.gov/pubmed/31249014</w:t>
        </w:r>
      </w:hyperlink>
      <w:r w:rsidRPr="00357CF3">
        <w:rPr>
          <w:rFonts w:eastAsia="Calibri" w:cs="Arial"/>
          <w:sz w:val="12"/>
          <w:szCs w:val="12"/>
          <w:lang w:val="en-US"/>
        </w:rPr>
        <w:t xml:space="preserve"> </w:t>
      </w:r>
    </w:p>
    <w:p w14:paraId="79B1995E"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ab/>
        <w:t xml:space="preserve">Low-dose ICS with SABA MDI (Rescue use): Papi A, Canonica GW, Maestrelli P, Paggiaro P, Olivieri D, Pozzi E, Crimi N, Vignola AM, Morelli P, Nicolini G, Fabbri LM; BEST Study Group. Rescue use of beclomethasone and albuterol in a single inhaler for mild asthma. N Engl J Med. 2007 May 17;356(20):2040-52. </w:t>
      </w:r>
      <w:hyperlink r:id="rId8" w:history="1">
        <w:r w:rsidRPr="00357CF3">
          <w:rPr>
            <w:rFonts w:eastAsia="Calibri" w:cs="Arial"/>
            <w:color w:val="0563C1"/>
            <w:sz w:val="12"/>
            <w:szCs w:val="12"/>
            <w:u w:val="single"/>
            <w:lang w:val="en-US"/>
          </w:rPr>
          <w:t>https://www.ncbi.nlm.nih.gov/pubmed/17507703</w:t>
        </w:r>
      </w:hyperlink>
    </w:p>
    <w:p w14:paraId="2D559E17"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ab/>
        <w:t xml:space="preserve">Low-dose ICS with SABA MDI (Rescue use): Suissa S, Ernst P, Benayoun S, Baltzan M, Cai B. Low-dose inhaled corticosteroids and the prevention of death from asthma. N Engl J Med. 2000 Aug 3;343(5):332-6. </w:t>
      </w:r>
      <w:hyperlink r:id="rId9" w:history="1">
        <w:r w:rsidRPr="00357CF3">
          <w:rPr>
            <w:rFonts w:eastAsia="Calibri" w:cs="Arial"/>
            <w:color w:val="0563C1"/>
            <w:sz w:val="12"/>
            <w:szCs w:val="12"/>
            <w:u w:val="single"/>
            <w:lang w:val="en-US"/>
          </w:rPr>
          <w:t>https://www.ncbi.nlm.nih.gov/pubmed/10922423</w:t>
        </w:r>
      </w:hyperlink>
    </w:p>
    <w:p w14:paraId="489EA468"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ab/>
        <w:t xml:space="preserve">Low-dose ICS with SABA MDI (Rescue use): Suissa S, Ernst P, Kezouh A. Regular use of inhaled corticosteroids and the long term prevention of hospitalisation for asthma. Thorax. 2002 Oct;57(10):880-4. </w:t>
      </w:r>
      <w:hyperlink r:id="rId10" w:history="1">
        <w:r w:rsidRPr="00357CF3">
          <w:rPr>
            <w:rFonts w:eastAsia="Calibri" w:cs="Arial"/>
            <w:color w:val="0563C1"/>
            <w:sz w:val="12"/>
            <w:szCs w:val="12"/>
            <w:u w:val="single"/>
            <w:lang w:val="en-US"/>
          </w:rPr>
          <w:t>https://www.ncbi.nlm.nih.gov/pubmed/12324675</w:t>
        </w:r>
      </w:hyperlink>
    </w:p>
    <w:p w14:paraId="091611A3"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 xml:space="preserve">Low-dose ICS with SABA MDI (Rescue use):Pauwels RA, Pedersen S, Busse WW, Tan WC, Chen YZ, Ohlsson SV, Ullman A, Lamm  CJ, O'Byrne PM; START Investigators Group. Early intervention with budesonide in  mild persistent asthma: a randomised, double-blind trial. Lancet. 2003 Mar 29;361(9363):1071-6. </w:t>
      </w:r>
      <w:hyperlink r:id="rId11" w:history="1">
        <w:r w:rsidRPr="00357CF3">
          <w:rPr>
            <w:rFonts w:eastAsia="Calibri" w:cs="Arial"/>
            <w:color w:val="0563C1"/>
            <w:sz w:val="12"/>
            <w:szCs w:val="12"/>
            <w:u w:val="single"/>
            <w:lang w:val="en-US"/>
          </w:rPr>
          <w:t>https://www.ncbi.nlm.nih.gov/pubmed/12672309</w:t>
        </w:r>
      </w:hyperlink>
      <w:r w:rsidRPr="00357CF3">
        <w:rPr>
          <w:rFonts w:eastAsia="Calibri" w:cs="Arial"/>
          <w:sz w:val="12"/>
          <w:szCs w:val="12"/>
          <w:lang w:val="en-US"/>
        </w:rPr>
        <w:t xml:space="preserve"> </w:t>
      </w:r>
    </w:p>
    <w:p w14:paraId="2EAF4440" w14:textId="77777777" w:rsidR="008C4800" w:rsidRPr="00357CF3" w:rsidRDefault="008C4800" w:rsidP="00C35CD7">
      <w:pPr>
        <w:pStyle w:val="EndnoteText"/>
        <w:jc w:val="both"/>
        <w:rPr>
          <w:rFonts w:eastAsia="Calibri"/>
          <w:szCs w:val="12"/>
          <w:lang w:val="en-ZA"/>
        </w:rPr>
      </w:pPr>
      <w:r w:rsidRPr="00357CF3">
        <w:rPr>
          <w:rFonts w:eastAsia="Calibri" w:cs="Arial"/>
          <w:spacing w:val="0"/>
          <w:szCs w:val="12"/>
          <w:lang w:val="en-US"/>
        </w:rPr>
        <w:tab/>
        <w:t xml:space="preserve">Low-dose ICS with SABA MDI (Rescue use): Reddel HK, Busse WW, Pedersen S, Tan WC, Chen YZ, Jorup C, Lythgoe D, O'Byrne PM. Should recommendations about starting inhaled corticosteroid treatment for mild asthma be based on symptom frequency: a post-hoc efficacy analysis of the START study. Lancet. 2017 Jan 14;389(10065):157-166. </w:t>
      </w:r>
      <w:hyperlink r:id="rId12" w:history="1">
        <w:r w:rsidRPr="00357CF3">
          <w:rPr>
            <w:rFonts w:eastAsia="Calibri" w:cs="Arial"/>
            <w:color w:val="0563C1"/>
            <w:spacing w:val="0"/>
            <w:szCs w:val="12"/>
            <w:u w:val="single"/>
            <w:lang w:val="en-US"/>
          </w:rPr>
          <w:t>https://www.ncbi.nlm.nih.gov/pubmed/27912982</w:t>
        </w:r>
      </w:hyperlink>
    </w:p>
  </w:endnote>
  <w:endnote w:id="11">
    <w:p w14:paraId="14DA2145" w14:textId="77777777" w:rsidR="008C4800" w:rsidRPr="00357CF3" w:rsidRDefault="008C4800" w:rsidP="00C35CD7">
      <w:pPr>
        <w:pStyle w:val="EndnoteText"/>
        <w:tabs>
          <w:tab w:val="left" w:pos="180"/>
        </w:tabs>
        <w:jc w:val="both"/>
        <w:rPr>
          <w:rFonts w:eastAsia="Calibri" w:cs="Arial"/>
          <w:spacing w:val="0"/>
          <w:szCs w:val="12"/>
          <w:u w:val="single"/>
          <w:lang w:val="en-US"/>
        </w:rPr>
      </w:pPr>
      <w:r w:rsidRPr="00357CF3">
        <w:rPr>
          <w:rStyle w:val="EndnoteReference"/>
        </w:rPr>
        <w:endnoteRef/>
      </w:r>
      <w:r w:rsidRPr="00357CF3">
        <w:rPr>
          <w:szCs w:val="12"/>
        </w:rPr>
        <w:tab/>
      </w:r>
      <w:r w:rsidRPr="00357CF3">
        <w:rPr>
          <w:rFonts w:eastAsia="Calibri"/>
          <w:szCs w:val="12"/>
          <w:lang w:val="en-ZA"/>
        </w:rPr>
        <w:tab/>
        <w:t>Inh</w:t>
      </w:r>
      <w:r w:rsidRPr="00357CF3">
        <w:rPr>
          <w:rFonts w:eastAsia="Calibri" w:cs="Arial"/>
          <w:spacing w:val="0"/>
          <w:szCs w:val="12"/>
          <w:lang w:val="en-ZA"/>
        </w:rPr>
        <w:t xml:space="preserve"> Inhaled corticosteroids: </w:t>
      </w:r>
      <w:r w:rsidRPr="00357CF3">
        <w:rPr>
          <w:rFonts w:eastAsia="Calibri" w:cs="Arial"/>
          <w:spacing w:val="0"/>
          <w:szCs w:val="12"/>
          <w:lang w:val="en-US"/>
        </w:rPr>
        <w:t xml:space="preserve">Suissa S, Ernst P, Benayoun S, Baltzan M, Cai B. Low-dose inhaled corticosteroids and the prevention of death from asthma. N Engl J Med. 2000 Aug 3;343(5):332-6. </w:t>
      </w:r>
      <w:hyperlink r:id="rId13" w:history="1">
        <w:r w:rsidRPr="00357CF3">
          <w:rPr>
            <w:rFonts w:eastAsia="Calibri" w:cs="Arial"/>
            <w:color w:val="0563C1"/>
            <w:spacing w:val="0"/>
            <w:szCs w:val="12"/>
            <w:u w:val="single"/>
            <w:lang w:val="en-US"/>
          </w:rPr>
          <w:t>https://www.ncbi.nlm.nih.gov/pubmed/10922423</w:t>
        </w:r>
      </w:hyperlink>
      <w:r>
        <w:rPr>
          <w:rFonts w:eastAsia="Calibri" w:cs="Arial"/>
          <w:spacing w:val="0"/>
          <w:szCs w:val="12"/>
          <w:lang w:val="en-US"/>
        </w:rPr>
        <w:t>.</w:t>
      </w:r>
    </w:p>
    <w:p w14:paraId="0F3B1BA0" w14:textId="77777777" w:rsidR="008C4800" w:rsidRPr="00357CF3" w:rsidRDefault="008C4800" w:rsidP="00C35CD7">
      <w:pPr>
        <w:tabs>
          <w:tab w:val="left" w:pos="180"/>
        </w:tabs>
        <w:spacing w:after="0"/>
        <w:rPr>
          <w:rFonts w:eastAsia="Calibri" w:cs="Arial"/>
          <w:sz w:val="12"/>
          <w:szCs w:val="12"/>
          <w:lang w:val="en-US"/>
        </w:rPr>
      </w:pPr>
      <w:r w:rsidRPr="00357CF3">
        <w:rPr>
          <w:rFonts w:eastAsia="Calibri" w:cs="Arial"/>
          <w:sz w:val="12"/>
          <w:szCs w:val="12"/>
          <w:lang w:val="en-US"/>
        </w:rPr>
        <w:tab/>
        <w:t xml:space="preserve">Inhaled corticosteroids: Busse WW, Pedersen S, Pauwels RA, Tan WC, Chen YZ, Lamm CJ, O'Byrne PM; START </w:t>
      </w:r>
      <w:r w:rsidRPr="009207D8">
        <w:rPr>
          <w:rFonts w:eastAsia="Calibri" w:cs="Arial"/>
          <w:sz w:val="12"/>
          <w:szCs w:val="12"/>
          <w:lang w:val="en-US"/>
        </w:rPr>
        <w:t>Investigators Group. The Inhaled Steroid Treatment As Regular Therapy in Early Asthma (START) study 5-year follow-up:</w:t>
      </w:r>
      <w:r w:rsidRPr="00357CF3">
        <w:rPr>
          <w:rFonts w:eastAsia="Calibri" w:cs="Arial"/>
          <w:sz w:val="12"/>
          <w:szCs w:val="12"/>
          <w:lang w:val="en-US"/>
        </w:rPr>
        <w:t xml:space="preserve"> effectiveness of early intervention with budesonide in mild persistent asthma. J Allergy ClinImmunol. 2008May;121(5):1167-74.</w:t>
      </w:r>
      <w:hyperlink r:id="rId14" w:history="1">
        <w:r w:rsidRPr="00357CF3">
          <w:rPr>
            <w:rFonts w:eastAsia="Calibri" w:cs="Arial"/>
            <w:color w:val="0563C1"/>
            <w:sz w:val="12"/>
            <w:szCs w:val="12"/>
            <w:u w:val="single"/>
            <w:lang w:val="en-US"/>
          </w:rPr>
          <w:t>http://www.ncbi.nlm.nih.gov/pubmed/18405951</w:t>
        </w:r>
      </w:hyperlink>
    </w:p>
    <w:p w14:paraId="699F8E82" w14:textId="77777777" w:rsidR="008C4800" w:rsidRPr="00357CF3" w:rsidRDefault="008C4800" w:rsidP="00C35CD7">
      <w:pPr>
        <w:tabs>
          <w:tab w:val="left" w:pos="180"/>
        </w:tabs>
        <w:spacing w:after="0"/>
        <w:rPr>
          <w:rFonts w:eastAsia="Calibri" w:cs="Arial"/>
          <w:sz w:val="12"/>
          <w:szCs w:val="12"/>
        </w:rPr>
      </w:pPr>
      <w:r w:rsidRPr="00357CF3">
        <w:rPr>
          <w:rFonts w:eastAsia="Calibri" w:cs="Arial"/>
          <w:sz w:val="12"/>
          <w:szCs w:val="12"/>
        </w:rPr>
        <w:tab/>
        <w:t xml:space="preserve">Inhaled corticosteroids: Reddel HK, Busse WW, Pedersen S, Tan WC, Chen YZ, Jorup C, Lythgoe D, O'Byrne </w:t>
      </w:r>
    </w:p>
    <w:p w14:paraId="292AF2B6" w14:textId="77777777" w:rsidR="008C4800" w:rsidRPr="00357CF3" w:rsidRDefault="008C4800" w:rsidP="00C35CD7">
      <w:pPr>
        <w:tabs>
          <w:tab w:val="left" w:pos="180"/>
        </w:tabs>
        <w:spacing w:after="0"/>
        <w:rPr>
          <w:rFonts w:eastAsia="Calibri" w:cs="Arial"/>
          <w:sz w:val="12"/>
          <w:szCs w:val="12"/>
        </w:rPr>
      </w:pPr>
      <w:r w:rsidRPr="00357CF3">
        <w:rPr>
          <w:rFonts w:eastAsia="Calibri" w:cs="Arial"/>
          <w:sz w:val="12"/>
          <w:szCs w:val="12"/>
        </w:rPr>
        <w:t xml:space="preserve">PM. Should recommendations about starting inhaled corticosteroid treatment for mild asthma be based on symptom frequency: a post-hoc efficacy analysis of the START study. Lancet. 2017 Jan 14;389(10065):157-166. </w:t>
      </w:r>
      <w:hyperlink r:id="rId15" w:history="1">
        <w:r w:rsidRPr="00357CF3">
          <w:rPr>
            <w:rFonts w:eastAsia="Calibri" w:cs="Arial"/>
            <w:color w:val="0563C1"/>
            <w:sz w:val="12"/>
            <w:szCs w:val="12"/>
            <w:u w:val="single"/>
          </w:rPr>
          <w:t>https://www.ncbi.nlm.nih.gov/pubmed/27912982</w:t>
        </w:r>
      </w:hyperlink>
      <w:r w:rsidRPr="00357CF3">
        <w:rPr>
          <w:rFonts w:eastAsia="Calibri" w:cs="Arial"/>
          <w:sz w:val="12"/>
          <w:szCs w:val="12"/>
        </w:rPr>
        <w:t xml:space="preserve"> </w:t>
      </w:r>
    </w:p>
    <w:p w14:paraId="6FADEFA7" w14:textId="77777777" w:rsidR="008C4800" w:rsidRPr="00357CF3" w:rsidRDefault="008C4800" w:rsidP="00C35CD7">
      <w:pPr>
        <w:pStyle w:val="EndnoteText"/>
        <w:jc w:val="both"/>
        <w:rPr>
          <w:rFonts w:eastAsia="Calibri"/>
          <w:szCs w:val="12"/>
          <w:lang w:val="en-ZA"/>
        </w:rPr>
      </w:pPr>
      <w:r w:rsidRPr="00357CF3">
        <w:rPr>
          <w:rFonts w:eastAsia="Calibri" w:cs="Arial"/>
          <w:spacing w:val="0"/>
          <w:szCs w:val="12"/>
          <w:lang w:val="en-ZA"/>
        </w:rPr>
        <w:tab/>
        <w:t xml:space="preserve">Inhaled corticosteroids: Global Initiative for Asthma. Global Strategy for Asthma Management and Prevention, 2019. </w:t>
      </w:r>
      <w:hyperlink r:id="rId16" w:history="1">
        <w:r w:rsidRPr="00357CF3">
          <w:rPr>
            <w:rFonts w:eastAsia="Calibri" w:cs="Arial"/>
            <w:color w:val="0563C1"/>
            <w:spacing w:val="0"/>
            <w:szCs w:val="12"/>
            <w:u w:val="single"/>
            <w:lang w:val="en-ZA"/>
          </w:rPr>
          <w:t>http://www.ginasthma.org/</w:t>
        </w:r>
      </w:hyperlink>
    </w:p>
  </w:endnote>
  <w:endnote w:id="12">
    <w:p w14:paraId="38A81481" w14:textId="77777777" w:rsidR="008C4800" w:rsidRPr="00357CF3" w:rsidRDefault="008C4800" w:rsidP="00C35CD7">
      <w:pPr>
        <w:pStyle w:val="EndnoteText"/>
        <w:jc w:val="both"/>
        <w:rPr>
          <w:rFonts w:eastAsia="Calibri"/>
          <w:szCs w:val="12"/>
          <w:lang w:val="en-ZA"/>
        </w:rPr>
      </w:pPr>
      <w:r w:rsidRPr="00357CF3">
        <w:rPr>
          <w:rStyle w:val="EndnoteReference"/>
        </w:rPr>
        <w:endnoteRef/>
      </w:r>
      <w:r w:rsidRPr="00357CF3">
        <w:rPr>
          <w:szCs w:val="12"/>
        </w:rPr>
        <w:tab/>
      </w:r>
      <w:r w:rsidRPr="00357CF3">
        <w:rPr>
          <w:rFonts w:eastAsia="Calibri"/>
          <w:szCs w:val="12"/>
          <w:lang w:val="en-ZA"/>
        </w:rPr>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Kedem E, Shahar E, Hassoun G, Pollack S. Iatrogenic Cushing's syndrome due to  coadministration of ritonavir and inhaled budesonide in an asthmatic human immunodeficiency virus infected patient. J Asthma. 2010 Sep;47(7):830-1. </w:t>
      </w:r>
      <w:hyperlink r:id="rId17" w:history="1">
        <w:r w:rsidRPr="00357CF3">
          <w:rPr>
            <w:rStyle w:val="Hyperlink"/>
            <w:rFonts w:eastAsia="Calibri"/>
            <w:szCs w:val="12"/>
            <w:lang w:val="en-ZA"/>
          </w:rPr>
          <w:t>https://www.ncbi.nlm.nih.gov/pubmed/20653496</w:t>
        </w:r>
      </w:hyperlink>
      <w:r w:rsidRPr="00357CF3">
        <w:rPr>
          <w:rFonts w:eastAsia="Calibri"/>
          <w:szCs w:val="12"/>
          <w:lang w:val="en-ZA"/>
        </w:rPr>
        <w:t xml:space="preserve"> </w:t>
      </w:r>
    </w:p>
    <w:p w14:paraId="23277388" w14:textId="77777777" w:rsidR="008C4800" w:rsidRPr="00357CF3" w:rsidRDefault="008C4800" w:rsidP="00C35CD7">
      <w:pPr>
        <w:pStyle w:val="EndnoteText"/>
        <w:jc w:val="both"/>
        <w:rPr>
          <w:rFonts w:eastAsia="Calibr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Frankel JK, Packer CD. Cushing's syndrome due to antiretroviral-budesonide interaction. Ann Pharmacother. 2011 Jun;45(6):823-4. </w:t>
      </w:r>
      <w:hyperlink r:id="rId18" w:history="1">
        <w:r w:rsidRPr="00357CF3">
          <w:rPr>
            <w:rStyle w:val="Hyperlink"/>
            <w:rFonts w:eastAsia="Calibri"/>
            <w:szCs w:val="12"/>
            <w:lang w:val="en-ZA"/>
          </w:rPr>
          <w:t>https://www.ncbi.nlm.nih.gov/pubmed/21558486</w:t>
        </w:r>
      </w:hyperlink>
      <w:r w:rsidRPr="00357CF3">
        <w:rPr>
          <w:rFonts w:eastAsia="Calibri"/>
          <w:szCs w:val="12"/>
          <w:lang w:val="en-ZA"/>
        </w:rPr>
        <w:t xml:space="preserve"> </w:t>
      </w:r>
    </w:p>
    <w:p w14:paraId="3B87E207" w14:textId="77777777" w:rsidR="008C4800" w:rsidRPr="00357CF3" w:rsidRDefault="008C4800" w:rsidP="00C35CD7">
      <w:pPr>
        <w:pStyle w:val="EndnoteText"/>
        <w:jc w:val="both"/>
        <w:rPr>
          <w:rFonts w:eastAsia="Calibri"/>
          <w: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on protease inhibitors): Blondin MC, Beauregard H, Serri O. Iatrogenic Cushing syndrome in patients receiving inhaled budesonide and itraconazole or ritonavir: two cases and literature review. Endocr Pract. 2013 Nov-</w:t>
      </w:r>
      <w:r w:rsidRPr="00357CF3">
        <w:rPr>
          <w:rFonts w:eastAsia="Calibri"/>
          <w:i/>
          <w:szCs w:val="12"/>
          <w:lang w:val="en-ZA"/>
        </w:rPr>
        <w:t xml:space="preserve">Dec;19(6):e138-41. </w:t>
      </w:r>
      <w:hyperlink r:id="rId19" w:history="1">
        <w:r w:rsidRPr="00357CF3">
          <w:rPr>
            <w:rStyle w:val="Hyperlink"/>
            <w:rFonts w:eastAsia="Calibri"/>
            <w:i/>
            <w:szCs w:val="12"/>
            <w:lang w:val="en-ZA"/>
          </w:rPr>
          <w:t>https://www.ncbi.nlm.nih.gov/pubmed/23807527</w:t>
        </w:r>
      </w:hyperlink>
      <w:r w:rsidRPr="00357CF3">
        <w:rPr>
          <w:rFonts w:eastAsia="Calibri"/>
          <w:i/>
          <w:szCs w:val="12"/>
          <w:lang w:val="en-ZA"/>
        </w:rPr>
        <w:t xml:space="preserve"> </w:t>
      </w:r>
    </w:p>
    <w:p w14:paraId="66F6F42B" w14:textId="77777777" w:rsidR="008C4800" w:rsidRPr="00357CF3" w:rsidRDefault="008C4800" w:rsidP="00C35CD7">
      <w:pPr>
        <w:pStyle w:val="EndnoteText"/>
        <w:jc w:val="both"/>
        <w:rPr>
          <w:rFonts w:eastAsia="Calibr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w:t>
      </w:r>
      <w:r w:rsidRPr="00357CF3">
        <w:rPr>
          <w:rFonts w:eastAsia="Calibri"/>
          <w:szCs w:val="12"/>
        </w:rPr>
        <w:t xml:space="preserve">Yoganathan K, David L, Williams C, Jones K. Cushing's syndrome with adrenal suppression induced by inhaled budesonide due to a ritonavir drug interaction in a woman with HIV infection. Int J STD AIDS. 2012 Jul;23(7):520-1. </w:t>
      </w:r>
      <w:hyperlink r:id="rId20" w:history="1">
        <w:r w:rsidRPr="00357CF3">
          <w:rPr>
            <w:rStyle w:val="Hyperlink"/>
            <w:rFonts w:eastAsia="Calibri"/>
            <w:szCs w:val="12"/>
          </w:rPr>
          <w:t>https://www.ncbi.nlm.nih.gov/pubmed/22844010</w:t>
        </w:r>
      </w:hyperlink>
      <w:r w:rsidRPr="00357CF3">
        <w:rPr>
          <w:rFonts w:eastAsia="Calibri"/>
          <w:szCs w:val="12"/>
          <w:lang w:val="en-ZA"/>
        </w:rPr>
        <w:tab/>
      </w:r>
      <w:r w:rsidRPr="00357CF3">
        <w:rPr>
          <w:rFonts w:eastAsia="Calibri"/>
          <w:szCs w:val="12"/>
        </w:rPr>
        <w:t xml:space="preserve"> </w:t>
      </w:r>
    </w:p>
  </w:endnote>
  <w:endnote w:id="13">
    <w:p w14:paraId="6C1BBFBA" w14:textId="2F957050"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 xml:space="preserve">Antibiotics – lower airway obstruction: 2023 </w:t>
      </w:r>
      <w:r w:rsidRPr="00357CF3">
        <w:rPr>
          <w:i/>
          <w:iCs/>
          <w:szCs w:val="12"/>
          <w:lang w:val="en-ZA"/>
        </w:rPr>
        <w:t>Global Strategy for Asthma Management and Prevention (GINA 2023)</w:t>
      </w:r>
      <w:r w:rsidRPr="00357CF3">
        <w:rPr>
          <w:szCs w:val="12"/>
          <w:lang w:val="en-ZA"/>
        </w:rPr>
        <w:t>, pg 142.</w:t>
      </w:r>
    </w:p>
  </w:endnote>
  <w:endnote w:id="14">
    <w:p w14:paraId="0D976CE1" w14:textId="6DC5C96D" w:rsidR="008C4800" w:rsidRDefault="008C4800" w:rsidP="00357CF3">
      <w:pPr>
        <w:pStyle w:val="EndnoteText"/>
        <w:jc w:val="both"/>
        <w:rPr>
          <w:szCs w:val="12"/>
          <w:lang w:val="en-ZA"/>
        </w:rPr>
      </w:pPr>
      <w:r w:rsidRPr="00357CF3">
        <w:rPr>
          <w:rStyle w:val="EndnoteReference"/>
        </w:rPr>
        <w:endnoteRef/>
      </w:r>
      <w:r w:rsidRPr="00357CF3">
        <w:rPr>
          <w:szCs w:val="12"/>
          <w:lang w:val="en-ZA"/>
        </w:rPr>
        <w:tab/>
        <w:t xml:space="preserve">LABA (Formoterol) MDI (adults): National Department of Health, Essential Drugs Programme: Adult Hospital Level STGs and EML, 2019. </w:t>
      </w:r>
      <w:hyperlink r:id="rId21" w:history="1">
        <w:r w:rsidRPr="00357CF3">
          <w:rPr>
            <w:rStyle w:val="Hyperlink"/>
            <w:szCs w:val="12"/>
            <w:lang w:val="en-ZA"/>
          </w:rPr>
          <w:t>http://www.health.gov.za/</w:t>
        </w:r>
      </w:hyperlink>
      <w:r w:rsidRPr="00357CF3">
        <w:rPr>
          <w:szCs w:val="12"/>
          <w:lang w:val="en-ZA"/>
        </w:rPr>
        <w:t xml:space="preserve"> </w:t>
      </w:r>
    </w:p>
    <w:p w14:paraId="33904794" w14:textId="77777777" w:rsidR="008C4800" w:rsidRPr="00357CF3" w:rsidRDefault="008C4800" w:rsidP="00357CF3">
      <w:pPr>
        <w:pStyle w:val="EndnoteText"/>
        <w:jc w:val="both"/>
        <w:rPr>
          <w:szCs w:val="12"/>
          <w:lang w:val="en-ZA"/>
        </w:rPr>
      </w:pPr>
    </w:p>
  </w:endnote>
  <w:endnote w:id="15">
    <w:p w14:paraId="5CDB4EA5" w14:textId="18513A93"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 xml:space="preserve">LABA/ICS (Salmeterol/fluticasone) MDI (adults): National Department of Health, Essential Drugs Programme: Adult Hospital Level STGs and EML, 2019. </w:t>
      </w:r>
      <w:hyperlink r:id="rId22" w:history="1">
        <w:r w:rsidRPr="00357CF3">
          <w:rPr>
            <w:rStyle w:val="Hyperlink"/>
            <w:szCs w:val="12"/>
            <w:lang w:val="en-ZA"/>
          </w:rPr>
          <w:t>http://www.health.gov.za/</w:t>
        </w:r>
      </w:hyperlink>
      <w:r w:rsidRPr="00357CF3">
        <w:rPr>
          <w:szCs w:val="12"/>
          <w:lang w:val="en-ZA"/>
        </w:rPr>
        <w:t xml:space="preserve"> </w:t>
      </w:r>
    </w:p>
  </w:endnote>
  <w:endnote w:id="16">
    <w:p w14:paraId="236CC377" w14:textId="02F1D8FB" w:rsidR="008C4800" w:rsidRPr="00357CF3" w:rsidRDefault="008C4800" w:rsidP="00357CF3">
      <w:pPr>
        <w:pStyle w:val="EndnoteText"/>
        <w:jc w:val="both"/>
        <w:rPr>
          <w:rFonts w:eastAsia="Calibri"/>
          <w:szCs w:val="12"/>
          <w:lang w:val="en-ZA"/>
        </w:rPr>
      </w:pPr>
      <w:r w:rsidRPr="00357CF3">
        <w:rPr>
          <w:rStyle w:val="EndnoteReference"/>
        </w:rPr>
        <w:endnoteRef/>
      </w:r>
      <w:r w:rsidRPr="00357CF3">
        <w:rPr>
          <w:szCs w:val="12"/>
        </w:rPr>
        <w:tab/>
      </w:r>
      <w:r w:rsidRPr="00357CF3">
        <w:rPr>
          <w:rFonts w:eastAsia="Calibri"/>
          <w:szCs w:val="12"/>
          <w:lang w:val="en-ZA"/>
        </w:rPr>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Kedem E, Shahar E, Hassoun G, Pollack S. Iatrogenic Cushing's syndrome due to coadministration of ritonavir and inhaled budesonide in an asthmatic human immunodeficiency virus infected patient. J Asthma. 2010 Sep;47(7):830-1. </w:t>
      </w:r>
      <w:hyperlink r:id="rId23" w:history="1">
        <w:r w:rsidRPr="00357CF3">
          <w:rPr>
            <w:rStyle w:val="Hyperlink"/>
            <w:rFonts w:eastAsia="Calibri"/>
            <w:szCs w:val="12"/>
            <w:lang w:val="en-ZA"/>
          </w:rPr>
          <w:t>https://www.ncbi.nlm.nih.gov/pubmed/20653496</w:t>
        </w:r>
      </w:hyperlink>
      <w:r w:rsidRPr="00357CF3">
        <w:rPr>
          <w:rFonts w:eastAsia="Calibri"/>
          <w:szCs w:val="12"/>
          <w:lang w:val="en-ZA"/>
        </w:rPr>
        <w:t xml:space="preserve"> </w:t>
      </w:r>
    </w:p>
    <w:p w14:paraId="1E93616F" w14:textId="4BE41960" w:rsidR="008C4800" w:rsidRPr="00357CF3" w:rsidRDefault="008C4800" w:rsidP="00357CF3">
      <w:pPr>
        <w:pStyle w:val="EndnoteText"/>
        <w:jc w:val="both"/>
        <w:rPr>
          <w:rFonts w:eastAsia="Calibr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Frankel JK, Packer CD. Cushing's syndrome due to antiretroviral-budesonide interaction. Ann Pharmacother. 2011 Jun;45(6):823-4. </w:t>
      </w:r>
      <w:hyperlink r:id="rId24" w:history="1">
        <w:r w:rsidRPr="00357CF3">
          <w:rPr>
            <w:rStyle w:val="Hyperlink"/>
            <w:rFonts w:eastAsia="Calibri"/>
            <w:szCs w:val="12"/>
            <w:lang w:val="en-ZA"/>
          </w:rPr>
          <w:t>https://www.ncbi.nlm.nih.gov/pubmed/21558486</w:t>
        </w:r>
      </w:hyperlink>
      <w:r w:rsidRPr="00357CF3">
        <w:rPr>
          <w:rFonts w:eastAsia="Calibri"/>
          <w:szCs w:val="12"/>
          <w:lang w:val="en-ZA"/>
        </w:rPr>
        <w:t xml:space="preserve"> </w:t>
      </w:r>
    </w:p>
    <w:p w14:paraId="170D9174" w14:textId="0334BA89" w:rsidR="008C4800" w:rsidRPr="00357CF3" w:rsidRDefault="008C4800" w:rsidP="00357CF3">
      <w:pPr>
        <w:pStyle w:val="EndnoteText"/>
        <w:jc w:val="both"/>
        <w:rPr>
          <w:rFonts w:eastAsia="Calibr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Blondin MC, Beauregard H, Serri O. Iatrogenic Cushing syndrome in patients receiving inhaled budesonide and itraconazole or ritonavir: two cases and literature review. Endocr Pract. 2013 Nov-Dec;19(6):e138-41. </w:t>
      </w:r>
      <w:hyperlink r:id="rId25" w:history="1">
        <w:r w:rsidRPr="00357CF3">
          <w:rPr>
            <w:rStyle w:val="Hyperlink"/>
            <w:rFonts w:eastAsia="Calibri"/>
            <w:szCs w:val="12"/>
            <w:lang w:val="en-ZA"/>
          </w:rPr>
          <w:t>https://www.ncbi.nlm.nih.gov/pubmed/23807527</w:t>
        </w:r>
      </w:hyperlink>
      <w:r w:rsidRPr="00357CF3">
        <w:rPr>
          <w:rFonts w:eastAsia="Calibri"/>
          <w:szCs w:val="12"/>
          <w:lang w:val="en-ZA"/>
        </w:rPr>
        <w:t xml:space="preserve"> </w:t>
      </w:r>
    </w:p>
    <w:p w14:paraId="7E91D678" w14:textId="7092FC65" w:rsidR="008C4800" w:rsidRPr="00357CF3" w:rsidRDefault="008C4800" w:rsidP="00357CF3">
      <w:pPr>
        <w:pStyle w:val="EndnoteText"/>
        <w:jc w:val="both"/>
        <w:rPr>
          <w:rFonts w:eastAsia="Calibri"/>
          <w:szCs w:val="12"/>
          <w:lang w:val="en-ZA"/>
        </w:rPr>
      </w:pPr>
      <w:r w:rsidRPr="00357CF3">
        <w:rPr>
          <w:rFonts w:eastAsia="Calibri"/>
          <w:szCs w:val="12"/>
          <w:lang w:val="en-ZA"/>
        </w:rPr>
        <w:tab/>
        <w:t>Inhaled corticosteroids</w:t>
      </w:r>
      <w:r w:rsidRPr="00357CF3">
        <w:rPr>
          <w:rFonts w:eastAsia="Calibri"/>
          <w:szCs w:val="12"/>
          <w:lang w:val="en-ZA"/>
        </w:rPr>
        <w:fldChar w:fldCharType="begin"/>
      </w:r>
      <w:r w:rsidRPr="00357CF3">
        <w:rPr>
          <w:szCs w:val="12"/>
        </w:rPr>
        <w:instrText xml:space="preserve"> XE "Inhaled corticosteroids" </w:instrText>
      </w:r>
      <w:r w:rsidRPr="00357CF3">
        <w:rPr>
          <w:rFonts w:eastAsia="Calibri"/>
          <w:szCs w:val="12"/>
          <w:lang w:val="en-ZA"/>
        </w:rPr>
        <w:fldChar w:fldCharType="end"/>
      </w:r>
      <w:r w:rsidRPr="00357CF3">
        <w:rPr>
          <w:rFonts w:eastAsia="Calibri"/>
          <w:szCs w:val="12"/>
          <w:lang w:val="en-ZA"/>
        </w:rPr>
        <w:t xml:space="preserve"> (Patients</w:t>
      </w:r>
      <w:r w:rsidRPr="00357CF3">
        <w:rPr>
          <w:rFonts w:eastAsia="Calibri"/>
          <w:szCs w:val="12"/>
          <w:vertAlign w:val="superscript"/>
          <w:lang w:val="en-ZA"/>
        </w:rPr>
        <w:t xml:space="preserve"> </w:t>
      </w:r>
      <w:r w:rsidRPr="00357CF3">
        <w:rPr>
          <w:rFonts w:eastAsia="Calibri"/>
          <w:szCs w:val="12"/>
          <w:lang w:val="en-ZA"/>
        </w:rPr>
        <w:t xml:space="preserve">on protease inhibitors): </w:t>
      </w:r>
      <w:r w:rsidRPr="00357CF3">
        <w:rPr>
          <w:rFonts w:eastAsia="Calibri"/>
          <w:szCs w:val="12"/>
        </w:rPr>
        <w:t xml:space="preserve">Yoganathan K, David L, Williams C, Jones K. Cushing's syndrome with adrenal suppression induced by inhaled budesonide due to a ritonavir drug interaction in a woman with HIV infection. Int J STD AIDS. 2012 Jul;23(7):520-1. </w:t>
      </w:r>
      <w:hyperlink r:id="rId26" w:history="1">
        <w:r w:rsidRPr="00357CF3">
          <w:rPr>
            <w:rStyle w:val="Hyperlink"/>
            <w:rFonts w:eastAsia="Calibri"/>
            <w:szCs w:val="12"/>
          </w:rPr>
          <w:t>https://www.ncbi.nlm.nih.gov/pubmed/22844010</w:t>
        </w:r>
      </w:hyperlink>
      <w:r w:rsidRPr="00357CF3">
        <w:rPr>
          <w:rFonts w:eastAsia="Calibri"/>
          <w:szCs w:val="12"/>
        </w:rPr>
        <w:t xml:space="preserve"> </w:t>
      </w:r>
    </w:p>
  </w:endnote>
  <w:endnote w:id="17">
    <w:p w14:paraId="483459AF" w14:textId="5C651CED" w:rsidR="008C4800" w:rsidRPr="00357CF3" w:rsidRDefault="008C4800" w:rsidP="00357CF3">
      <w:pPr>
        <w:pStyle w:val="EndnoteText"/>
        <w:jc w:val="both"/>
        <w:rPr>
          <w:szCs w:val="12"/>
          <w:lang w:val="en-ZA"/>
        </w:rPr>
      </w:pPr>
      <w:r w:rsidRPr="00357CF3">
        <w:rPr>
          <w:rStyle w:val="EndnoteReference"/>
        </w:rPr>
        <w:endnoteRef/>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27" w:history="1">
        <w:r w:rsidRPr="00357CF3">
          <w:rPr>
            <w:rStyle w:val="Hyperlink"/>
            <w:szCs w:val="12"/>
            <w:lang w:val="en-ZA" w:eastAsia="en-ZA"/>
          </w:rPr>
          <w:t>http://www.health.gov.za/</w:t>
        </w:r>
      </w:hyperlink>
      <w:r w:rsidRPr="00357CF3">
        <w:rPr>
          <w:szCs w:val="12"/>
          <w:lang w:val="en-ZA" w:eastAsia="en-ZA"/>
        </w:rPr>
        <w:t xml:space="preserve"> </w:t>
      </w:r>
    </w:p>
    <w:p w14:paraId="1B616D0D" w14:textId="03E0EB05" w:rsidR="008C4800" w:rsidRPr="00357CF3" w:rsidRDefault="008C4800" w:rsidP="00357CF3">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18">
    <w:p w14:paraId="27D26A51" w14:textId="6B51374B" w:rsidR="008C4800" w:rsidRPr="00357CF3" w:rsidRDefault="008C4800" w:rsidP="00357CF3">
      <w:pPr>
        <w:pStyle w:val="EndnoteText"/>
        <w:jc w:val="both"/>
        <w:rPr>
          <w:szCs w:val="12"/>
          <w:lang w:val="en-ZA"/>
        </w:rPr>
      </w:pPr>
      <w:r w:rsidRPr="00357CF3">
        <w:rPr>
          <w:rStyle w:val="EndnoteReference"/>
        </w:rPr>
        <w:endnoteRef/>
      </w:r>
      <w:r w:rsidRPr="00357CF3">
        <w:rPr>
          <w:szCs w:val="12"/>
        </w:rPr>
        <w:t xml:space="preserve"> </w:t>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28" w:history="1">
        <w:r w:rsidRPr="00357CF3">
          <w:rPr>
            <w:rStyle w:val="Hyperlink"/>
            <w:szCs w:val="12"/>
            <w:lang w:val="en-ZA" w:eastAsia="en-ZA"/>
          </w:rPr>
          <w:t>http://www.health.gov.za/</w:t>
        </w:r>
      </w:hyperlink>
      <w:r w:rsidRPr="00357CF3">
        <w:rPr>
          <w:szCs w:val="12"/>
          <w:lang w:val="en-ZA" w:eastAsia="en-ZA"/>
        </w:rPr>
        <w:t xml:space="preserve"> </w:t>
      </w:r>
    </w:p>
    <w:p w14:paraId="4E455CA6" w14:textId="39782E52" w:rsidR="008C4800" w:rsidRPr="00357CF3" w:rsidRDefault="008C4800" w:rsidP="00357CF3">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19">
    <w:p w14:paraId="31580633" w14:textId="77777777" w:rsidR="008C4800" w:rsidRPr="00357CF3" w:rsidRDefault="008C4800" w:rsidP="009B227B">
      <w:pPr>
        <w:pStyle w:val="EndnoteText"/>
        <w:jc w:val="both"/>
        <w:rPr>
          <w:szCs w:val="12"/>
          <w:lang w:val="en-ZA"/>
        </w:rPr>
      </w:pPr>
      <w:r w:rsidRPr="00357CF3">
        <w:rPr>
          <w:rStyle w:val="EndnoteReference"/>
        </w:rPr>
        <w:endnoteRef/>
      </w:r>
      <w:r w:rsidRPr="00357CF3">
        <w:rPr>
          <w:szCs w:val="12"/>
        </w:rPr>
        <w:t xml:space="preserve"> </w:t>
      </w:r>
      <w:r w:rsidRPr="00357CF3">
        <w:rPr>
          <w:szCs w:val="12"/>
        </w:rPr>
        <w:tab/>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National Department of Health, Essential Drugs Programme: Adult Hospital level STGs and EML, 2019. </w:t>
      </w:r>
      <w:hyperlink r:id="rId29" w:history="1">
        <w:r w:rsidRPr="00357CF3">
          <w:rPr>
            <w:rStyle w:val="Hyperlink"/>
            <w:szCs w:val="12"/>
            <w:lang w:val="en-ZA" w:eastAsia="en-ZA"/>
          </w:rPr>
          <w:t>http://www.health.gov.za/</w:t>
        </w:r>
      </w:hyperlink>
      <w:r w:rsidRPr="00357CF3">
        <w:rPr>
          <w:szCs w:val="12"/>
          <w:lang w:val="en-ZA" w:eastAsia="en-ZA"/>
        </w:rPr>
        <w:t xml:space="preserve"> </w:t>
      </w:r>
    </w:p>
    <w:p w14:paraId="18F29AD6" w14:textId="77777777" w:rsidR="008C4800" w:rsidRPr="00357CF3" w:rsidRDefault="008C4800" w:rsidP="009B227B">
      <w:pPr>
        <w:pStyle w:val="EndnoteText"/>
        <w:jc w:val="both"/>
        <w:rPr>
          <w:szCs w:val="12"/>
          <w:lang w:val="en-ZA"/>
        </w:rPr>
      </w:pPr>
      <w:r w:rsidRPr="00357CF3">
        <w:rPr>
          <w:szCs w:val="12"/>
          <w:lang w:val="en-ZA"/>
        </w:rPr>
        <w:tab/>
      </w:r>
      <w:r w:rsidRPr="00357CF3">
        <w:rPr>
          <w:szCs w:val="12"/>
        </w:rPr>
        <w:t>Corticosteroids (intermediate-acting)</w:t>
      </w:r>
      <w:r w:rsidRPr="00357CF3">
        <w:rPr>
          <w:szCs w:val="12"/>
        </w:rPr>
        <w:fldChar w:fldCharType="begin"/>
      </w:r>
      <w:r w:rsidRPr="00357CF3">
        <w:rPr>
          <w:szCs w:val="12"/>
        </w:rPr>
        <w:instrText xml:space="preserve"> XE "Corticosteroids (intermediate-acting)" </w:instrText>
      </w:r>
      <w:r w:rsidRPr="00357CF3">
        <w:rPr>
          <w:szCs w:val="12"/>
        </w:rPr>
        <w:fldChar w:fldCharType="end"/>
      </w:r>
      <w:r w:rsidRPr="00357CF3">
        <w:rPr>
          <w:szCs w:val="12"/>
          <w:lang w:val="en-ZA"/>
        </w:rPr>
        <w:t xml:space="preserve">: </w:t>
      </w:r>
      <w:r w:rsidRPr="00357CF3">
        <w:rPr>
          <w:szCs w:val="12"/>
          <w:lang w:val="en-ZA" w:eastAsia="en-ZA"/>
        </w:rPr>
        <w:t>South African Medicines Formulary.  12th Edition.  Division of Clinical Pharmacology.  University of Cape Town, 2016.</w:t>
      </w:r>
    </w:p>
  </w:endnote>
  <w:endnote w:id="20">
    <w:p w14:paraId="5E7E9235" w14:textId="19CEFFE0"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 xml:space="preserve">Amoxicillin: National Department of Health, Essential Drugs Programme: </w:t>
      </w:r>
      <w:r w:rsidRPr="00357CF3">
        <w:rPr>
          <w:szCs w:val="12"/>
        </w:rPr>
        <w:t xml:space="preserve">Paediatric Hospital Level STGs and EML, 2017. </w:t>
      </w:r>
      <w:hyperlink r:id="rId30" w:history="1">
        <w:r w:rsidRPr="00357CF3">
          <w:rPr>
            <w:rStyle w:val="Hyperlink"/>
            <w:szCs w:val="12"/>
          </w:rPr>
          <w:t>http://www.health.gov.za/</w:t>
        </w:r>
      </w:hyperlink>
      <w:r w:rsidRPr="00357CF3">
        <w:rPr>
          <w:szCs w:val="12"/>
        </w:rPr>
        <w:t xml:space="preserve"> </w:t>
      </w:r>
    </w:p>
  </w:endnote>
  <w:endnote w:id="21">
    <w:p w14:paraId="518A4F8E" w14:textId="2B125F9E" w:rsidR="008C4800" w:rsidRPr="00357CF3" w:rsidRDefault="008C4800" w:rsidP="00357CF3">
      <w:pPr>
        <w:pStyle w:val="EndnoteText"/>
        <w:jc w:val="both"/>
        <w:rPr>
          <w:szCs w:val="12"/>
        </w:rPr>
      </w:pPr>
      <w:r w:rsidRPr="00357CF3">
        <w:rPr>
          <w:rStyle w:val="EndnoteReference"/>
        </w:rPr>
        <w:endnoteRef/>
      </w:r>
      <w:r w:rsidRPr="00357CF3">
        <w:rPr>
          <w:szCs w:val="12"/>
          <w:lang w:val="en-ZA"/>
        </w:rPr>
        <w:tab/>
        <w:t>Chest x-ray diagnosis (follow-up for community acquired pneumonia):</w:t>
      </w:r>
      <w:r w:rsidRPr="00357CF3">
        <w:rPr>
          <w:szCs w:val="12"/>
        </w:rPr>
        <w:t xml:space="preserve"> Tang KL, Eurich DT,Minhas-Sandhu JK,Marrie TJ,Majumdar SR. Incidence, correlates, and chest radiographic yield of new lung cancer diagnosis in 3398 patients with pneumonia. Arch Intern Med 2011;171:1193–1198. </w:t>
      </w:r>
      <w:hyperlink r:id="rId31" w:history="1">
        <w:r w:rsidRPr="00357CF3">
          <w:rPr>
            <w:rStyle w:val="Hyperlink"/>
            <w:szCs w:val="12"/>
          </w:rPr>
          <w:t>https://www.ncbi.nlm.nih.gov/pubmed/21518934</w:t>
        </w:r>
      </w:hyperlink>
      <w:r w:rsidRPr="00357CF3">
        <w:rPr>
          <w:szCs w:val="12"/>
        </w:rPr>
        <w:t xml:space="preserve"> </w:t>
      </w:r>
    </w:p>
    <w:p w14:paraId="421AE176" w14:textId="29E99D95" w:rsidR="008C4800" w:rsidRPr="001376F0" w:rsidRDefault="008C4800" w:rsidP="00D60EE9">
      <w:pPr>
        <w:pStyle w:val="EndnoteText"/>
      </w:pPr>
      <w:r w:rsidRPr="001376F0">
        <w:rPr>
          <w:lang w:val="en-ZA"/>
        </w:rPr>
        <w:tab/>
        <w:t xml:space="preserve">Chest x-ray diagnosis (follow-up for community acquired pneumonia): Mortensen EM, Copeland LA, Pugh MJ, Fine MJ, Nakashima B, Restrepo MI, de Molina RM, Anzueto A. Diagnosis of pulmonary malignancy after hospitalization for pneumonia. Am J Med. 2010 Jan;123(1):66-71. </w:t>
      </w:r>
      <w:hyperlink r:id="rId32" w:history="1">
        <w:r w:rsidRPr="00DB61AC">
          <w:rPr>
            <w:rStyle w:val="Hyperlink"/>
            <w:lang w:val="en-ZA"/>
          </w:rPr>
          <w:t>https://www.ncbi.nlm.nih.gov/pubmed/20102994</w:t>
        </w:r>
      </w:hyperlink>
      <w:r>
        <w:rPr>
          <w:lang w:val="en-ZA"/>
        </w:rPr>
        <w:t xml:space="preserve"> </w:t>
      </w:r>
    </w:p>
    <w:p w14:paraId="1C4854C5" w14:textId="43FBF28A" w:rsidR="008C4800" w:rsidRPr="00357CF3" w:rsidRDefault="008C4800" w:rsidP="00357CF3">
      <w:pPr>
        <w:pStyle w:val="EndnoteText"/>
        <w:jc w:val="both"/>
        <w:rPr>
          <w:szCs w:val="12"/>
        </w:rPr>
      </w:pPr>
      <w:r w:rsidRPr="001376F0">
        <w:rPr>
          <w:lang w:val="en-ZA"/>
        </w:rPr>
        <w:tab/>
      </w:r>
      <w:r w:rsidRPr="00357CF3">
        <w:rPr>
          <w:szCs w:val="12"/>
          <w:lang w:val="en-ZA"/>
        </w:rPr>
        <w:t>Chest x-ray diagnosis (follow-up for community acquired pneumonia):</w:t>
      </w:r>
      <w:r w:rsidRPr="00357CF3">
        <w:rPr>
          <w:szCs w:val="12"/>
        </w:rPr>
        <w:t xml:space="preserve"> Metlay JP, Waterer GW, Long AC, Anzueto A, Brozek J, Crothers K, et al. Diagnosis and Treatment of Adults with Community-acquired Pneumonia. An Official Clinical Practice Guideline of the American Thoracic Society and Infectious Diseases Society of America. Am J Respir Crit Care Med. 2019 Oct 1;200(7):e45-e67. </w:t>
      </w:r>
      <w:hyperlink r:id="rId33" w:history="1">
        <w:r w:rsidRPr="00357CF3">
          <w:rPr>
            <w:rStyle w:val="Hyperlink"/>
            <w:szCs w:val="12"/>
          </w:rPr>
          <w:t>https://www.ncbi.nlm.nih.gov/pubmed/31573350</w:t>
        </w:r>
      </w:hyperlink>
      <w:r w:rsidRPr="00357CF3">
        <w:rPr>
          <w:szCs w:val="12"/>
        </w:rPr>
        <w:t xml:space="preserve"> </w:t>
      </w:r>
    </w:p>
    <w:p w14:paraId="065E0D04" w14:textId="432F7F67" w:rsidR="008C4800" w:rsidRPr="00357CF3" w:rsidRDefault="008C4800" w:rsidP="00357CF3">
      <w:pPr>
        <w:pStyle w:val="EndnoteText"/>
        <w:jc w:val="both"/>
        <w:rPr>
          <w:szCs w:val="12"/>
        </w:rPr>
      </w:pPr>
      <w:r w:rsidRPr="00357CF3">
        <w:rPr>
          <w:szCs w:val="12"/>
          <w:lang w:val="en-ZA"/>
        </w:rPr>
        <w:tab/>
        <w:t>Chest x-ray diagnosis (follow-up for community acquired pneumonia):</w:t>
      </w:r>
      <w:r w:rsidRPr="00357CF3">
        <w:rPr>
          <w:szCs w:val="12"/>
        </w:rPr>
        <w:t xml:space="preserve"> Lim WS, Baudouin SV, George RC, Hill AT, Jamieson C, Le Jeune I, Macfarlane JT, Read RC, Roberts HJ, Levy ML, Wani M, Woodhead MA; Pneumonia Guidelines Committee of the BTS Standards of Care Committee. BTS guidelines for the management of community acquired pneumonia in adults: update 2009. Thorax. 2009 Oct;64 Suppl 3:iii1-55. </w:t>
      </w:r>
      <w:hyperlink r:id="rId34" w:history="1">
        <w:r w:rsidRPr="00357CF3">
          <w:rPr>
            <w:rStyle w:val="Hyperlink"/>
            <w:szCs w:val="12"/>
          </w:rPr>
          <w:t>https://www.ncbi.nlm.nih.gov/pubmed/19783532</w:t>
        </w:r>
      </w:hyperlink>
      <w:r w:rsidRPr="00357CF3">
        <w:rPr>
          <w:szCs w:val="12"/>
        </w:rPr>
        <w:t xml:space="preserve"> </w:t>
      </w:r>
    </w:p>
  </w:endnote>
  <w:endnote w:id="22">
    <w:p w14:paraId="01B685B5" w14:textId="77777777" w:rsidR="008C4800" w:rsidRPr="00357CF3" w:rsidRDefault="008C4800" w:rsidP="00E01A78">
      <w:pPr>
        <w:pStyle w:val="EndnoteText"/>
        <w:jc w:val="both"/>
        <w:rPr>
          <w:szCs w:val="12"/>
        </w:rPr>
      </w:pPr>
      <w:r w:rsidRPr="00357CF3">
        <w:rPr>
          <w:rStyle w:val="EndnoteReference"/>
        </w:rPr>
        <w:endnoteRef/>
      </w:r>
      <w:r w:rsidRPr="00357CF3">
        <w:rPr>
          <w:szCs w:val="12"/>
          <w:lang w:val="en-ZA"/>
        </w:rPr>
        <w:tab/>
        <w:t>Chest x-ray diagnosis (follow-up for community acquired pneumonia):</w:t>
      </w:r>
      <w:r w:rsidRPr="00357CF3">
        <w:rPr>
          <w:szCs w:val="12"/>
        </w:rPr>
        <w:t xml:space="preserve"> Tang KL, Eurich DT,Minhas-Sandhu JK,Marrie TJ,Majumdar SR. Incidence, correlates, and chest radiographic yield of new lung cancer diagnosis in 3398 patients with pneumonia. Arch Intern Med 2011;171:1193–1198. </w:t>
      </w:r>
      <w:hyperlink r:id="rId35" w:history="1">
        <w:r w:rsidRPr="00357CF3">
          <w:rPr>
            <w:rStyle w:val="Hyperlink"/>
            <w:szCs w:val="12"/>
          </w:rPr>
          <w:t>https://www.ncbi.nlm.nih.gov/pubmed/21518934</w:t>
        </w:r>
      </w:hyperlink>
      <w:r w:rsidRPr="00357CF3">
        <w:rPr>
          <w:szCs w:val="12"/>
        </w:rPr>
        <w:t xml:space="preserve"> </w:t>
      </w:r>
    </w:p>
    <w:p w14:paraId="523431B7" w14:textId="77777777" w:rsidR="008C4800" w:rsidRPr="00357CF3" w:rsidRDefault="008C4800" w:rsidP="00E01A78">
      <w:pPr>
        <w:pStyle w:val="EndnoteText"/>
        <w:jc w:val="both"/>
        <w:rPr>
          <w:szCs w:val="12"/>
        </w:rPr>
      </w:pPr>
      <w:r w:rsidRPr="00357CF3">
        <w:rPr>
          <w:szCs w:val="12"/>
          <w:lang w:val="en-ZA"/>
        </w:rPr>
        <w:tab/>
        <w:t xml:space="preserve">Chest x-ray diagnosis (follow-up for community acquired pneumonia): Mortensen EM, Copeland LA, Pugh MJ, Fine MJ, Nakashima B, Restrepo MI, de Molina RM, Anzueto A. Diagnosis of pulmonary malignancy after hospitalization for pneumonia. Am J Med. 2010 Jan;123(1):66-71. </w:t>
      </w:r>
      <w:hyperlink r:id="rId36" w:history="1">
        <w:r w:rsidRPr="00357CF3">
          <w:rPr>
            <w:rStyle w:val="Hyperlink"/>
            <w:szCs w:val="12"/>
            <w:lang w:val="en-ZA"/>
          </w:rPr>
          <w:t>https://www.ncbi.nlm.nih.gov/pubmed/20102994</w:t>
        </w:r>
      </w:hyperlink>
      <w:r w:rsidRPr="00357CF3">
        <w:rPr>
          <w:szCs w:val="12"/>
          <w:lang w:val="en-ZA"/>
        </w:rPr>
        <w:t xml:space="preserve"> </w:t>
      </w:r>
    </w:p>
    <w:p w14:paraId="376425D4" w14:textId="77777777" w:rsidR="008C4800" w:rsidRPr="00357CF3" w:rsidRDefault="008C4800" w:rsidP="00E01A78">
      <w:pPr>
        <w:pStyle w:val="EndnoteText"/>
        <w:jc w:val="both"/>
        <w:rPr>
          <w:szCs w:val="12"/>
        </w:rPr>
      </w:pPr>
      <w:r w:rsidRPr="00357CF3">
        <w:rPr>
          <w:szCs w:val="12"/>
          <w:lang w:val="en-ZA"/>
        </w:rPr>
        <w:tab/>
        <w:t>Chest x-ray diagnosis (follow-up for community acquired pneumonia):</w:t>
      </w:r>
      <w:r w:rsidRPr="00357CF3">
        <w:rPr>
          <w:szCs w:val="12"/>
        </w:rPr>
        <w:t xml:space="preserve"> Metlay JP, Waterer GW, Long AC, Anzueto A, Brozek J, Crothers K, et al. Diagnosis and Treatment of Adults with Community-acquired Pneumonia. An Official Clinical Practice Guideline of the American Thoracic Society and Infectious Diseases Society of America. Am J Respir Crit Care Med. 2019 Oct 1;200(7):e45-e67. </w:t>
      </w:r>
      <w:hyperlink r:id="rId37" w:history="1">
        <w:r w:rsidRPr="00357CF3">
          <w:rPr>
            <w:rStyle w:val="Hyperlink"/>
            <w:szCs w:val="12"/>
          </w:rPr>
          <w:t>https://www.ncbi.nlm.nih.gov/pubmed/31573350</w:t>
        </w:r>
      </w:hyperlink>
      <w:r w:rsidRPr="00357CF3">
        <w:rPr>
          <w:szCs w:val="12"/>
        </w:rPr>
        <w:t xml:space="preserve"> </w:t>
      </w:r>
    </w:p>
    <w:p w14:paraId="180C1986" w14:textId="77777777" w:rsidR="008C4800" w:rsidRPr="00357CF3" w:rsidRDefault="008C4800" w:rsidP="00E01A78">
      <w:pPr>
        <w:pStyle w:val="EndnoteText"/>
        <w:jc w:val="both"/>
        <w:rPr>
          <w:szCs w:val="12"/>
        </w:rPr>
      </w:pPr>
      <w:r w:rsidRPr="00357CF3">
        <w:rPr>
          <w:szCs w:val="12"/>
          <w:lang w:val="en-ZA"/>
        </w:rPr>
        <w:tab/>
        <w:t>Chest x-ray diagnosis (follow-up for community acquired pneumonia):</w:t>
      </w:r>
      <w:r w:rsidRPr="00357CF3">
        <w:rPr>
          <w:szCs w:val="12"/>
        </w:rPr>
        <w:t xml:space="preserve"> Lim WS, Baudouin SV, George RC, Hill AT, Jamieson C, Le Jeune I, Macfarlane JT, Read RC, Roberts HJ, Levy ML, Wani M, Woodhead MA; Pneumonia Guidelines Committee of the BTS Standards of Care Committee. BTS guidelines for the management of community acquired pneumonia in adults: update 2009. Thorax. 2009 Oct;64 Suppl 3:iii1-55. </w:t>
      </w:r>
      <w:hyperlink r:id="rId38" w:history="1">
        <w:r w:rsidRPr="00357CF3">
          <w:rPr>
            <w:rStyle w:val="Hyperlink"/>
            <w:szCs w:val="12"/>
          </w:rPr>
          <w:t>https://www.ncbi.nlm.nih.gov/pubmed/19783532</w:t>
        </w:r>
      </w:hyperlink>
      <w:r w:rsidRPr="00357CF3">
        <w:rPr>
          <w:szCs w:val="12"/>
        </w:rPr>
        <w:t xml:space="preserve"> </w:t>
      </w:r>
    </w:p>
  </w:endnote>
  <w:endnote w:id="23">
    <w:p w14:paraId="2EAC02E9" w14:textId="77777777" w:rsidR="008C4800" w:rsidRPr="001376F0" w:rsidRDefault="008C4800" w:rsidP="00E01A78">
      <w:pPr>
        <w:pStyle w:val="EndnoteText"/>
      </w:pPr>
      <w:r w:rsidRPr="0073425E">
        <w:rPr>
          <w:rStyle w:val="EndnoteReference"/>
        </w:rPr>
        <w:endnoteRef/>
      </w:r>
      <w:r>
        <w:rPr>
          <w:lang w:val="en-ZA"/>
        </w:rPr>
        <w:tab/>
      </w:r>
      <w:r w:rsidRPr="001376F0">
        <w:rPr>
          <w:lang w:val="en-ZA"/>
        </w:rPr>
        <w:t xml:space="preserve">LAM urine testing (DS-TB): National Department of Health. Guidance on the use of the lipoarabinomannan lateral flow assay (LF-LAM) for the diagnosis of tuberculosis in people living with HIV, </w:t>
      </w:r>
      <w:r>
        <w:rPr>
          <w:lang w:val="en-ZA"/>
        </w:rPr>
        <w:t>Update February 2021</w:t>
      </w:r>
      <w:r w:rsidRPr="001376F0">
        <w:rPr>
          <w:lang w:val="en-ZA"/>
        </w:rPr>
        <w:t xml:space="preserve">. </w:t>
      </w:r>
      <w:hyperlink r:id="rId39" w:history="1">
        <w:r w:rsidRPr="00DB61AC">
          <w:rPr>
            <w:rStyle w:val="Hyperlink1"/>
          </w:rPr>
          <w:t>http://www.health.gov.za/</w:t>
        </w:r>
      </w:hyperlink>
      <w:r>
        <w:t xml:space="preserve"> </w:t>
      </w:r>
    </w:p>
    <w:p w14:paraId="17F8678F" w14:textId="77777777" w:rsidR="008C4800" w:rsidRPr="001376F0" w:rsidRDefault="008C4800" w:rsidP="00E01A78">
      <w:pPr>
        <w:pStyle w:val="EndnoteText"/>
        <w:rPr>
          <w:lang w:val="en-ZA"/>
        </w:rPr>
      </w:pPr>
      <w:r w:rsidRPr="001376F0">
        <w:rPr>
          <w:lang w:val="en-ZA"/>
        </w:rPr>
        <w:t>LAM urine testing (DS-TB): Bjerrum S, Schiller I, Dendukuri N, Kohli M, Nathavitharana RR, Zwerling AA,</w:t>
      </w:r>
      <w:r>
        <w:rPr>
          <w:lang w:val="en-ZA"/>
        </w:rPr>
        <w:t xml:space="preserve"> </w:t>
      </w:r>
      <w:r w:rsidRPr="001376F0">
        <w:rPr>
          <w:lang w:val="en-ZA"/>
        </w:rPr>
        <w:t xml:space="preserve">Denkinger CM, Steingart KR, Shah M. Lateral flow urine lipoarabinomannan assay for detecting active tuberculosis in people living with HIV. Cochrane Database Syst Rev. 2019 Oct 21;10:CD011420. </w:t>
      </w:r>
      <w:hyperlink r:id="rId40" w:history="1">
        <w:r w:rsidRPr="00DB61AC">
          <w:rPr>
            <w:rStyle w:val="Hyperlink1"/>
            <w:lang w:val="en-ZA"/>
          </w:rPr>
          <w:t>https://www.ncbi.nlm.nih.gov/pubmed/31633805</w:t>
        </w:r>
      </w:hyperlink>
      <w:r>
        <w:rPr>
          <w:lang w:val="en-ZA"/>
        </w:rPr>
        <w:t xml:space="preserve"> </w:t>
      </w:r>
    </w:p>
  </w:endnote>
  <w:endnote w:id="24">
    <w:p w14:paraId="78902475" w14:textId="77777777" w:rsidR="008C4800" w:rsidRPr="00CF0485" w:rsidRDefault="008C4800" w:rsidP="00E01A78">
      <w:pPr>
        <w:pStyle w:val="EndnoteText"/>
        <w:tabs>
          <w:tab w:val="left" w:pos="142"/>
        </w:tabs>
        <w:jc w:val="both"/>
        <w:rPr>
          <w:szCs w:val="12"/>
        </w:rPr>
      </w:pPr>
      <w:r w:rsidRPr="00EA76AA">
        <w:rPr>
          <w:rStyle w:val="EndnoteReference"/>
        </w:rPr>
        <w:endnoteRef/>
      </w:r>
      <w:r>
        <w:t xml:space="preserve"> </w:t>
      </w:r>
      <w:r>
        <w:rPr>
          <w:rFonts w:cs="Arial"/>
          <w:szCs w:val="12"/>
          <w:lang w:val="en-ZA"/>
        </w:rPr>
        <w:t xml:space="preserve">Rifapentine-containing regimen (3HP): </w:t>
      </w:r>
      <w:r w:rsidRPr="006132AB">
        <w:rPr>
          <w:szCs w:val="12"/>
        </w:rPr>
        <w:t xml:space="preserve">Affordable Medicines, EDP- Adult Hospital level. Medicine Review: </w:t>
      </w:r>
      <w:r>
        <w:rPr>
          <w:szCs w:val="12"/>
        </w:rPr>
        <w:t>Rifapentine (3HP) as TPT in PLHIV, November 2019</w:t>
      </w:r>
      <w:r w:rsidRPr="006132AB">
        <w:rPr>
          <w:szCs w:val="12"/>
        </w:rPr>
        <w:t xml:space="preserve">. </w:t>
      </w:r>
      <w:hyperlink r:id="rId41" w:history="1">
        <w:r w:rsidRPr="00ED36B5">
          <w:rPr>
            <w:rStyle w:val="Hyperlink"/>
            <w:szCs w:val="12"/>
          </w:rPr>
          <w:t>https://www.knowledgehub.org.za/content/standard-treatment-guidelines-and-essential-medicines-list</w:t>
        </w:r>
      </w:hyperlink>
    </w:p>
    <w:p w14:paraId="4CD3986F" w14:textId="77777777" w:rsidR="008C4800" w:rsidRPr="00EA76AA" w:rsidRDefault="008C4800" w:rsidP="00E01A78">
      <w:pPr>
        <w:pStyle w:val="EndnoteText"/>
        <w:tabs>
          <w:tab w:val="left" w:pos="142"/>
        </w:tabs>
        <w:jc w:val="both"/>
      </w:pPr>
      <w:r>
        <w:rPr>
          <w:rFonts w:cs="Arial"/>
          <w:szCs w:val="12"/>
          <w:lang w:val="en-ZA"/>
        </w:rPr>
        <w:tab/>
        <w:t xml:space="preserve">Rifapentine-containing regimen (3HP): </w:t>
      </w:r>
      <w:r w:rsidRPr="006132AB">
        <w:rPr>
          <w:szCs w:val="12"/>
        </w:rPr>
        <w:t xml:space="preserve">Affordable Medicines, EDP-Adult Hospital level. Medicine Review: </w:t>
      </w:r>
      <w:r>
        <w:rPr>
          <w:szCs w:val="12"/>
        </w:rPr>
        <w:t>Rifapentine (3HP) as TPT in PLHIV on DTG-regimens, November 2019</w:t>
      </w:r>
      <w:r w:rsidRPr="006132AB">
        <w:rPr>
          <w:szCs w:val="12"/>
        </w:rPr>
        <w:t xml:space="preserve">. </w:t>
      </w:r>
      <w:hyperlink r:id="rId42" w:history="1">
        <w:r w:rsidRPr="00ED36B5">
          <w:rPr>
            <w:rStyle w:val="Hyperlink"/>
            <w:szCs w:val="12"/>
          </w:rPr>
          <w:t>https://www.knowledgehub.org.za/content/standard-treatment-guidelines-and-essential-medicines-list</w:t>
        </w:r>
      </w:hyperlink>
    </w:p>
  </w:endnote>
  <w:endnote w:id="25">
    <w:p w14:paraId="7962CA4F" w14:textId="1421171A"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Rifampicin, oral</w:t>
      </w:r>
      <w:r w:rsidRPr="00357CF3">
        <w:rPr>
          <w:szCs w:val="12"/>
          <w:lang w:val="en-ZA"/>
        </w:rPr>
        <w:fldChar w:fldCharType="begin"/>
      </w:r>
      <w:r w:rsidRPr="00357CF3">
        <w:rPr>
          <w:szCs w:val="12"/>
        </w:rPr>
        <w:instrText xml:space="preserve"> XE "Rifampicin, oral" </w:instrText>
      </w:r>
      <w:r w:rsidRPr="00357CF3">
        <w:rPr>
          <w:szCs w:val="12"/>
          <w:lang w:val="en-ZA"/>
        </w:rPr>
        <w:fldChar w:fldCharType="end"/>
      </w:r>
      <w:r w:rsidRPr="00357CF3">
        <w:rPr>
          <w:szCs w:val="12"/>
          <w:lang w:val="en-ZA"/>
        </w:rPr>
        <w:t xml:space="preserve"> - Isoniazid mono-resistant contact:  National Department of Health, Essential Drugs Programme: </w:t>
      </w:r>
      <w:r w:rsidRPr="00357CF3">
        <w:rPr>
          <w:szCs w:val="12"/>
        </w:rPr>
        <w:t xml:space="preserve">Paediatric Hospital Level STGs and EML, 2017. </w:t>
      </w:r>
      <w:hyperlink r:id="rId43" w:history="1">
        <w:r w:rsidRPr="00357CF3">
          <w:rPr>
            <w:rStyle w:val="Hyperlink"/>
            <w:szCs w:val="12"/>
          </w:rPr>
          <w:t>http://www.health.gov.za/</w:t>
        </w:r>
      </w:hyperlink>
      <w:r w:rsidRPr="00357CF3">
        <w:rPr>
          <w:szCs w:val="12"/>
        </w:rPr>
        <w:t xml:space="preserve"> </w:t>
      </w:r>
    </w:p>
  </w:endnote>
  <w:endnote w:id="26">
    <w:p w14:paraId="065674FF" w14:textId="2E11D225"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Isoniazid, oral</w:t>
      </w:r>
      <w:r w:rsidRPr="00357CF3">
        <w:rPr>
          <w:szCs w:val="12"/>
          <w:lang w:val="en-ZA"/>
        </w:rPr>
        <w:fldChar w:fldCharType="begin"/>
      </w:r>
      <w:r w:rsidRPr="00357CF3">
        <w:rPr>
          <w:szCs w:val="12"/>
        </w:rPr>
        <w:instrText xml:space="preserve"> XE "Isoniazid, oral" </w:instrText>
      </w:r>
      <w:r w:rsidRPr="00357CF3">
        <w:rPr>
          <w:szCs w:val="12"/>
          <w:lang w:val="en-ZA"/>
        </w:rPr>
        <w:fldChar w:fldCharType="end"/>
      </w:r>
      <w:r w:rsidRPr="00357CF3">
        <w:rPr>
          <w:szCs w:val="12"/>
          <w:lang w:val="en-ZA"/>
        </w:rPr>
        <w:t xml:space="preserve"> - Rifampicin mono-resistant contact: National Department of Health, Essential Drugs Programme: </w:t>
      </w:r>
      <w:r w:rsidRPr="00357CF3">
        <w:rPr>
          <w:szCs w:val="12"/>
        </w:rPr>
        <w:t xml:space="preserve">Paediatric Hospital Level STGs and EML, 2017. </w:t>
      </w:r>
      <w:hyperlink r:id="rId44" w:history="1">
        <w:r w:rsidRPr="00357CF3">
          <w:rPr>
            <w:rStyle w:val="Hyperlink"/>
            <w:szCs w:val="12"/>
          </w:rPr>
          <w:t>http://www.health.gov.za/</w:t>
        </w:r>
      </w:hyperlink>
      <w:r w:rsidRPr="00357CF3">
        <w:rPr>
          <w:szCs w:val="12"/>
        </w:rPr>
        <w:t xml:space="preserve"> </w:t>
      </w:r>
    </w:p>
  </w:endnote>
  <w:endnote w:id="27">
    <w:p w14:paraId="28FE678A" w14:textId="71030A7A"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Pyridoxine, oral</w:t>
      </w:r>
      <w:r w:rsidRPr="00357CF3">
        <w:rPr>
          <w:szCs w:val="12"/>
          <w:lang w:val="en-ZA"/>
        </w:rPr>
        <w:fldChar w:fldCharType="begin"/>
      </w:r>
      <w:r w:rsidRPr="00357CF3">
        <w:rPr>
          <w:szCs w:val="12"/>
        </w:rPr>
        <w:instrText xml:space="preserve"> XE "Pyridoxine, oral" </w:instrText>
      </w:r>
      <w:r w:rsidRPr="00357CF3">
        <w:rPr>
          <w:szCs w:val="12"/>
          <w:lang w:val="en-ZA"/>
        </w:rPr>
        <w:fldChar w:fldCharType="end"/>
      </w:r>
      <w:r w:rsidRPr="00357CF3">
        <w:rPr>
          <w:szCs w:val="12"/>
          <w:lang w:val="en-ZA"/>
        </w:rPr>
        <w:t xml:space="preserve">: National Department of Health, Essential Drugs Programme: </w:t>
      </w:r>
      <w:r w:rsidRPr="00357CF3">
        <w:rPr>
          <w:szCs w:val="12"/>
        </w:rPr>
        <w:t xml:space="preserve">Paediatric Hospital Level STGs and EML, 2017. </w:t>
      </w:r>
      <w:hyperlink r:id="rId45" w:history="1">
        <w:r w:rsidRPr="00357CF3">
          <w:rPr>
            <w:rStyle w:val="Hyperlink"/>
            <w:szCs w:val="12"/>
          </w:rPr>
          <w:t>http://www.health.gov.za/</w:t>
        </w:r>
      </w:hyperlink>
      <w:r w:rsidRPr="00357CF3">
        <w:rPr>
          <w:szCs w:val="12"/>
        </w:rPr>
        <w:t xml:space="preserve"> </w:t>
      </w:r>
    </w:p>
  </w:endnote>
  <w:endnote w:id="28">
    <w:p w14:paraId="74883C81" w14:textId="77777777" w:rsidR="008C4800" w:rsidRPr="00357CF3" w:rsidRDefault="008C4800" w:rsidP="00E01A78">
      <w:pPr>
        <w:pStyle w:val="EndnoteText"/>
        <w:jc w:val="both"/>
        <w:rPr>
          <w:szCs w:val="12"/>
          <w:lang w:val="en-ZA"/>
        </w:rPr>
      </w:pPr>
      <w:r w:rsidRPr="00357CF3">
        <w:rPr>
          <w:rStyle w:val="EndnoteReference"/>
        </w:rPr>
        <w:endnoteRef/>
      </w:r>
      <w:r w:rsidRPr="00357CF3">
        <w:rPr>
          <w:szCs w:val="12"/>
          <w:lang w:val="en-ZA"/>
        </w:rPr>
        <w:tab/>
        <w:t xml:space="preserve">Dispersible paediatric FDC TB formulations (dosing): National Department of Health, Essential Drugs Programme: </w:t>
      </w:r>
      <w:r w:rsidRPr="00357CF3">
        <w:rPr>
          <w:szCs w:val="12"/>
        </w:rPr>
        <w:t xml:space="preserve">Paediatric Hospital Level STGs and EML, 2017. </w:t>
      </w:r>
      <w:hyperlink r:id="rId46" w:history="1">
        <w:r w:rsidRPr="00357CF3">
          <w:rPr>
            <w:rStyle w:val="Hyperlink"/>
            <w:szCs w:val="12"/>
          </w:rPr>
          <w:t>http://www.health.gov.za/</w:t>
        </w:r>
      </w:hyperlink>
      <w:r w:rsidRPr="00357CF3">
        <w:rPr>
          <w:szCs w:val="12"/>
        </w:rPr>
        <w:t xml:space="preserve"> </w:t>
      </w:r>
    </w:p>
  </w:endnote>
  <w:endnote w:id="29">
    <w:p w14:paraId="45DDD570" w14:textId="77777777" w:rsidR="008C4800" w:rsidRPr="00357CF3" w:rsidRDefault="008C4800" w:rsidP="00E01A78">
      <w:pPr>
        <w:pStyle w:val="EndnoteText"/>
        <w:jc w:val="both"/>
        <w:rPr>
          <w:szCs w:val="12"/>
          <w:lang w:val="en-ZA"/>
        </w:rPr>
      </w:pPr>
      <w:r w:rsidRPr="00357CF3">
        <w:rPr>
          <w:rStyle w:val="EndnoteReference"/>
        </w:rPr>
        <w:endnoteRef/>
      </w:r>
      <w:r w:rsidRPr="00357CF3">
        <w:rPr>
          <w:szCs w:val="12"/>
          <w:lang w:val="en-ZA"/>
        </w:rPr>
        <w:tab/>
        <w:t>Pyridoxine, oral</w:t>
      </w:r>
      <w:r w:rsidRPr="00357CF3">
        <w:rPr>
          <w:szCs w:val="12"/>
          <w:lang w:val="en-ZA"/>
        </w:rPr>
        <w:fldChar w:fldCharType="begin"/>
      </w:r>
      <w:r w:rsidRPr="00357CF3">
        <w:rPr>
          <w:szCs w:val="12"/>
        </w:rPr>
        <w:instrText xml:space="preserve"> XE "Pyridoxine, oral" </w:instrText>
      </w:r>
      <w:r w:rsidRPr="00357CF3">
        <w:rPr>
          <w:szCs w:val="12"/>
          <w:lang w:val="en-ZA"/>
        </w:rPr>
        <w:fldChar w:fldCharType="end"/>
      </w:r>
      <w:r w:rsidRPr="00357CF3">
        <w:rPr>
          <w:szCs w:val="12"/>
          <w:lang w:val="en-ZA"/>
        </w:rPr>
        <w:t xml:space="preserve">: National Department of Health, Essential Drugs Programme: </w:t>
      </w:r>
      <w:r w:rsidRPr="00357CF3">
        <w:rPr>
          <w:szCs w:val="12"/>
        </w:rPr>
        <w:t xml:space="preserve">Paediatric Hospital Level STGs and EML, 2017. </w:t>
      </w:r>
      <w:hyperlink r:id="rId47" w:history="1">
        <w:r w:rsidRPr="00357CF3">
          <w:rPr>
            <w:rStyle w:val="Hyperlink"/>
            <w:szCs w:val="12"/>
          </w:rPr>
          <w:t>http://www.health.gov.za/</w:t>
        </w:r>
      </w:hyperlink>
      <w:r w:rsidRPr="00357CF3">
        <w:rPr>
          <w:szCs w:val="12"/>
        </w:rPr>
        <w:t xml:space="preserve"> </w:t>
      </w:r>
    </w:p>
  </w:endnote>
  <w:endnote w:id="30">
    <w:p w14:paraId="4637AA72" w14:textId="77777777" w:rsidR="008C4800" w:rsidRPr="00357CF3" w:rsidRDefault="008C4800" w:rsidP="00E01A78">
      <w:pPr>
        <w:pStyle w:val="EndnoteText"/>
        <w:jc w:val="both"/>
        <w:rPr>
          <w:szCs w:val="12"/>
          <w:lang w:val="en-ZA"/>
        </w:rPr>
      </w:pPr>
      <w:r w:rsidRPr="00357CF3">
        <w:rPr>
          <w:rStyle w:val="EndnoteReference"/>
        </w:rPr>
        <w:endnoteRef/>
      </w:r>
      <w:r w:rsidRPr="00357CF3">
        <w:rPr>
          <w:szCs w:val="12"/>
          <w:lang w:val="en-ZA"/>
        </w:rPr>
        <w:tab/>
        <w:t>Pyridoxine, oral</w:t>
      </w:r>
      <w:r w:rsidRPr="00357CF3">
        <w:rPr>
          <w:szCs w:val="12"/>
          <w:lang w:val="en-ZA"/>
        </w:rPr>
        <w:fldChar w:fldCharType="begin"/>
      </w:r>
      <w:r w:rsidRPr="00357CF3">
        <w:rPr>
          <w:szCs w:val="12"/>
        </w:rPr>
        <w:instrText xml:space="preserve"> XE "Pyridoxine, oral" </w:instrText>
      </w:r>
      <w:r w:rsidRPr="00357CF3">
        <w:rPr>
          <w:szCs w:val="12"/>
          <w:lang w:val="en-ZA"/>
        </w:rPr>
        <w:fldChar w:fldCharType="end"/>
      </w:r>
      <w:r w:rsidRPr="00357CF3">
        <w:rPr>
          <w:szCs w:val="12"/>
          <w:lang w:val="en-ZA"/>
        </w:rPr>
        <w:t xml:space="preserve">: National Department of Health, Essential Drugs Programme: </w:t>
      </w:r>
      <w:r w:rsidRPr="00357CF3">
        <w:rPr>
          <w:szCs w:val="12"/>
        </w:rPr>
        <w:t xml:space="preserve">Paediatric Hospital Level STGs and EML, 2017. </w:t>
      </w:r>
      <w:hyperlink r:id="rId48" w:history="1">
        <w:r w:rsidRPr="00357CF3">
          <w:rPr>
            <w:rStyle w:val="Hyperlink"/>
            <w:szCs w:val="12"/>
          </w:rPr>
          <w:t>http://www.health.gov.za/</w:t>
        </w:r>
      </w:hyperlink>
      <w:r w:rsidRPr="00357CF3">
        <w:rPr>
          <w:szCs w:val="12"/>
        </w:rPr>
        <w:t xml:space="preserve"> </w:t>
      </w:r>
    </w:p>
  </w:endnote>
  <w:endnote w:id="31">
    <w:p w14:paraId="5AAEE4A5" w14:textId="77777777" w:rsidR="008C4800" w:rsidRPr="00357CF3" w:rsidRDefault="008C4800" w:rsidP="002F201F">
      <w:pPr>
        <w:pStyle w:val="EndnoteText"/>
        <w:jc w:val="both"/>
        <w:rPr>
          <w:szCs w:val="12"/>
          <w:lang w:val="en-ZA"/>
        </w:rPr>
      </w:pPr>
      <w:r w:rsidRPr="00357CF3">
        <w:rPr>
          <w:rStyle w:val="EndnoteReference"/>
        </w:rPr>
        <w:endnoteRef/>
      </w:r>
      <w:r w:rsidRPr="00357CF3">
        <w:rPr>
          <w:szCs w:val="12"/>
          <w:lang w:val="en-ZA"/>
        </w:rPr>
        <w:tab/>
        <w:t>Pyridoxine, oral</w:t>
      </w:r>
      <w:r w:rsidRPr="00357CF3">
        <w:rPr>
          <w:szCs w:val="12"/>
          <w:lang w:val="en-ZA"/>
        </w:rPr>
        <w:fldChar w:fldCharType="begin"/>
      </w:r>
      <w:r w:rsidRPr="00357CF3">
        <w:rPr>
          <w:szCs w:val="12"/>
        </w:rPr>
        <w:instrText xml:space="preserve"> XE "Pyridoxine, oral" </w:instrText>
      </w:r>
      <w:r w:rsidRPr="00357CF3">
        <w:rPr>
          <w:szCs w:val="12"/>
          <w:lang w:val="en-ZA"/>
        </w:rPr>
        <w:fldChar w:fldCharType="end"/>
      </w:r>
      <w:r w:rsidRPr="00357CF3">
        <w:rPr>
          <w:szCs w:val="12"/>
          <w:lang w:val="en-ZA"/>
        </w:rPr>
        <w:t xml:space="preserve">: National Department of Health, Essential Drugs Programme: </w:t>
      </w:r>
      <w:r w:rsidRPr="00357CF3">
        <w:rPr>
          <w:szCs w:val="12"/>
        </w:rPr>
        <w:t xml:space="preserve">Paediatric Hospital Level STGs and EML, 2017. </w:t>
      </w:r>
      <w:hyperlink r:id="rId49" w:history="1">
        <w:r w:rsidRPr="00357CF3">
          <w:rPr>
            <w:rStyle w:val="Hyperlink"/>
            <w:szCs w:val="12"/>
          </w:rPr>
          <w:t>http://www.health.gov.za/</w:t>
        </w:r>
      </w:hyperlink>
      <w:r w:rsidRPr="00357CF3">
        <w:rPr>
          <w:szCs w:val="12"/>
        </w:rPr>
        <w:t xml:space="preserve"> </w:t>
      </w:r>
    </w:p>
  </w:endnote>
  <w:endnote w:id="32">
    <w:p w14:paraId="5226C640" w14:textId="129F4B31" w:rsidR="008C4800" w:rsidRPr="00357CF3" w:rsidRDefault="008C4800" w:rsidP="00357CF3">
      <w:pPr>
        <w:pStyle w:val="EndnoteText"/>
        <w:jc w:val="both"/>
        <w:rPr>
          <w:szCs w:val="12"/>
          <w:lang w:val="en-ZA"/>
        </w:rPr>
      </w:pPr>
      <w:r w:rsidRPr="00357CF3">
        <w:rPr>
          <w:rStyle w:val="EndnoteReference"/>
        </w:rPr>
        <w:endnoteRef/>
      </w:r>
      <w:r w:rsidRPr="00357CF3">
        <w:rPr>
          <w:szCs w:val="12"/>
          <w:lang w:val="en-ZA"/>
        </w:rPr>
        <w:tab/>
        <w:t>Pyridoxine, oral</w:t>
      </w:r>
      <w:r w:rsidRPr="00357CF3">
        <w:rPr>
          <w:szCs w:val="12"/>
          <w:lang w:val="en-ZA"/>
        </w:rPr>
        <w:fldChar w:fldCharType="begin"/>
      </w:r>
      <w:r w:rsidRPr="00357CF3">
        <w:rPr>
          <w:szCs w:val="12"/>
        </w:rPr>
        <w:instrText xml:space="preserve"> XE "Pyridoxine, oral" </w:instrText>
      </w:r>
      <w:r w:rsidRPr="00357CF3">
        <w:rPr>
          <w:szCs w:val="12"/>
          <w:lang w:val="en-ZA"/>
        </w:rPr>
        <w:fldChar w:fldCharType="end"/>
      </w:r>
      <w:r w:rsidRPr="00357CF3">
        <w:rPr>
          <w:szCs w:val="12"/>
          <w:lang w:val="en-ZA"/>
        </w:rPr>
        <w:t xml:space="preserve">: National Department of Health, Essential Drugs Programme: </w:t>
      </w:r>
      <w:r w:rsidRPr="00357CF3">
        <w:rPr>
          <w:szCs w:val="12"/>
        </w:rPr>
        <w:t xml:space="preserve">Paediatric Hospital Level STGs and EML, 2017. </w:t>
      </w:r>
      <w:hyperlink r:id="rId50" w:history="1">
        <w:r w:rsidRPr="00357CF3">
          <w:rPr>
            <w:rStyle w:val="Hyperlink"/>
            <w:szCs w:val="12"/>
          </w:rPr>
          <w:t>http://www.health.gov.za/</w:t>
        </w:r>
      </w:hyperlink>
      <w:r w:rsidRPr="00357CF3">
        <w:rPr>
          <w:szCs w:val="12"/>
        </w:rPr>
        <w:t xml:space="preserve"> </w:t>
      </w:r>
    </w:p>
  </w:endnote>
  <w:endnote w:id="33">
    <w:p w14:paraId="7BA6E293" w14:textId="77777777" w:rsidR="008C4800" w:rsidRPr="00357CF3" w:rsidRDefault="008C4800" w:rsidP="002F201F">
      <w:pPr>
        <w:pStyle w:val="EndnoteText"/>
        <w:jc w:val="both"/>
        <w:rPr>
          <w:szCs w:val="12"/>
          <w:lang w:val="en-ZA"/>
        </w:rPr>
      </w:pPr>
      <w:r w:rsidRPr="00357CF3">
        <w:rPr>
          <w:rStyle w:val="EndnoteReference"/>
        </w:rPr>
        <w:endnoteRef/>
      </w:r>
      <w:r w:rsidRPr="00357CF3">
        <w:rPr>
          <w:szCs w:val="12"/>
          <w:lang w:val="en-ZA"/>
        </w:rPr>
        <w:tab/>
        <w:t xml:space="preserve">Definitions of DR-TB: </w:t>
      </w:r>
      <w:hyperlink r:id="rId51" w:history="1">
        <w:r w:rsidRPr="00357CF3">
          <w:rPr>
            <w:rStyle w:val="Hyperlink"/>
            <w:szCs w:val="12"/>
          </w:rPr>
          <w:t>WHO announces updated definitions of extensively drug-resistant tuberculosis</w:t>
        </w:r>
      </w:hyperlink>
      <w:r w:rsidRPr="00357CF3">
        <w:rPr>
          <w:szCs w:val="12"/>
        </w:rPr>
        <w:t xml:space="preserve"> https://www.who.int/news/item/27-01-2021-who-announces-updated-definitions-of-extensively-drug-resistant-tuberculosis</w:t>
      </w:r>
    </w:p>
  </w:endnote>
  <w:endnote w:id="34">
    <w:p w14:paraId="3006526A" w14:textId="03111D64" w:rsidR="008C4800" w:rsidRPr="00357CF3" w:rsidRDefault="008C4800" w:rsidP="00357CF3">
      <w:pPr>
        <w:pStyle w:val="EndnoteText"/>
        <w:jc w:val="both"/>
        <w:rPr>
          <w:szCs w:val="12"/>
        </w:rPr>
      </w:pPr>
      <w:r w:rsidRPr="00357CF3">
        <w:rPr>
          <w:rStyle w:val="EndnoteReference"/>
        </w:rPr>
        <w:endnoteRef/>
      </w:r>
      <w:r w:rsidRPr="00357CF3">
        <w:rPr>
          <w:szCs w:val="12"/>
        </w:rPr>
        <w:tab/>
        <w:t>Levofloxacin, oral</w:t>
      </w:r>
      <w:r w:rsidRPr="00357CF3">
        <w:rPr>
          <w:szCs w:val="12"/>
        </w:rPr>
        <w:fldChar w:fldCharType="begin"/>
      </w:r>
      <w:r w:rsidRPr="00357CF3">
        <w:rPr>
          <w:szCs w:val="12"/>
        </w:rPr>
        <w:instrText xml:space="preserve"> XE "Levofloxacin, oral" </w:instrText>
      </w:r>
      <w:r w:rsidRPr="00357CF3">
        <w:rPr>
          <w:szCs w:val="12"/>
        </w:rPr>
        <w:fldChar w:fldCharType="end"/>
      </w:r>
      <w:r w:rsidRPr="00357CF3">
        <w:rPr>
          <w:szCs w:val="12"/>
        </w:rPr>
        <w:t xml:space="preserve"> (with rifampicin, ethambutamol, pyrazinamide): National Department of Health: Affordable Medicines, EDP-Adult Hospital level. Medicine Review: Levofloxacin, oral (in addition to rifampicin, pyrazinamide, and ethambutol) for isoniazid-resistant tuberculosis, September 2019. </w:t>
      </w:r>
      <w:hyperlink r:id="rId52" w:history="1">
        <w:r w:rsidRPr="00357CF3">
          <w:rPr>
            <w:rStyle w:val="Hyperlink"/>
            <w:szCs w:val="12"/>
          </w:rPr>
          <w:t>http://www.health.gov.za/</w:t>
        </w:r>
      </w:hyperlink>
      <w:r w:rsidRPr="00357CF3">
        <w:rPr>
          <w:szCs w:val="12"/>
        </w:rPr>
        <w:t xml:space="preserve"> </w:t>
      </w:r>
    </w:p>
    <w:p w14:paraId="7D948B97" w14:textId="43F55EB0" w:rsidR="008C4800" w:rsidRPr="00357CF3" w:rsidRDefault="008C4800" w:rsidP="00357CF3">
      <w:pPr>
        <w:pStyle w:val="EndnoteText"/>
        <w:jc w:val="both"/>
        <w:rPr>
          <w:szCs w:val="12"/>
        </w:rPr>
      </w:pPr>
      <w:r w:rsidRPr="00357CF3">
        <w:rPr>
          <w:szCs w:val="12"/>
        </w:rPr>
        <w:tab/>
        <w:t>Levofloxacin, oral</w:t>
      </w:r>
      <w:r w:rsidRPr="00357CF3">
        <w:rPr>
          <w:szCs w:val="12"/>
        </w:rPr>
        <w:fldChar w:fldCharType="begin"/>
      </w:r>
      <w:r w:rsidRPr="00357CF3">
        <w:rPr>
          <w:szCs w:val="12"/>
        </w:rPr>
        <w:instrText xml:space="preserve"> XE "Levofloxacin, oral" </w:instrText>
      </w:r>
      <w:r w:rsidRPr="00357CF3">
        <w:rPr>
          <w:szCs w:val="12"/>
        </w:rPr>
        <w:fldChar w:fldCharType="end"/>
      </w:r>
      <w:r w:rsidRPr="00357CF3">
        <w:rPr>
          <w:szCs w:val="12"/>
        </w:rPr>
        <w:t xml:space="preserve"> (with rifampicin, ethambutamol, pyrazinamide): Fregonese F, Ahuja SD, Akkerman OW, Arakaki-Sanchez D, Ayakaka I, Baghaei P, et al. Comparison of different treatments for isoniazid-resistant tuberculosis: an individual patient data meta-analysis. Lancet Respir Med. 2018;6(4):265-75. </w:t>
      </w:r>
      <w:hyperlink r:id="rId53" w:history="1">
        <w:r w:rsidRPr="00357CF3">
          <w:rPr>
            <w:rStyle w:val="Hyperlink"/>
            <w:szCs w:val="12"/>
          </w:rPr>
          <w:t>https://www.ncbi.nlm.nih.gov/pubmed/29595509</w:t>
        </w:r>
      </w:hyperlink>
      <w:r w:rsidRPr="00357CF3">
        <w:rPr>
          <w:szCs w:val="12"/>
        </w:rPr>
        <w:t xml:space="preserve"> </w:t>
      </w:r>
    </w:p>
    <w:p w14:paraId="46BC0CF3" w14:textId="52CCCD03" w:rsidR="008C4800" w:rsidRPr="00357CF3" w:rsidRDefault="008C4800" w:rsidP="00357CF3">
      <w:pPr>
        <w:pStyle w:val="EndnoteText"/>
        <w:jc w:val="both"/>
        <w:rPr>
          <w:szCs w:val="12"/>
        </w:rPr>
      </w:pPr>
      <w:r w:rsidRPr="00357CF3">
        <w:rPr>
          <w:szCs w:val="12"/>
        </w:rPr>
        <w:tab/>
        <w:t>Levofloxacin, oral</w:t>
      </w:r>
      <w:r w:rsidRPr="00357CF3">
        <w:rPr>
          <w:szCs w:val="12"/>
        </w:rPr>
        <w:fldChar w:fldCharType="begin"/>
      </w:r>
      <w:r w:rsidRPr="00357CF3">
        <w:rPr>
          <w:szCs w:val="12"/>
        </w:rPr>
        <w:instrText xml:space="preserve"> XE "Levofloxacin, oral" </w:instrText>
      </w:r>
      <w:r w:rsidRPr="00357CF3">
        <w:rPr>
          <w:szCs w:val="12"/>
        </w:rPr>
        <w:fldChar w:fldCharType="end"/>
      </w:r>
      <w:r w:rsidRPr="00357CF3">
        <w:rPr>
          <w:szCs w:val="12"/>
        </w:rPr>
        <w:t xml:space="preserve"> (with rifampicin, ethambutamol, pyrazinamide): World Health Organization. WHO Consolidated Guidelines on Drug-resistant Tuberculosis Treatment 2019.Available from: </w:t>
      </w:r>
      <w:hyperlink r:id="rId54" w:history="1">
        <w:r w:rsidRPr="00357CF3">
          <w:rPr>
            <w:rStyle w:val="Hyperlink"/>
            <w:szCs w:val="12"/>
          </w:rPr>
          <w:t>https://www.who.int/tb/publications/2019/consolidated-guidelines-drug-resistant-TB-treatment/en/</w:t>
        </w:r>
      </w:hyperlink>
      <w:r w:rsidRPr="00357CF3">
        <w:rPr>
          <w:szCs w:val="12"/>
        </w:rPr>
        <w:t xml:space="preserve"> </w:t>
      </w:r>
    </w:p>
    <w:p w14:paraId="15E1C51C" w14:textId="70D2E277" w:rsidR="008C4800" w:rsidRPr="00357CF3" w:rsidRDefault="008C4800" w:rsidP="00357CF3">
      <w:pPr>
        <w:pStyle w:val="EndnoteText"/>
        <w:jc w:val="both"/>
        <w:rPr>
          <w:b/>
          <w:bCs/>
          <w:szCs w:val="1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716AB" w14:textId="77777777" w:rsidR="008C4800" w:rsidRDefault="008C4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1F5B2" w14:textId="0DD49FC2" w:rsidR="008C4800" w:rsidRDefault="008C4800">
    <w:pPr>
      <w:pStyle w:val="Footer"/>
    </w:pPr>
    <w:r>
      <w:t>PHC Chp 17_Respiratory_Version1.0_4C_27 Nov 2025</w:t>
    </w:r>
    <w:r>
      <w:tab/>
    </w:r>
    <w:r>
      <w:fldChar w:fldCharType="begin"/>
    </w:r>
    <w:r>
      <w:instrText xml:space="preserve"> PAGE   \* MERGEFORMAT </w:instrText>
    </w:r>
    <w:r>
      <w:fldChar w:fldCharType="separate"/>
    </w:r>
    <w:r w:rsidR="008E318E">
      <w:rPr>
        <w:noProof/>
      </w:rPr>
      <w:t>17.20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DF29" w14:textId="559A4DFF" w:rsidR="008C4800" w:rsidRPr="00341804" w:rsidRDefault="008C4800" w:rsidP="00341804">
    <w:pPr>
      <w:pStyle w:val="Footer"/>
    </w:pPr>
    <w:r>
      <w:t>PHC Chp 17_Respiratory_Version1.0_4C_27 Nov 2025</w:t>
    </w:r>
    <w:r>
      <w:tab/>
    </w:r>
    <w:r>
      <w:fldChar w:fldCharType="begin"/>
    </w:r>
    <w:r>
      <w:instrText xml:space="preserve"> PAGE   \* MERGEFORMAT </w:instrText>
    </w:r>
    <w:r>
      <w:fldChar w:fldCharType="separate"/>
    </w:r>
    <w:r w:rsidR="008E318E">
      <w:rPr>
        <w:noProof/>
      </w:rPr>
      <w:t>17.1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8C493" w14:textId="77777777" w:rsidR="00A75121" w:rsidRDefault="00A75121" w:rsidP="00AD1B9A">
      <w:r>
        <w:separator/>
      </w:r>
    </w:p>
  </w:footnote>
  <w:footnote w:type="continuationSeparator" w:id="0">
    <w:p w14:paraId="7623CDCD" w14:textId="77777777" w:rsidR="00A75121" w:rsidRDefault="00A75121" w:rsidP="00AD1B9A">
      <w:r>
        <w:continuationSeparator/>
      </w:r>
    </w:p>
  </w:footnote>
  <w:footnote w:type="continuationNotice" w:id="1">
    <w:p w14:paraId="1BFB5DF1" w14:textId="77777777" w:rsidR="00A75121" w:rsidRDefault="00A7512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82072" w14:textId="5EE05899" w:rsidR="008C4800" w:rsidRDefault="008C4800">
    <w:pPr>
      <w:pStyle w:val="Header"/>
    </w:pPr>
    <w:r>
      <w:rPr>
        <w:noProof/>
      </w:rPr>
      <w:pict w14:anchorId="3B12E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09813" o:spid="_x0000_s2050" type="#_x0000_t136" style="position:absolute;left:0;text-align:left;margin-left:0;margin-top:0;width:430.5pt;height:41pt;rotation:315;z-index:-251655168;mso-position-horizontal:center;mso-position-horizontal-relative:margin;mso-position-vertical:center;mso-position-vertical-relative:margin" o:allowincell="f" fillcolor="silver" stroked="f">
          <v:fill opacity=".5"/>
          <v:textpath style="font-family:&quot;Arial&quot;;font-size:1pt" string="DRAFT FOR COM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E10A" w14:textId="46E657BC" w:rsidR="008C4800" w:rsidRDefault="008C4800" w:rsidP="0005561D">
    <w:pPr>
      <w:pStyle w:val="Header"/>
    </w:pPr>
    <w:r>
      <w:rPr>
        <w:noProof/>
      </w:rPr>
      <w:pict w14:anchorId="31B6A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09814" o:spid="_x0000_s2051" type="#_x0000_t136" style="position:absolute;left:0;text-align:left;margin-left:0;margin-top:0;width:430.5pt;height:41pt;rotation:315;z-index:-251653120;mso-position-horizontal:center;mso-position-horizontal-relative:margin;mso-position-vertical:center;mso-position-vertical-relative:margin" o:allowincell="f" fillcolor="silver" stroked="f">
          <v:fill opacity=".5"/>
          <v:textpath style="font-family:&quot;Arial&quot;;font-size:1pt" string="DRAFT FOR COMMENT"/>
          <w10:wrap anchorx="margin" anchory="margin"/>
        </v:shape>
      </w:pict>
    </w:r>
    <w:r w:rsidRPr="0005561D">
      <w:t xml:space="preserve">Chapter </w:t>
    </w:r>
    <w:r>
      <w:t>17</w:t>
    </w:r>
    <w:r w:rsidRPr="0005561D">
      <w:tab/>
    </w:r>
    <w:r w:rsidRPr="0005561D">
      <w:tab/>
    </w:r>
    <w:r w:rsidRPr="00FF01A9">
      <w:t>Respiratory conditions</w:t>
    </w:r>
  </w:p>
  <w:p w14:paraId="60062FDF" w14:textId="77777777" w:rsidR="008C4800" w:rsidRPr="00A56815" w:rsidRDefault="008C4800" w:rsidP="00A56815">
    <w:pPr>
      <w:pStyle w:val="NoSpacing"/>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70DF2" w14:textId="33765A46" w:rsidR="008C4800" w:rsidRPr="00341804" w:rsidRDefault="008C4800" w:rsidP="00341804">
    <w:pPr>
      <w:pStyle w:val="Header"/>
      <w:pBdr>
        <w:bottom w:val="none" w:sz="0" w:space="0" w:color="auto"/>
      </w:pBdr>
    </w:pPr>
    <w:r>
      <w:rPr>
        <w:noProof/>
      </w:rPr>
      <w:pict w14:anchorId="7842B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09812" o:spid="_x0000_s2049" type="#_x0000_t136" style="position:absolute;left:0;text-align:left;margin-left:0;margin-top:0;width:430.5pt;height:41pt;rotation:315;z-index:-251657216;mso-position-horizontal:center;mso-position-horizontal-relative:margin;mso-position-vertical:center;mso-position-vertical-relative:margin" o:allowincell="f" fillcolor="silver" stroked="f">
          <v:fill opacity=".5"/>
          <v:textpath style="font-family:&quot;Arial&quot;;font-size:1pt" string="DRAFT FOR COM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AFA"/>
    <w:multiLevelType w:val="hybridMultilevel"/>
    <w:tmpl w:val="601EB2A6"/>
    <w:lvl w:ilvl="0" w:tplc="1C090013">
      <w:start w:val="1"/>
      <w:numFmt w:val="upperRoman"/>
      <w:lvlText w:val="%1."/>
      <w:lvlJc w:val="right"/>
      <w:pPr>
        <w:ind w:left="928" w:hanging="360"/>
      </w:p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nsid w:val="03B905BD"/>
    <w:multiLevelType w:val="hybridMultilevel"/>
    <w:tmpl w:val="841A7472"/>
    <w:lvl w:ilvl="0" w:tplc="08090003">
      <w:start w:val="1"/>
      <w:numFmt w:val="bullet"/>
      <w:lvlText w:val="o"/>
      <w:lvlJc w:val="left"/>
      <w:pPr>
        <w:ind w:left="1134" w:hanging="360"/>
      </w:pPr>
      <w:rPr>
        <w:rFonts w:ascii="Courier New" w:hAnsi="Courier New" w:cs="Arial" w:hint="default"/>
      </w:rPr>
    </w:lvl>
    <w:lvl w:ilvl="1" w:tplc="08090003" w:tentative="1">
      <w:start w:val="1"/>
      <w:numFmt w:val="bullet"/>
      <w:lvlText w:val="o"/>
      <w:lvlJc w:val="left"/>
      <w:pPr>
        <w:ind w:left="1854" w:hanging="360"/>
      </w:pPr>
      <w:rPr>
        <w:rFonts w:ascii="Courier New" w:hAnsi="Courier New"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Arial"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Arial" w:hint="default"/>
      </w:rPr>
    </w:lvl>
    <w:lvl w:ilvl="8" w:tplc="08090005" w:tentative="1">
      <w:start w:val="1"/>
      <w:numFmt w:val="bullet"/>
      <w:lvlText w:val=""/>
      <w:lvlJc w:val="left"/>
      <w:pPr>
        <w:ind w:left="6894" w:hanging="360"/>
      </w:pPr>
      <w:rPr>
        <w:rFonts w:ascii="Wingdings" w:hAnsi="Wingdings" w:hint="default"/>
      </w:rPr>
    </w:lvl>
  </w:abstractNum>
  <w:abstractNum w:abstractNumId="2">
    <w:nsid w:val="042538FA"/>
    <w:multiLevelType w:val="multilevel"/>
    <w:tmpl w:val="FFBC884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082590"/>
    <w:multiLevelType w:val="hybridMultilevel"/>
    <w:tmpl w:val="6C1855F0"/>
    <w:lvl w:ilvl="0" w:tplc="1C09001B">
      <w:start w:val="1"/>
      <w:numFmt w:val="lowerRoman"/>
      <w:lvlText w:val="%1."/>
      <w:lvlJc w:val="righ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4">
    <w:nsid w:val="05426D35"/>
    <w:multiLevelType w:val="multilevel"/>
    <w:tmpl w:val="BF04AA2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92319E"/>
    <w:multiLevelType w:val="hybridMultilevel"/>
    <w:tmpl w:val="5B82F24A"/>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099A7E3A"/>
    <w:multiLevelType w:val="multilevel"/>
    <w:tmpl w:val="B71C3D9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083DC8"/>
    <w:multiLevelType w:val="multilevel"/>
    <w:tmpl w:val="D81A015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895BCB"/>
    <w:multiLevelType w:val="multilevel"/>
    <w:tmpl w:val="AF3E821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A36470"/>
    <w:multiLevelType w:val="hybridMultilevel"/>
    <w:tmpl w:val="E02C8D7E"/>
    <w:lvl w:ilvl="0" w:tplc="1C09001B">
      <w:start w:val="1"/>
      <w:numFmt w:val="lowerRoman"/>
      <w:lvlText w:val="%1."/>
      <w:lvlJc w:val="right"/>
      <w:pPr>
        <w:ind w:left="928" w:hanging="360"/>
      </w:pPr>
    </w:lvl>
    <w:lvl w:ilvl="1" w:tplc="1C090019" w:tentative="1">
      <w:start w:val="1"/>
      <w:numFmt w:val="lowerLetter"/>
      <w:lvlText w:val="%2."/>
      <w:lvlJc w:val="left"/>
      <w:pPr>
        <w:ind w:left="1648" w:hanging="360"/>
      </w:pPr>
    </w:lvl>
    <w:lvl w:ilvl="2" w:tplc="1C09001B">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0">
    <w:nsid w:val="1888400B"/>
    <w:multiLevelType w:val="hybridMultilevel"/>
    <w:tmpl w:val="1B5636F0"/>
    <w:lvl w:ilvl="0" w:tplc="1C090019">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1">
    <w:nsid w:val="1CE06990"/>
    <w:multiLevelType w:val="hybridMultilevel"/>
    <w:tmpl w:val="C408E44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ED3215"/>
    <w:multiLevelType w:val="hybridMultilevel"/>
    <w:tmpl w:val="E78EB478"/>
    <w:lvl w:ilvl="0" w:tplc="1C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E125888"/>
    <w:multiLevelType w:val="multilevel"/>
    <w:tmpl w:val="30E4E49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E9F5F73"/>
    <w:multiLevelType w:val="hybridMultilevel"/>
    <w:tmpl w:val="F26A59F2"/>
    <w:lvl w:ilvl="0" w:tplc="19764CF6">
      <w:start w:val="1"/>
      <w:numFmt w:val="bullet"/>
      <w:pStyle w:val="ep4"/>
      <w:lvlText w:val=""/>
      <w:lvlJc w:val="left"/>
      <w:pPr>
        <w:tabs>
          <w:tab w:val="num" w:pos="360"/>
        </w:tabs>
        <w:ind w:left="360" w:hanging="360"/>
      </w:pPr>
      <w:rPr>
        <w:rFonts w:ascii="Symbol" w:hAnsi="Symbol" w:hint="default"/>
        <w:strike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06E48FA"/>
    <w:multiLevelType w:val="multilevel"/>
    <w:tmpl w:val="C64CFCF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104522E"/>
    <w:multiLevelType w:val="multilevel"/>
    <w:tmpl w:val="C4D83F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D94189"/>
    <w:multiLevelType w:val="hybridMultilevel"/>
    <w:tmpl w:val="D2DCF9C6"/>
    <w:lvl w:ilvl="0" w:tplc="59B4C2F6">
      <w:start w:val="1"/>
      <w:numFmt w:val="bullet"/>
      <w:lvlText w:val="»"/>
      <w:lvlJc w:val="left"/>
      <w:pPr>
        <w:ind w:left="360" w:hanging="360"/>
      </w:pPr>
      <w:rPr>
        <w:rFonts w:ascii="Arial" w:hAnsi="Arial" w:hint="default"/>
        <w:b w:val="0"/>
        <w:i w:val="0"/>
        <w:color w:val="000000"/>
        <w:sz w:val="18"/>
      </w:rPr>
    </w:lvl>
    <w:lvl w:ilvl="1" w:tplc="92900484">
      <w:start w:val="1"/>
      <w:numFmt w:val="bullet"/>
      <w:lvlText w:val="-"/>
      <w:lvlJc w:val="left"/>
      <w:pPr>
        <w:ind w:left="720" w:hanging="360"/>
      </w:pPr>
      <w:rPr>
        <w:rFonts w:ascii="Courier New" w:hAnsi="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268E616F"/>
    <w:multiLevelType w:val="multilevel"/>
    <w:tmpl w:val="59AA6B3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795285E"/>
    <w:multiLevelType w:val="multilevel"/>
    <w:tmpl w:val="96E40D1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9CA6271"/>
    <w:multiLevelType w:val="multilevel"/>
    <w:tmpl w:val="925C561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AF53B71"/>
    <w:multiLevelType w:val="multilevel"/>
    <w:tmpl w:val="21C0125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BA22614"/>
    <w:multiLevelType w:val="hybridMultilevel"/>
    <w:tmpl w:val="1C043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C230700"/>
    <w:multiLevelType w:val="hybridMultilevel"/>
    <w:tmpl w:val="EFB2390C"/>
    <w:lvl w:ilvl="0" w:tplc="1C090013">
      <w:start w:val="1"/>
      <w:numFmt w:val="upperRoman"/>
      <w:lvlText w:val="%1."/>
      <w:lvlJc w:val="righ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4">
    <w:nsid w:val="2C73000C"/>
    <w:multiLevelType w:val="hybridMultilevel"/>
    <w:tmpl w:val="E9C2616C"/>
    <w:lvl w:ilvl="0" w:tplc="59B4C2F6">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nsid w:val="2DCC1B74"/>
    <w:multiLevelType w:val="multilevel"/>
    <w:tmpl w:val="C5B8ABD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1DE48A5"/>
    <w:multiLevelType w:val="multilevel"/>
    <w:tmpl w:val="52E8DE9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28138A1"/>
    <w:multiLevelType w:val="hybridMultilevel"/>
    <w:tmpl w:val="B2DC1CF6"/>
    <w:lvl w:ilvl="0" w:tplc="1C09001B">
      <w:start w:val="1"/>
      <w:numFmt w:val="lowerRoman"/>
      <w:lvlText w:val="%1."/>
      <w:lvlJc w:val="right"/>
      <w:pPr>
        <w:ind w:left="928" w:hanging="360"/>
      </w:p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nsid w:val="34892E4C"/>
    <w:multiLevelType w:val="multilevel"/>
    <w:tmpl w:val="92FC3E7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62B424A"/>
    <w:multiLevelType w:val="hybridMultilevel"/>
    <w:tmpl w:val="83F037A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363546DB"/>
    <w:multiLevelType w:val="multilevel"/>
    <w:tmpl w:val="5A003028"/>
    <w:lvl w:ilvl="0">
      <w:start w:val="17"/>
      <w:numFmt w:val="decimal"/>
      <w:pStyle w:val="Heading1"/>
      <w:lvlText w:val="PHC Chapter %1:"/>
      <w:lvlJc w:val="left"/>
      <w:pPr>
        <w:ind w:left="2693" w:hanging="294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24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Restart w:val="4"/>
      <w:pStyle w:val="Heading8"/>
      <w:lvlText w:val="%1.%2.%3.%4.%8"/>
      <w:lvlJc w:val="left"/>
      <w:pPr>
        <w:ind w:left="1247" w:hanging="1247"/>
      </w:pPr>
      <w:rPr>
        <w:rFonts w:hint="default"/>
      </w:rPr>
    </w:lvl>
    <w:lvl w:ilvl="8">
      <w:start w:val="1"/>
      <w:numFmt w:val="decimal"/>
      <w:pStyle w:val="Heading9"/>
      <w:lvlText w:val="%1.%2.%3.%4.%5.%6.%7.%8.%9"/>
      <w:lvlJc w:val="left"/>
      <w:pPr>
        <w:ind w:left="1584" w:hanging="1584"/>
      </w:pPr>
      <w:rPr>
        <w:rFonts w:hint="default"/>
      </w:rPr>
    </w:lvl>
  </w:abstractNum>
  <w:abstractNum w:abstractNumId="31">
    <w:nsid w:val="36674731"/>
    <w:multiLevelType w:val="multilevel"/>
    <w:tmpl w:val="846208FC"/>
    <w:lvl w:ilvl="0">
      <w:start w:val="1"/>
      <w:numFmt w:val="bullet"/>
      <w:pStyle w:val="BulletDirectionsInstructions"/>
      <w:lvlText w:val="o"/>
      <w:lvlJc w:val="left"/>
      <w:pPr>
        <w:ind w:left="567"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87C2F61"/>
    <w:multiLevelType w:val="multilevel"/>
    <w:tmpl w:val="A4084414"/>
    <w:lvl w:ilvl="0">
      <w:numFmt w:val="none"/>
      <w:lvlText w:val="»"/>
      <w:lvlJc w:val="left"/>
      <w:pPr>
        <w:ind w:left="284" w:hanging="284"/>
      </w:pPr>
      <w:rPr>
        <w:rFonts w:hint="default"/>
        <w:color w:val="000000"/>
      </w:rPr>
    </w:lvl>
    <w:lvl w:ilvl="1">
      <w:start w:val="1"/>
      <w:numFmt w:val="bullet"/>
      <w:lvlText w:val="-"/>
      <w:lvlJc w:val="left"/>
      <w:pPr>
        <w:ind w:left="567" w:hanging="283"/>
      </w:pPr>
      <w:rPr>
        <w:rFonts w:ascii="Courier New" w:hAnsi="Courier New" w:hint="default"/>
        <w:b/>
        <w:i w:val="0"/>
        <w:color w:val="000000"/>
        <w:sz w:val="14"/>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3A1F6B2F"/>
    <w:multiLevelType w:val="multilevel"/>
    <w:tmpl w:val="72F211B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563F5A"/>
    <w:multiLevelType w:val="multilevel"/>
    <w:tmpl w:val="5E3C7BB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A7A07E3"/>
    <w:multiLevelType w:val="multilevel"/>
    <w:tmpl w:val="8C841ED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B074DEB"/>
    <w:multiLevelType w:val="multilevel"/>
    <w:tmpl w:val="F00222D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C251272"/>
    <w:multiLevelType w:val="multilevel"/>
    <w:tmpl w:val="048A7D6A"/>
    <w:lvl w:ilvl="0">
      <w:start w:val="1"/>
      <w:numFmt w:val="decimal"/>
      <w:pStyle w:val="ListParagraphNumbered"/>
      <w:lvlText w:val="%1."/>
      <w:lvlJc w:val="left"/>
      <w:pPr>
        <w:ind w:left="284" w:hanging="284"/>
      </w:pPr>
      <w:rPr>
        <w:rFonts w:ascii="Arial" w:hAnsi="Arial" w:hint="default"/>
        <w:b w:val="0"/>
        <w:i w:val="0"/>
        <w:color w:val="000000"/>
        <w:sz w:val="18"/>
      </w:rPr>
    </w:lvl>
    <w:lvl w:ilvl="1">
      <w:start w:val="1"/>
      <w:numFmt w:val="lowerLetter"/>
      <w:lvlText w:val="%2."/>
      <w:lvlJc w:val="left"/>
      <w:pPr>
        <w:ind w:left="567" w:hanging="283"/>
      </w:pPr>
      <w:rPr>
        <w:rFonts w:ascii="Arial" w:hAnsi="Arial" w:hint="default"/>
        <w:b w:val="0"/>
        <w:i w:val="0"/>
        <w:caps w:val="0"/>
        <w:strike w:val="0"/>
        <w:dstrike w:val="0"/>
        <w:vanish w:val="0"/>
        <w:sz w:val="18"/>
        <w:vertAlign w:val="baseline"/>
      </w:rPr>
    </w:lvl>
    <w:lvl w:ilvl="2">
      <w:start w:val="1"/>
      <w:numFmt w:val="bullet"/>
      <w:lvlText w:val="-"/>
      <w:lvlJc w:val="left"/>
      <w:pPr>
        <w:ind w:left="851" w:hanging="284"/>
      </w:pPr>
      <w:rPr>
        <w:rFonts w:ascii="Courier New" w:hAnsi="Courier New" w:hint="default"/>
        <w:color w:val="000000"/>
      </w:rPr>
    </w:lvl>
    <w:lvl w:ilvl="3">
      <w:start w:val="1"/>
      <w:numFmt w:val="bullet"/>
      <w:lvlText w:val=""/>
      <w:lvlJc w:val="left"/>
      <w:pPr>
        <w:ind w:left="1134"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3EEB7834"/>
    <w:multiLevelType w:val="multilevel"/>
    <w:tmpl w:val="8AE881D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2347D62"/>
    <w:multiLevelType w:val="hybridMultilevel"/>
    <w:tmpl w:val="D8CA5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12392D"/>
    <w:multiLevelType w:val="multilevel"/>
    <w:tmpl w:val="6F44175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54D6093"/>
    <w:multiLevelType w:val="multilevel"/>
    <w:tmpl w:val="49DE3CB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56168D9"/>
    <w:multiLevelType w:val="multilevel"/>
    <w:tmpl w:val="3C60B24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71C463D"/>
    <w:multiLevelType w:val="multilevel"/>
    <w:tmpl w:val="C5248B1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79C724B"/>
    <w:multiLevelType w:val="hybridMultilevel"/>
    <w:tmpl w:val="618A4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7B12017"/>
    <w:multiLevelType w:val="multilevel"/>
    <w:tmpl w:val="89D4296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86F08DF"/>
    <w:multiLevelType w:val="hybridMultilevel"/>
    <w:tmpl w:val="5CA6AF2A"/>
    <w:lvl w:ilvl="0" w:tplc="1C09000F">
      <w:start w:val="1"/>
      <w:numFmt w:val="decimal"/>
      <w:lvlText w:val="%1."/>
      <w:lvlJc w:val="left"/>
      <w:pPr>
        <w:ind w:left="928" w:hanging="360"/>
      </w:pPr>
    </w:lvl>
    <w:lvl w:ilvl="1" w:tplc="1C090019">
      <w:start w:val="1"/>
      <w:numFmt w:val="lowerLetter"/>
      <w:lvlText w:val="%2."/>
      <w:lvlJc w:val="left"/>
      <w:pPr>
        <w:ind w:left="1648" w:hanging="360"/>
      </w:pPr>
    </w:lvl>
    <w:lvl w:ilvl="2" w:tplc="1C09001B">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47">
    <w:nsid w:val="48C16710"/>
    <w:multiLevelType w:val="multilevel"/>
    <w:tmpl w:val="4DCAD19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95C1673"/>
    <w:multiLevelType w:val="hybridMultilevel"/>
    <w:tmpl w:val="C49AD6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49B01A0C"/>
    <w:multiLevelType w:val="multilevel"/>
    <w:tmpl w:val="1F264354"/>
    <w:lvl w:ilvl="0">
      <w:numFmt w:val="none"/>
      <w:pStyle w:val="ListParagraph"/>
      <w:lvlText w:val="»"/>
      <w:lvlJc w:val="left"/>
      <w:pPr>
        <w:ind w:left="284" w:hanging="284"/>
      </w:pPr>
      <w:rPr>
        <w:rFonts w:hint="default"/>
        <w:color w:val="000000"/>
      </w:rPr>
    </w:lvl>
    <w:lvl w:ilvl="1">
      <w:start w:val="1"/>
      <w:numFmt w:val="bullet"/>
      <w:lvlText w:val="-"/>
      <w:lvlJc w:val="left"/>
      <w:pPr>
        <w:ind w:left="567" w:hanging="283"/>
      </w:pPr>
      <w:rPr>
        <w:rFonts w:ascii="Courier New" w:hAnsi="Courier New" w:hint="default"/>
        <w:b/>
        <w:i w:val="0"/>
        <w:color w:val="000000"/>
        <w:sz w:val="1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nsid w:val="49CE304A"/>
    <w:multiLevelType w:val="multilevel"/>
    <w:tmpl w:val="6C7683B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CCE37B8"/>
    <w:multiLevelType w:val="hybridMultilevel"/>
    <w:tmpl w:val="A1E451B6"/>
    <w:lvl w:ilvl="0" w:tplc="1C090019">
      <w:start w:val="1"/>
      <w:numFmt w:val="lowerLetter"/>
      <w:lvlText w:val="%1."/>
      <w:lvlJc w:val="left"/>
      <w:pPr>
        <w:ind w:left="928" w:hanging="360"/>
      </w:p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2">
    <w:nsid w:val="4D3354EA"/>
    <w:multiLevelType w:val="hybridMultilevel"/>
    <w:tmpl w:val="31C83E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4DDD5771"/>
    <w:multiLevelType w:val="multilevel"/>
    <w:tmpl w:val="83DE3EB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02E4665"/>
    <w:multiLevelType w:val="hybridMultilevel"/>
    <w:tmpl w:val="9788A47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nsid w:val="527B7D0E"/>
    <w:multiLevelType w:val="hybridMultilevel"/>
    <w:tmpl w:val="C24451F8"/>
    <w:lvl w:ilvl="0" w:tplc="59B4C2F6">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nsid w:val="52B66665"/>
    <w:multiLevelType w:val="multilevel"/>
    <w:tmpl w:val="E0B0635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46A2565"/>
    <w:multiLevelType w:val="multilevel"/>
    <w:tmpl w:val="7A06A33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5042F1D"/>
    <w:multiLevelType w:val="multilevel"/>
    <w:tmpl w:val="5B043D6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73F465A"/>
    <w:multiLevelType w:val="multilevel"/>
    <w:tmpl w:val="7BCE245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8353D2E"/>
    <w:multiLevelType w:val="multilevel"/>
    <w:tmpl w:val="A420ED0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9ED2ECE"/>
    <w:multiLevelType w:val="multilevel"/>
    <w:tmpl w:val="7CCC371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CD81EAE"/>
    <w:multiLevelType w:val="hybridMultilevel"/>
    <w:tmpl w:val="BBF05C4E"/>
    <w:lvl w:ilvl="0" w:tplc="1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nsid w:val="5FE34D07"/>
    <w:multiLevelType w:val="hybridMultilevel"/>
    <w:tmpl w:val="5262D5D6"/>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5FEC1FD0"/>
    <w:multiLevelType w:val="multilevel"/>
    <w:tmpl w:val="4E5209F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13C0D11"/>
    <w:multiLevelType w:val="multilevel"/>
    <w:tmpl w:val="10EA514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6441572"/>
    <w:multiLevelType w:val="multilevel"/>
    <w:tmpl w:val="B4FE0BF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67B43BD"/>
    <w:multiLevelType w:val="multilevel"/>
    <w:tmpl w:val="F93879B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743428E"/>
    <w:multiLevelType w:val="hybridMultilevel"/>
    <w:tmpl w:val="3F24AF94"/>
    <w:lvl w:ilvl="0" w:tplc="1C090013">
      <w:start w:val="1"/>
      <w:numFmt w:val="upperRoman"/>
      <w:lvlText w:val="%1."/>
      <w:lvlJc w:val="right"/>
      <w:pPr>
        <w:ind w:left="928" w:hanging="360"/>
      </w:pPr>
    </w:lvl>
    <w:lvl w:ilvl="1" w:tplc="FFFFFFFF" w:tentative="1">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9">
    <w:nsid w:val="675619CC"/>
    <w:multiLevelType w:val="hybridMultilevel"/>
    <w:tmpl w:val="4686F54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6BC82C5B"/>
    <w:multiLevelType w:val="hybridMultilevel"/>
    <w:tmpl w:val="96C46776"/>
    <w:lvl w:ilvl="0" w:tplc="59B4C2F6">
      <w:start w:val="1"/>
      <w:numFmt w:val="bullet"/>
      <w:lvlText w:val="»"/>
      <w:lvlJc w:val="left"/>
      <w:pPr>
        <w:ind w:left="360" w:hanging="360"/>
      </w:pPr>
      <w:rPr>
        <w:rFonts w:ascii="Arial" w:hAnsi="Arial" w:hint="default"/>
        <w:b w:val="0"/>
        <w:i w:val="0"/>
        <w:color w:val="000000"/>
        <w:sz w:val="18"/>
      </w:rPr>
    </w:lvl>
    <w:lvl w:ilvl="1" w:tplc="92900484">
      <w:start w:val="1"/>
      <w:numFmt w:val="bullet"/>
      <w:lvlText w:val="-"/>
      <w:lvlJc w:val="left"/>
      <w:pPr>
        <w:ind w:left="1080" w:hanging="360"/>
      </w:pPr>
      <w:rPr>
        <w:rFonts w:ascii="Courier New" w:hAnsi="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1">
    <w:nsid w:val="6D5C3343"/>
    <w:multiLevelType w:val="multilevel"/>
    <w:tmpl w:val="80F82D2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DDE2D17"/>
    <w:multiLevelType w:val="hybridMultilevel"/>
    <w:tmpl w:val="0EAC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E241AD4"/>
    <w:multiLevelType w:val="hybridMultilevel"/>
    <w:tmpl w:val="F8DCC142"/>
    <w:lvl w:ilvl="0" w:tplc="59B4C2F6">
      <w:start w:val="1"/>
      <w:numFmt w:val="bullet"/>
      <w:lvlText w:val="»"/>
      <w:lvlJc w:val="left"/>
      <w:pPr>
        <w:ind w:left="720" w:hanging="360"/>
      </w:pPr>
      <w:rPr>
        <w:rFonts w:ascii="Arial" w:hAnsi="Arial" w:hint="default"/>
        <w:b w:val="0"/>
        <w:i w:val="0"/>
        <w:color w:val="000000"/>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728516E1"/>
    <w:multiLevelType w:val="hybridMultilevel"/>
    <w:tmpl w:val="02F4A90C"/>
    <w:lvl w:ilvl="0" w:tplc="59B4C2F6">
      <w:start w:val="1"/>
      <w:numFmt w:val="bullet"/>
      <w:lvlText w:val="»"/>
      <w:lvlJc w:val="left"/>
      <w:pPr>
        <w:ind w:left="360" w:hanging="360"/>
      </w:pPr>
      <w:rPr>
        <w:rFonts w:ascii="Arial" w:hAnsi="Arial" w:hint="default"/>
        <w:b w:val="0"/>
        <w:i w:val="0"/>
        <w:color w:val="000000"/>
        <w:sz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5">
    <w:nsid w:val="73571811"/>
    <w:multiLevelType w:val="multilevel"/>
    <w:tmpl w:val="F17A6458"/>
    <w:lvl w:ilvl="0">
      <w:start w:val="1"/>
      <w:numFmt w:val="bullet"/>
      <w:pStyle w:val="BulletNutrition"/>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39A1AEE"/>
    <w:multiLevelType w:val="multilevel"/>
    <w:tmpl w:val="AE4E882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75FB718F"/>
    <w:multiLevelType w:val="hybridMultilevel"/>
    <w:tmpl w:val="F260E534"/>
    <w:lvl w:ilvl="0" w:tplc="59B4C2F6">
      <w:start w:val="1"/>
      <w:numFmt w:val="bullet"/>
      <w:lvlText w:val="»"/>
      <w:lvlJc w:val="left"/>
      <w:pPr>
        <w:ind w:left="360" w:hanging="360"/>
      </w:pPr>
      <w:rPr>
        <w:rFonts w:ascii="Arial" w:hAnsi="Arial" w:hint="default"/>
        <w:b w:val="0"/>
        <w:i w:val="0"/>
        <w:color w:val="000000"/>
        <w:sz w:val="18"/>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8">
    <w:nsid w:val="79132D17"/>
    <w:multiLevelType w:val="multilevel"/>
    <w:tmpl w:val="2F7C0F42"/>
    <w:lvl w:ilvl="0">
      <w:start w:val="1"/>
      <w:numFmt w:val="bullet"/>
      <w:pStyle w:val="BulletTherapeuticclass"/>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7DDB018D"/>
    <w:multiLevelType w:val="multilevel"/>
    <w:tmpl w:val="704220AE"/>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F540E6A"/>
    <w:multiLevelType w:val="multilevel"/>
    <w:tmpl w:val="4D10F46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8"/>
  </w:num>
  <w:num w:numId="2">
    <w:abstractNumId w:val="31"/>
    <w:lvlOverride w:ilvl="0">
      <w:lvl w:ilvl="0">
        <w:start w:val="1"/>
        <w:numFmt w:val="bullet"/>
        <w:pStyle w:val="BulletDirectionsInstructions"/>
        <w:lvlText w:val="o"/>
        <w:lvlJc w:val="left"/>
        <w:pPr>
          <w:ind w:left="567" w:hanging="283"/>
        </w:pPr>
        <w:rPr>
          <w:rFonts w:ascii="Courier New" w:hAnsi="Courier New" w:hint="default"/>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abstractNumId w:val="75"/>
    <w:lvlOverride w:ilvl="0">
      <w:lvl w:ilvl="0">
        <w:start w:val="1"/>
        <w:numFmt w:val="bullet"/>
        <w:pStyle w:val="BulletNutrition"/>
        <w:lvlText w:val="-"/>
        <w:lvlJc w:val="left"/>
        <w:pPr>
          <w:ind w:left="284" w:hanging="284"/>
        </w:pPr>
        <w:rPr>
          <w:rFonts w:ascii="Courier New" w:hAnsi="Courier New" w:hint="default"/>
          <w:color w:val="00000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49"/>
  </w:num>
  <w:num w:numId="5">
    <w:abstractNumId w:val="37"/>
  </w:num>
  <w:num w:numId="6">
    <w:abstractNumId w:val="30"/>
  </w:num>
  <w:num w:numId="7">
    <w:abstractNumId w:val="30"/>
    <w:lvlOverride w:ilvl="0">
      <w:lvl w:ilvl="0">
        <w:start w:val="17"/>
        <w:numFmt w:val="decimal"/>
        <w:pStyle w:val="Heading1"/>
        <w:lvlText w:val="PHC Chapter %1:"/>
        <w:lvlJc w:val="left"/>
        <w:pPr>
          <w:ind w:left="2693" w:hanging="2948"/>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Restart w:val="4"/>
        <w:pStyle w:val="Heading8"/>
        <w:lvlText w:val="%1.%2.%3.%4.%8"/>
        <w:lvlJc w:val="left"/>
        <w:pPr>
          <w:ind w:left="1134" w:hanging="1134"/>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abstractNumId w:val="14"/>
  </w:num>
  <w:num w:numId="9">
    <w:abstractNumId w:val="44"/>
  </w:num>
  <w:num w:numId="10">
    <w:abstractNumId w:val="11"/>
  </w:num>
  <w:num w:numId="11">
    <w:abstractNumId w:val="12"/>
  </w:num>
  <w:num w:numId="12">
    <w:abstractNumId w:val="1"/>
  </w:num>
  <w:num w:numId="13">
    <w:abstractNumId w:val="45"/>
  </w:num>
  <w:num w:numId="14">
    <w:abstractNumId w:val="22"/>
  </w:num>
  <w:num w:numId="15">
    <w:abstractNumId w:val="39"/>
  </w:num>
  <w:num w:numId="16">
    <w:abstractNumId w:val="25"/>
  </w:num>
  <w:num w:numId="17">
    <w:abstractNumId w:val="53"/>
  </w:num>
  <w:num w:numId="18">
    <w:abstractNumId w:val="28"/>
  </w:num>
  <w:num w:numId="19">
    <w:abstractNumId w:val="33"/>
  </w:num>
  <w:num w:numId="20">
    <w:abstractNumId w:val="71"/>
  </w:num>
  <w:num w:numId="21">
    <w:abstractNumId w:val="47"/>
  </w:num>
  <w:num w:numId="22">
    <w:abstractNumId w:val="38"/>
  </w:num>
  <w:num w:numId="23">
    <w:abstractNumId w:val="7"/>
  </w:num>
  <w:num w:numId="24">
    <w:abstractNumId w:val="57"/>
  </w:num>
  <w:num w:numId="25">
    <w:abstractNumId w:val="6"/>
  </w:num>
  <w:num w:numId="26">
    <w:abstractNumId w:val="58"/>
  </w:num>
  <w:num w:numId="27">
    <w:abstractNumId w:val="26"/>
  </w:num>
  <w:num w:numId="28">
    <w:abstractNumId w:val="64"/>
  </w:num>
  <w:num w:numId="29">
    <w:abstractNumId w:val="41"/>
  </w:num>
  <w:num w:numId="30">
    <w:abstractNumId w:val="35"/>
  </w:num>
  <w:num w:numId="31">
    <w:abstractNumId w:val="4"/>
  </w:num>
  <w:num w:numId="32">
    <w:abstractNumId w:val="20"/>
  </w:num>
  <w:num w:numId="33">
    <w:abstractNumId w:val="59"/>
  </w:num>
  <w:num w:numId="34">
    <w:abstractNumId w:val="43"/>
  </w:num>
  <w:num w:numId="35">
    <w:abstractNumId w:val="80"/>
  </w:num>
  <w:num w:numId="36">
    <w:abstractNumId w:val="76"/>
  </w:num>
  <w:num w:numId="37">
    <w:abstractNumId w:val="79"/>
  </w:num>
  <w:num w:numId="38">
    <w:abstractNumId w:val="67"/>
  </w:num>
  <w:num w:numId="39">
    <w:abstractNumId w:val="36"/>
  </w:num>
  <w:num w:numId="40">
    <w:abstractNumId w:val="19"/>
  </w:num>
  <w:num w:numId="41">
    <w:abstractNumId w:val="50"/>
  </w:num>
  <w:num w:numId="42">
    <w:abstractNumId w:val="13"/>
  </w:num>
  <w:num w:numId="43">
    <w:abstractNumId w:val="16"/>
  </w:num>
  <w:num w:numId="44">
    <w:abstractNumId w:val="18"/>
  </w:num>
  <w:num w:numId="45">
    <w:abstractNumId w:val="42"/>
  </w:num>
  <w:num w:numId="46">
    <w:abstractNumId w:val="15"/>
  </w:num>
  <w:num w:numId="47">
    <w:abstractNumId w:val="34"/>
  </w:num>
  <w:num w:numId="48">
    <w:abstractNumId w:val="66"/>
  </w:num>
  <w:num w:numId="49">
    <w:abstractNumId w:val="40"/>
  </w:num>
  <w:num w:numId="50">
    <w:abstractNumId w:val="21"/>
  </w:num>
  <w:num w:numId="51">
    <w:abstractNumId w:val="65"/>
  </w:num>
  <w:num w:numId="52">
    <w:abstractNumId w:val="60"/>
  </w:num>
  <w:num w:numId="53">
    <w:abstractNumId w:val="56"/>
  </w:num>
  <w:num w:numId="54">
    <w:abstractNumId w:val="2"/>
  </w:num>
  <w:num w:numId="55">
    <w:abstractNumId w:val="8"/>
  </w:num>
  <w:num w:numId="56">
    <w:abstractNumId w:val="61"/>
  </w:num>
  <w:num w:numId="57">
    <w:abstractNumId w:val="72"/>
  </w:num>
  <w:num w:numId="58">
    <w:abstractNumId w:val="5"/>
  </w:num>
  <w:num w:numId="59">
    <w:abstractNumId w:val="31"/>
    <w:lvlOverride w:ilvl="0">
      <w:lvl w:ilvl="0">
        <w:start w:val="1"/>
        <w:numFmt w:val="bullet"/>
        <w:pStyle w:val="BulletDirectionsInstructions"/>
        <w:lvlText w:val="o"/>
        <w:lvlJc w:val="left"/>
        <w:pPr>
          <w:ind w:left="567" w:hanging="283"/>
        </w:pPr>
        <w:rPr>
          <w:rFonts w:ascii="Courier New" w:hAnsi="Courier New" w:hint="default"/>
        </w:rPr>
      </w:lvl>
    </w:lvlOverride>
    <w:lvlOverride w:ilvl="1">
      <w:lvl w:ilvl="1">
        <w:start w:val="1"/>
        <w:numFmt w:val="bullet"/>
        <w:lvlText w:val="-"/>
        <w:lvlJc w:val="left"/>
        <w:pPr>
          <w:ind w:left="851" w:hanging="284"/>
        </w:pPr>
        <w:rPr>
          <w:rFonts w:ascii="Courier New" w:hAnsi="Courier New" w:hint="default"/>
          <w:color w:val="000000"/>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0">
    <w:abstractNumId w:val="77"/>
  </w:num>
  <w:num w:numId="61">
    <w:abstractNumId w:val="55"/>
  </w:num>
  <w:num w:numId="62">
    <w:abstractNumId w:val="70"/>
  </w:num>
  <w:num w:numId="63">
    <w:abstractNumId w:val="17"/>
  </w:num>
  <w:num w:numId="64">
    <w:abstractNumId w:val="24"/>
  </w:num>
  <w:num w:numId="65">
    <w:abstractNumId w:val="32"/>
  </w:num>
  <w:num w:numId="66">
    <w:abstractNumId w:val="69"/>
  </w:num>
  <w:num w:numId="67">
    <w:abstractNumId w:val="29"/>
  </w:num>
  <w:num w:numId="68">
    <w:abstractNumId w:val="52"/>
  </w:num>
  <w:num w:numId="69">
    <w:abstractNumId w:val="73"/>
  </w:num>
  <w:num w:numId="70">
    <w:abstractNumId w:val="63"/>
  </w:num>
  <w:num w:numId="71">
    <w:abstractNumId w:val="46"/>
  </w:num>
  <w:num w:numId="72">
    <w:abstractNumId w:val="74"/>
  </w:num>
  <w:num w:numId="73">
    <w:abstractNumId w:val="48"/>
  </w:num>
  <w:num w:numId="74">
    <w:abstractNumId w:val="10"/>
  </w:num>
  <w:num w:numId="75">
    <w:abstractNumId w:val="62"/>
  </w:num>
  <w:num w:numId="76">
    <w:abstractNumId w:val="51"/>
  </w:num>
  <w:num w:numId="77">
    <w:abstractNumId w:val="27"/>
  </w:num>
  <w:num w:numId="78">
    <w:abstractNumId w:val="54"/>
  </w:num>
  <w:num w:numId="79">
    <w:abstractNumId w:val="9"/>
  </w:num>
  <w:num w:numId="80">
    <w:abstractNumId w:val="3"/>
  </w:num>
  <w:num w:numId="81">
    <w:abstractNumId w:val="0"/>
  </w:num>
  <w:num w:numId="82">
    <w:abstractNumId w:val="68"/>
  </w:num>
  <w:num w:numId="83">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hideSpellingErrors/>
  <w:hideGrammaticalErrors/>
  <w:attachedTemplate r:id="rId1"/>
  <w:documentProtection w:formatting="1" w:enforcement="0"/>
  <w:defaultTabStop w:val="284"/>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zMzYxMLA0NzY0NjNT0lEKTi0uzszPAykwqgUA2QTfDiwAAAA="/>
  </w:docVars>
  <w:rsids>
    <w:rsidRoot w:val="00FF01A9"/>
    <w:rsid w:val="00000EF0"/>
    <w:rsid w:val="0000100C"/>
    <w:rsid w:val="0000146B"/>
    <w:rsid w:val="000046BA"/>
    <w:rsid w:val="00005879"/>
    <w:rsid w:val="00005AFA"/>
    <w:rsid w:val="00010049"/>
    <w:rsid w:val="000103E4"/>
    <w:rsid w:val="000113DD"/>
    <w:rsid w:val="00011BCE"/>
    <w:rsid w:val="000154EE"/>
    <w:rsid w:val="00017FEE"/>
    <w:rsid w:val="00020F65"/>
    <w:rsid w:val="00024306"/>
    <w:rsid w:val="00024DC2"/>
    <w:rsid w:val="000253B4"/>
    <w:rsid w:val="0002656A"/>
    <w:rsid w:val="00031A06"/>
    <w:rsid w:val="00031C41"/>
    <w:rsid w:val="0003217D"/>
    <w:rsid w:val="00034F96"/>
    <w:rsid w:val="00034FAB"/>
    <w:rsid w:val="0003740A"/>
    <w:rsid w:val="000414F8"/>
    <w:rsid w:val="00044ED5"/>
    <w:rsid w:val="000452AC"/>
    <w:rsid w:val="000461E0"/>
    <w:rsid w:val="00046C9B"/>
    <w:rsid w:val="00050414"/>
    <w:rsid w:val="00051B0E"/>
    <w:rsid w:val="0005262D"/>
    <w:rsid w:val="0005561D"/>
    <w:rsid w:val="00056ACB"/>
    <w:rsid w:val="00056C22"/>
    <w:rsid w:val="000579D6"/>
    <w:rsid w:val="00060DDD"/>
    <w:rsid w:val="000618FF"/>
    <w:rsid w:val="00062BD7"/>
    <w:rsid w:val="000669FF"/>
    <w:rsid w:val="00070696"/>
    <w:rsid w:val="000708B9"/>
    <w:rsid w:val="00072BBF"/>
    <w:rsid w:val="000736CA"/>
    <w:rsid w:val="000737FF"/>
    <w:rsid w:val="00074273"/>
    <w:rsid w:val="00074303"/>
    <w:rsid w:val="00074FB8"/>
    <w:rsid w:val="00075C07"/>
    <w:rsid w:val="00076D5F"/>
    <w:rsid w:val="00076DF8"/>
    <w:rsid w:val="00080B66"/>
    <w:rsid w:val="000810B8"/>
    <w:rsid w:val="0008194C"/>
    <w:rsid w:val="000836C0"/>
    <w:rsid w:val="00087570"/>
    <w:rsid w:val="0009211F"/>
    <w:rsid w:val="0009445A"/>
    <w:rsid w:val="000944F8"/>
    <w:rsid w:val="000970A4"/>
    <w:rsid w:val="00097522"/>
    <w:rsid w:val="000A2466"/>
    <w:rsid w:val="000A2BFE"/>
    <w:rsid w:val="000A35DB"/>
    <w:rsid w:val="000A49D1"/>
    <w:rsid w:val="000A5224"/>
    <w:rsid w:val="000A58E7"/>
    <w:rsid w:val="000B2F14"/>
    <w:rsid w:val="000B313C"/>
    <w:rsid w:val="000B34CA"/>
    <w:rsid w:val="000B4A61"/>
    <w:rsid w:val="000B5AEE"/>
    <w:rsid w:val="000B7031"/>
    <w:rsid w:val="000C6AF4"/>
    <w:rsid w:val="000C75C5"/>
    <w:rsid w:val="000D293B"/>
    <w:rsid w:val="000D327A"/>
    <w:rsid w:val="000D45B2"/>
    <w:rsid w:val="000D576A"/>
    <w:rsid w:val="000D57F3"/>
    <w:rsid w:val="000D6107"/>
    <w:rsid w:val="000D77DA"/>
    <w:rsid w:val="000D79B5"/>
    <w:rsid w:val="000E1BDE"/>
    <w:rsid w:val="000E333C"/>
    <w:rsid w:val="000E376E"/>
    <w:rsid w:val="000E4867"/>
    <w:rsid w:val="000E7B0F"/>
    <w:rsid w:val="000F03F8"/>
    <w:rsid w:val="000F072F"/>
    <w:rsid w:val="000F1160"/>
    <w:rsid w:val="000F143B"/>
    <w:rsid w:val="000F18D9"/>
    <w:rsid w:val="000F212E"/>
    <w:rsid w:val="000F272C"/>
    <w:rsid w:val="000F516C"/>
    <w:rsid w:val="000F65B5"/>
    <w:rsid w:val="000F671E"/>
    <w:rsid w:val="00100B74"/>
    <w:rsid w:val="00102D62"/>
    <w:rsid w:val="00102EDB"/>
    <w:rsid w:val="0010353F"/>
    <w:rsid w:val="001039A8"/>
    <w:rsid w:val="0010624F"/>
    <w:rsid w:val="001132AD"/>
    <w:rsid w:val="001139FA"/>
    <w:rsid w:val="00114145"/>
    <w:rsid w:val="00116133"/>
    <w:rsid w:val="00121570"/>
    <w:rsid w:val="001215B4"/>
    <w:rsid w:val="00122350"/>
    <w:rsid w:val="00124435"/>
    <w:rsid w:val="00125EF3"/>
    <w:rsid w:val="0012601D"/>
    <w:rsid w:val="001261CA"/>
    <w:rsid w:val="00126862"/>
    <w:rsid w:val="00127F28"/>
    <w:rsid w:val="00130C37"/>
    <w:rsid w:val="00134535"/>
    <w:rsid w:val="001368FF"/>
    <w:rsid w:val="00136F8A"/>
    <w:rsid w:val="00140C1F"/>
    <w:rsid w:val="001436CD"/>
    <w:rsid w:val="00144D7E"/>
    <w:rsid w:val="00145EFE"/>
    <w:rsid w:val="00146372"/>
    <w:rsid w:val="001502E6"/>
    <w:rsid w:val="00150D01"/>
    <w:rsid w:val="001511A0"/>
    <w:rsid w:val="00152C68"/>
    <w:rsid w:val="001548DB"/>
    <w:rsid w:val="001577E5"/>
    <w:rsid w:val="00161478"/>
    <w:rsid w:val="0016236E"/>
    <w:rsid w:val="00163B05"/>
    <w:rsid w:val="00164AFD"/>
    <w:rsid w:val="001660C1"/>
    <w:rsid w:val="00166531"/>
    <w:rsid w:val="001679F7"/>
    <w:rsid w:val="00167DEB"/>
    <w:rsid w:val="0017061E"/>
    <w:rsid w:val="001736AB"/>
    <w:rsid w:val="0017541D"/>
    <w:rsid w:val="001755F9"/>
    <w:rsid w:val="00175927"/>
    <w:rsid w:val="00176697"/>
    <w:rsid w:val="00180D26"/>
    <w:rsid w:val="00182F1E"/>
    <w:rsid w:val="00183B53"/>
    <w:rsid w:val="00184A88"/>
    <w:rsid w:val="00184E74"/>
    <w:rsid w:val="0018652B"/>
    <w:rsid w:val="00187C01"/>
    <w:rsid w:val="00191B28"/>
    <w:rsid w:val="001927BF"/>
    <w:rsid w:val="00193494"/>
    <w:rsid w:val="001936BE"/>
    <w:rsid w:val="001938BD"/>
    <w:rsid w:val="00194534"/>
    <w:rsid w:val="001963BD"/>
    <w:rsid w:val="00196F6D"/>
    <w:rsid w:val="001A0144"/>
    <w:rsid w:val="001A07D3"/>
    <w:rsid w:val="001A08BA"/>
    <w:rsid w:val="001A286A"/>
    <w:rsid w:val="001A3390"/>
    <w:rsid w:val="001A3445"/>
    <w:rsid w:val="001A3A03"/>
    <w:rsid w:val="001A5D8C"/>
    <w:rsid w:val="001A608B"/>
    <w:rsid w:val="001A6C28"/>
    <w:rsid w:val="001A7DE2"/>
    <w:rsid w:val="001B128C"/>
    <w:rsid w:val="001B2896"/>
    <w:rsid w:val="001B4011"/>
    <w:rsid w:val="001B4504"/>
    <w:rsid w:val="001B5576"/>
    <w:rsid w:val="001B59E4"/>
    <w:rsid w:val="001B7B8B"/>
    <w:rsid w:val="001C0BA5"/>
    <w:rsid w:val="001C0F73"/>
    <w:rsid w:val="001C1F8A"/>
    <w:rsid w:val="001C2BB0"/>
    <w:rsid w:val="001C3065"/>
    <w:rsid w:val="001C5D0F"/>
    <w:rsid w:val="001C7078"/>
    <w:rsid w:val="001C709F"/>
    <w:rsid w:val="001C78FF"/>
    <w:rsid w:val="001C7D1B"/>
    <w:rsid w:val="001D075F"/>
    <w:rsid w:val="001D3161"/>
    <w:rsid w:val="001D32CF"/>
    <w:rsid w:val="001D5250"/>
    <w:rsid w:val="001D5444"/>
    <w:rsid w:val="001D6881"/>
    <w:rsid w:val="001D74F1"/>
    <w:rsid w:val="001E1C4E"/>
    <w:rsid w:val="001E4E4A"/>
    <w:rsid w:val="001E54AC"/>
    <w:rsid w:val="001E5A4A"/>
    <w:rsid w:val="001E5C9D"/>
    <w:rsid w:val="001F05B6"/>
    <w:rsid w:val="001F1E7F"/>
    <w:rsid w:val="001F2E26"/>
    <w:rsid w:val="001F418D"/>
    <w:rsid w:val="001F47FA"/>
    <w:rsid w:val="001F6A45"/>
    <w:rsid w:val="001F6FFA"/>
    <w:rsid w:val="001F7CD1"/>
    <w:rsid w:val="002027DC"/>
    <w:rsid w:val="00211F80"/>
    <w:rsid w:val="00212A8B"/>
    <w:rsid w:val="00213CC2"/>
    <w:rsid w:val="00216451"/>
    <w:rsid w:val="002176BC"/>
    <w:rsid w:val="00220574"/>
    <w:rsid w:val="00220ABE"/>
    <w:rsid w:val="00223C3D"/>
    <w:rsid w:val="002246F8"/>
    <w:rsid w:val="00224C42"/>
    <w:rsid w:val="0023096F"/>
    <w:rsid w:val="002344FD"/>
    <w:rsid w:val="002358B3"/>
    <w:rsid w:val="00237463"/>
    <w:rsid w:val="00237ECF"/>
    <w:rsid w:val="00240EBA"/>
    <w:rsid w:val="00241303"/>
    <w:rsid w:val="0024270F"/>
    <w:rsid w:val="00243AF6"/>
    <w:rsid w:val="00244268"/>
    <w:rsid w:val="00245220"/>
    <w:rsid w:val="00245454"/>
    <w:rsid w:val="00245C98"/>
    <w:rsid w:val="00247748"/>
    <w:rsid w:val="00247AF0"/>
    <w:rsid w:val="0025075E"/>
    <w:rsid w:val="00250E92"/>
    <w:rsid w:val="0025170A"/>
    <w:rsid w:val="002542D9"/>
    <w:rsid w:val="00254C86"/>
    <w:rsid w:val="00260F68"/>
    <w:rsid w:val="00263363"/>
    <w:rsid w:val="0026373D"/>
    <w:rsid w:val="00263E59"/>
    <w:rsid w:val="00264294"/>
    <w:rsid w:val="002663B9"/>
    <w:rsid w:val="00267182"/>
    <w:rsid w:val="002679FA"/>
    <w:rsid w:val="00267D12"/>
    <w:rsid w:val="00267F67"/>
    <w:rsid w:val="0027057A"/>
    <w:rsid w:val="0027235E"/>
    <w:rsid w:val="00272FEE"/>
    <w:rsid w:val="00273BF0"/>
    <w:rsid w:val="002745C8"/>
    <w:rsid w:val="002748C3"/>
    <w:rsid w:val="002827F6"/>
    <w:rsid w:val="002844EE"/>
    <w:rsid w:val="0028477E"/>
    <w:rsid w:val="00285E03"/>
    <w:rsid w:val="0028653A"/>
    <w:rsid w:val="002878BE"/>
    <w:rsid w:val="00287AC5"/>
    <w:rsid w:val="0029033D"/>
    <w:rsid w:val="002915CE"/>
    <w:rsid w:val="002916EF"/>
    <w:rsid w:val="00293547"/>
    <w:rsid w:val="002938AE"/>
    <w:rsid w:val="00294050"/>
    <w:rsid w:val="0029474A"/>
    <w:rsid w:val="00294DEC"/>
    <w:rsid w:val="002957E7"/>
    <w:rsid w:val="00296C13"/>
    <w:rsid w:val="00297742"/>
    <w:rsid w:val="0029789E"/>
    <w:rsid w:val="002A0A47"/>
    <w:rsid w:val="002A232A"/>
    <w:rsid w:val="002A4424"/>
    <w:rsid w:val="002A5B36"/>
    <w:rsid w:val="002A6AE3"/>
    <w:rsid w:val="002A6B33"/>
    <w:rsid w:val="002B04B5"/>
    <w:rsid w:val="002B1014"/>
    <w:rsid w:val="002B5BF9"/>
    <w:rsid w:val="002B79DF"/>
    <w:rsid w:val="002C09AD"/>
    <w:rsid w:val="002C0C71"/>
    <w:rsid w:val="002C26F2"/>
    <w:rsid w:val="002C7433"/>
    <w:rsid w:val="002D251D"/>
    <w:rsid w:val="002D4283"/>
    <w:rsid w:val="002D51F3"/>
    <w:rsid w:val="002D5DFE"/>
    <w:rsid w:val="002D6935"/>
    <w:rsid w:val="002D7EBF"/>
    <w:rsid w:val="002E22D7"/>
    <w:rsid w:val="002E33F3"/>
    <w:rsid w:val="002E379E"/>
    <w:rsid w:val="002E6BB5"/>
    <w:rsid w:val="002F201F"/>
    <w:rsid w:val="002F378F"/>
    <w:rsid w:val="002F37B9"/>
    <w:rsid w:val="002F3DB2"/>
    <w:rsid w:val="002F4DDC"/>
    <w:rsid w:val="002F4E11"/>
    <w:rsid w:val="002F6422"/>
    <w:rsid w:val="002F69AA"/>
    <w:rsid w:val="002F7A82"/>
    <w:rsid w:val="002F7DB1"/>
    <w:rsid w:val="0030068F"/>
    <w:rsid w:val="003007FE"/>
    <w:rsid w:val="0030116F"/>
    <w:rsid w:val="00302FF3"/>
    <w:rsid w:val="00303270"/>
    <w:rsid w:val="003047C6"/>
    <w:rsid w:val="00306BFF"/>
    <w:rsid w:val="003105DC"/>
    <w:rsid w:val="0031109D"/>
    <w:rsid w:val="0031149B"/>
    <w:rsid w:val="00313872"/>
    <w:rsid w:val="003138E0"/>
    <w:rsid w:val="00316B07"/>
    <w:rsid w:val="00317F45"/>
    <w:rsid w:val="00321DE4"/>
    <w:rsid w:val="00322604"/>
    <w:rsid w:val="003235FF"/>
    <w:rsid w:val="003258FB"/>
    <w:rsid w:val="00325E76"/>
    <w:rsid w:val="00326B21"/>
    <w:rsid w:val="00331C72"/>
    <w:rsid w:val="003340F1"/>
    <w:rsid w:val="00334F23"/>
    <w:rsid w:val="003366E2"/>
    <w:rsid w:val="00336DB7"/>
    <w:rsid w:val="00336FB8"/>
    <w:rsid w:val="003371E2"/>
    <w:rsid w:val="00341804"/>
    <w:rsid w:val="0034231A"/>
    <w:rsid w:val="00344A24"/>
    <w:rsid w:val="003469CD"/>
    <w:rsid w:val="00346CA7"/>
    <w:rsid w:val="00347DBE"/>
    <w:rsid w:val="00350089"/>
    <w:rsid w:val="003501CC"/>
    <w:rsid w:val="0035154F"/>
    <w:rsid w:val="00351A74"/>
    <w:rsid w:val="00352253"/>
    <w:rsid w:val="00352DC0"/>
    <w:rsid w:val="003550AB"/>
    <w:rsid w:val="00357C86"/>
    <w:rsid w:val="00357CF3"/>
    <w:rsid w:val="00361029"/>
    <w:rsid w:val="00361512"/>
    <w:rsid w:val="00363CF9"/>
    <w:rsid w:val="00364AEC"/>
    <w:rsid w:val="00364B31"/>
    <w:rsid w:val="00364DB3"/>
    <w:rsid w:val="0036659C"/>
    <w:rsid w:val="00366CC6"/>
    <w:rsid w:val="00367BFA"/>
    <w:rsid w:val="00371699"/>
    <w:rsid w:val="0037179B"/>
    <w:rsid w:val="0037237F"/>
    <w:rsid w:val="00372C56"/>
    <w:rsid w:val="0037469B"/>
    <w:rsid w:val="00374972"/>
    <w:rsid w:val="00374A8A"/>
    <w:rsid w:val="00374DD1"/>
    <w:rsid w:val="003766AE"/>
    <w:rsid w:val="003777D5"/>
    <w:rsid w:val="00377E13"/>
    <w:rsid w:val="003802E7"/>
    <w:rsid w:val="00384C8E"/>
    <w:rsid w:val="00392876"/>
    <w:rsid w:val="00392EC2"/>
    <w:rsid w:val="003937E2"/>
    <w:rsid w:val="003945CC"/>
    <w:rsid w:val="00396264"/>
    <w:rsid w:val="00396ECD"/>
    <w:rsid w:val="003A070C"/>
    <w:rsid w:val="003A1459"/>
    <w:rsid w:val="003A2C1B"/>
    <w:rsid w:val="003A2FE9"/>
    <w:rsid w:val="003A70DF"/>
    <w:rsid w:val="003B003A"/>
    <w:rsid w:val="003B218C"/>
    <w:rsid w:val="003B3CBA"/>
    <w:rsid w:val="003B5D72"/>
    <w:rsid w:val="003B612F"/>
    <w:rsid w:val="003B724A"/>
    <w:rsid w:val="003C491B"/>
    <w:rsid w:val="003C51DB"/>
    <w:rsid w:val="003C6F42"/>
    <w:rsid w:val="003C6FBF"/>
    <w:rsid w:val="003C790A"/>
    <w:rsid w:val="003C7C6C"/>
    <w:rsid w:val="003D0C14"/>
    <w:rsid w:val="003D1023"/>
    <w:rsid w:val="003D3E3E"/>
    <w:rsid w:val="003D4712"/>
    <w:rsid w:val="003D7564"/>
    <w:rsid w:val="003E02D1"/>
    <w:rsid w:val="003E05EB"/>
    <w:rsid w:val="003E0741"/>
    <w:rsid w:val="003E2C10"/>
    <w:rsid w:val="003E6BFE"/>
    <w:rsid w:val="003E724E"/>
    <w:rsid w:val="003E76C6"/>
    <w:rsid w:val="003F1C89"/>
    <w:rsid w:val="003F53C7"/>
    <w:rsid w:val="003F6D8A"/>
    <w:rsid w:val="003F7A01"/>
    <w:rsid w:val="004012FE"/>
    <w:rsid w:val="00402343"/>
    <w:rsid w:val="00403818"/>
    <w:rsid w:val="00403C9B"/>
    <w:rsid w:val="00403DAA"/>
    <w:rsid w:val="0040467C"/>
    <w:rsid w:val="00404E4F"/>
    <w:rsid w:val="00405121"/>
    <w:rsid w:val="00407368"/>
    <w:rsid w:val="00407DC1"/>
    <w:rsid w:val="0041280C"/>
    <w:rsid w:val="00415032"/>
    <w:rsid w:val="00421336"/>
    <w:rsid w:val="00422EC3"/>
    <w:rsid w:val="0042389E"/>
    <w:rsid w:val="00424F73"/>
    <w:rsid w:val="00426D3C"/>
    <w:rsid w:val="004300A2"/>
    <w:rsid w:val="00433182"/>
    <w:rsid w:val="0043353A"/>
    <w:rsid w:val="00433DC3"/>
    <w:rsid w:val="0043492D"/>
    <w:rsid w:val="0043607B"/>
    <w:rsid w:val="004361B0"/>
    <w:rsid w:val="00436E6E"/>
    <w:rsid w:val="004418A8"/>
    <w:rsid w:val="00441B4D"/>
    <w:rsid w:val="004444CA"/>
    <w:rsid w:val="00444554"/>
    <w:rsid w:val="00444AB9"/>
    <w:rsid w:val="00444ABE"/>
    <w:rsid w:val="00445F73"/>
    <w:rsid w:val="00447218"/>
    <w:rsid w:val="0045022C"/>
    <w:rsid w:val="00450DB9"/>
    <w:rsid w:val="00451BC8"/>
    <w:rsid w:val="00451E66"/>
    <w:rsid w:val="004548FB"/>
    <w:rsid w:val="0045519A"/>
    <w:rsid w:val="004568BA"/>
    <w:rsid w:val="00457205"/>
    <w:rsid w:val="004610B5"/>
    <w:rsid w:val="00463D2E"/>
    <w:rsid w:val="00463E38"/>
    <w:rsid w:val="00470DA6"/>
    <w:rsid w:val="004807DA"/>
    <w:rsid w:val="0048171D"/>
    <w:rsid w:val="00485D06"/>
    <w:rsid w:val="00485F1D"/>
    <w:rsid w:val="00491514"/>
    <w:rsid w:val="0049360D"/>
    <w:rsid w:val="00493E46"/>
    <w:rsid w:val="00494FF7"/>
    <w:rsid w:val="004953F4"/>
    <w:rsid w:val="00496AA1"/>
    <w:rsid w:val="00497BF5"/>
    <w:rsid w:val="004A1212"/>
    <w:rsid w:val="004A1B25"/>
    <w:rsid w:val="004A2680"/>
    <w:rsid w:val="004A3385"/>
    <w:rsid w:val="004A42C3"/>
    <w:rsid w:val="004A4B01"/>
    <w:rsid w:val="004A4DE9"/>
    <w:rsid w:val="004A56FB"/>
    <w:rsid w:val="004A5B00"/>
    <w:rsid w:val="004A5BF0"/>
    <w:rsid w:val="004A5D99"/>
    <w:rsid w:val="004A7096"/>
    <w:rsid w:val="004B11B7"/>
    <w:rsid w:val="004B1C8A"/>
    <w:rsid w:val="004B2576"/>
    <w:rsid w:val="004B5F3E"/>
    <w:rsid w:val="004B6245"/>
    <w:rsid w:val="004B7006"/>
    <w:rsid w:val="004B7B09"/>
    <w:rsid w:val="004C23E5"/>
    <w:rsid w:val="004C2DBA"/>
    <w:rsid w:val="004C3E6D"/>
    <w:rsid w:val="004C71D2"/>
    <w:rsid w:val="004C74EB"/>
    <w:rsid w:val="004D003A"/>
    <w:rsid w:val="004D2B41"/>
    <w:rsid w:val="004D3A09"/>
    <w:rsid w:val="004D5657"/>
    <w:rsid w:val="004D7D0D"/>
    <w:rsid w:val="004E0112"/>
    <w:rsid w:val="004E0847"/>
    <w:rsid w:val="004E2308"/>
    <w:rsid w:val="004E4D6A"/>
    <w:rsid w:val="004E4E92"/>
    <w:rsid w:val="004E4F92"/>
    <w:rsid w:val="004E6DC3"/>
    <w:rsid w:val="004E7A31"/>
    <w:rsid w:val="004F0012"/>
    <w:rsid w:val="004F41AA"/>
    <w:rsid w:val="004F5D57"/>
    <w:rsid w:val="004F67C6"/>
    <w:rsid w:val="004F7C9B"/>
    <w:rsid w:val="00500565"/>
    <w:rsid w:val="00501E3F"/>
    <w:rsid w:val="00501E93"/>
    <w:rsid w:val="0050244E"/>
    <w:rsid w:val="00503F7E"/>
    <w:rsid w:val="005048A1"/>
    <w:rsid w:val="005054A6"/>
    <w:rsid w:val="00506488"/>
    <w:rsid w:val="005064FC"/>
    <w:rsid w:val="00506BEA"/>
    <w:rsid w:val="00507432"/>
    <w:rsid w:val="00507BE3"/>
    <w:rsid w:val="005115A7"/>
    <w:rsid w:val="00513FDD"/>
    <w:rsid w:val="00521E8E"/>
    <w:rsid w:val="00522227"/>
    <w:rsid w:val="00522822"/>
    <w:rsid w:val="0052330D"/>
    <w:rsid w:val="005256EA"/>
    <w:rsid w:val="00525E34"/>
    <w:rsid w:val="005260B3"/>
    <w:rsid w:val="005260B5"/>
    <w:rsid w:val="00533F05"/>
    <w:rsid w:val="005352BC"/>
    <w:rsid w:val="00536848"/>
    <w:rsid w:val="005433E9"/>
    <w:rsid w:val="0054518D"/>
    <w:rsid w:val="00545CE0"/>
    <w:rsid w:val="00546428"/>
    <w:rsid w:val="00550166"/>
    <w:rsid w:val="00550B9E"/>
    <w:rsid w:val="00551BDC"/>
    <w:rsid w:val="00553289"/>
    <w:rsid w:val="00554DC1"/>
    <w:rsid w:val="00556C2E"/>
    <w:rsid w:val="005571CA"/>
    <w:rsid w:val="00557AAD"/>
    <w:rsid w:val="00561B45"/>
    <w:rsid w:val="0056267C"/>
    <w:rsid w:val="00562F5B"/>
    <w:rsid w:val="005636C1"/>
    <w:rsid w:val="005644BB"/>
    <w:rsid w:val="00566015"/>
    <w:rsid w:val="005662F9"/>
    <w:rsid w:val="005671A8"/>
    <w:rsid w:val="00572E50"/>
    <w:rsid w:val="00573BB3"/>
    <w:rsid w:val="00575319"/>
    <w:rsid w:val="00575D86"/>
    <w:rsid w:val="00577886"/>
    <w:rsid w:val="005778DC"/>
    <w:rsid w:val="005804DA"/>
    <w:rsid w:val="00580997"/>
    <w:rsid w:val="005817A4"/>
    <w:rsid w:val="0058205E"/>
    <w:rsid w:val="0058279C"/>
    <w:rsid w:val="00582A0B"/>
    <w:rsid w:val="00582AEE"/>
    <w:rsid w:val="00584522"/>
    <w:rsid w:val="005913F5"/>
    <w:rsid w:val="00591502"/>
    <w:rsid w:val="0059155D"/>
    <w:rsid w:val="00591C9A"/>
    <w:rsid w:val="00592C2A"/>
    <w:rsid w:val="00593724"/>
    <w:rsid w:val="0059696D"/>
    <w:rsid w:val="005A09AB"/>
    <w:rsid w:val="005A0B60"/>
    <w:rsid w:val="005A1CC2"/>
    <w:rsid w:val="005A28CC"/>
    <w:rsid w:val="005A29C8"/>
    <w:rsid w:val="005A36E0"/>
    <w:rsid w:val="005A4AC2"/>
    <w:rsid w:val="005A5B6B"/>
    <w:rsid w:val="005A7A1F"/>
    <w:rsid w:val="005B25E9"/>
    <w:rsid w:val="005B479F"/>
    <w:rsid w:val="005B4CF7"/>
    <w:rsid w:val="005B5ADB"/>
    <w:rsid w:val="005B62CA"/>
    <w:rsid w:val="005B74CB"/>
    <w:rsid w:val="005C157D"/>
    <w:rsid w:val="005C2081"/>
    <w:rsid w:val="005C2F6F"/>
    <w:rsid w:val="005C3D3A"/>
    <w:rsid w:val="005C4479"/>
    <w:rsid w:val="005C535C"/>
    <w:rsid w:val="005C5512"/>
    <w:rsid w:val="005C5AB7"/>
    <w:rsid w:val="005C7053"/>
    <w:rsid w:val="005C7F53"/>
    <w:rsid w:val="005D0A75"/>
    <w:rsid w:val="005D1BA8"/>
    <w:rsid w:val="005D1E49"/>
    <w:rsid w:val="005D265B"/>
    <w:rsid w:val="005D2785"/>
    <w:rsid w:val="005D6C6D"/>
    <w:rsid w:val="005E0557"/>
    <w:rsid w:val="005E0E03"/>
    <w:rsid w:val="005E0F4D"/>
    <w:rsid w:val="005E25A0"/>
    <w:rsid w:val="005E3E13"/>
    <w:rsid w:val="005E64EE"/>
    <w:rsid w:val="005F0647"/>
    <w:rsid w:val="005F2662"/>
    <w:rsid w:val="005F3C18"/>
    <w:rsid w:val="005F3C9E"/>
    <w:rsid w:val="005F6588"/>
    <w:rsid w:val="005F738F"/>
    <w:rsid w:val="00600C0B"/>
    <w:rsid w:val="00603A1F"/>
    <w:rsid w:val="006054CB"/>
    <w:rsid w:val="00605612"/>
    <w:rsid w:val="006056F9"/>
    <w:rsid w:val="00605A9A"/>
    <w:rsid w:val="006061D5"/>
    <w:rsid w:val="00610070"/>
    <w:rsid w:val="006102AC"/>
    <w:rsid w:val="00610D72"/>
    <w:rsid w:val="00612869"/>
    <w:rsid w:val="006135F7"/>
    <w:rsid w:val="00614367"/>
    <w:rsid w:val="006145EC"/>
    <w:rsid w:val="00615380"/>
    <w:rsid w:val="0061550E"/>
    <w:rsid w:val="00615C16"/>
    <w:rsid w:val="00617599"/>
    <w:rsid w:val="006214F9"/>
    <w:rsid w:val="00622BBC"/>
    <w:rsid w:val="00623B8F"/>
    <w:rsid w:val="00627758"/>
    <w:rsid w:val="006311C1"/>
    <w:rsid w:val="00633506"/>
    <w:rsid w:val="00633A40"/>
    <w:rsid w:val="00640A17"/>
    <w:rsid w:val="0064210A"/>
    <w:rsid w:val="00645145"/>
    <w:rsid w:val="00645356"/>
    <w:rsid w:val="0064586C"/>
    <w:rsid w:val="00645DB1"/>
    <w:rsid w:val="00645ED1"/>
    <w:rsid w:val="00646103"/>
    <w:rsid w:val="00646BC1"/>
    <w:rsid w:val="0064774B"/>
    <w:rsid w:val="006506BE"/>
    <w:rsid w:val="006522BA"/>
    <w:rsid w:val="00653BB4"/>
    <w:rsid w:val="00657513"/>
    <w:rsid w:val="00662E5B"/>
    <w:rsid w:val="006642A2"/>
    <w:rsid w:val="00664E06"/>
    <w:rsid w:val="0066583D"/>
    <w:rsid w:val="006700BF"/>
    <w:rsid w:val="00670BEF"/>
    <w:rsid w:val="00672B64"/>
    <w:rsid w:val="00674115"/>
    <w:rsid w:val="0067586E"/>
    <w:rsid w:val="006775F6"/>
    <w:rsid w:val="006777E3"/>
    <w:rsid w:val="006800BD"/>
    <w:rsid w:val="00680F5C"/>
    <w:rsid w:val="006817C8"/>
    <w:rsid w:val="006842EB"/>
    <w:rsid w:val="0068532F"/>
    <w:rsid w:val="00686F17"/>
    <w:rsid w:val="00686FB0"/>
    <w:rsid w:val="00690583"/>
    <w:rsid w:val="006909A6"/>
    <w:rsid w:val="00690F4D"/>
    <w:rsid w:val="00691630"/>
    <w:rsid w:val="00691C1A"/>
    <w:rsid w:val="00693B58"/>
    <w:rsid w:val="00694DC4"/>
    <w:rsid w:val="00695058"/>
    <w:rsid w:val="00697A28"/>
    <w:rsid w:val="006A0F33"/>
    <w:rsid w:val="006A1689"/>
    <w:rsid w:val="006A2383"/>
    <w:rsid w:val="006A59E5"/>
    <w:rsid w:val="006A5A00"/>
    <w:rsid w:val="006A5EAF"/>
    <w:rsid w:val="006B2B0D"/>
    <w:rsid w:val="006B34B3"/>
    <w:rsid w:val="006B4066"/>
    <w:rsid w:val="006B4408"/>
    <w:rsid w:val="006B4B40"/>
    <w:rsid w:val="006B5038"/>
    <w:rsid w:val="006B5635"/>
    <w:rsid w:val="006B64B0"/>
    <w:rsid w:val="006B6533"/>
    <w:rsid w:val="006B6E75"/>
    <w:rsid w:val="006B75A6"/>
    <w:rsid w:val="006C0A38"/>
    <w:rsid w:val="006C1AD8"/>
    <w:rsid w:val="006C26B1"/>
    <w:rsid w:val="006C4FA0"/>
    <w:rsid w:val="006C5447"/>
    <w:rsid w:val="006C619F"/>
    <w:rsid w:val="006D2F72"/>
    <w:rsid w:val="006D3AF6"/>
    <w:rsid w:val="006D496B"/>
    <w:rsid w:val="006D5C93"/>
    <w:rsid w:val="006E130D"/>
    <w:rsid w:val="006E17F4"/>
    <w:rsid w:val="006F0B5B"/>
    <w:rsid w:val="006F3A3D"/>
    <w:rsid w:val="006F70B8"/>
    <w:rsid w:val="006F791C"/>
    <w:rsid w:val="007007AE"/>
    <w:rsid w:val="00700879"/>
    <w:rsid w:val="00701210"/>
    <w:rsid w:val="00703C45"/>
    <w:rsid w:val="00704A1A"/>
    <w:rsid w:val="00705E07"/>
    <w:rsid w:val="00712934"/>
    <w:rsid w:val="00714A60"/>
    <w:rsid w:val="00714F61"/>
    <w:rsid w:val="00715E4D"/>
    <w:rsid w:val="007160FC"/>
    <w:rsid w:val="007163BB"/>
    <w:rsid w:val="00716B59"/>
    <w:rsid w:val="00717E07"/>
    <w:rsid w:val="00720F3D"/>
    <w:rsid w:val="00724936"/>
    <w:rsid w:val="00724C7D"/>
    <w:rsid w:val="00725C17"/>
    <w:rsid w:val="007268A0"/>
    <w:rsid w:val="007277E7"/>
    <w:rsid w:val="00730422"/>
    <w:rsid w:val="00730BDB"/>
    <w:rsid w:val="00733D64"/>
    <w:rsid w:val="0073425E"/>
    <w:rsid w:val="007342CC"/>
    <w:rsid w:val="00734C08"/>
    <w:rsid w:val="007363AD"/>
    <w:rsid w:val="00740310"/>
    <w:rsid w:val="007408B9"/>
    <w:rsid w:val="00741B05"/>
    <w:rsid w:val="00741DD4"/>
    <w:rsid w:val="0074260D"/>
    <w:rsid w:val="0074265B"/>
    <w:rsid w:val="00743159"/>
    <w:rsid w:val="00744463"/>
    <w:rsid w:val="00746546"/>
    <w:rsid w:val="00747315"/>
    <w:rsid w:val="00747B62"/>
    <w:rsid w:val="0075174A"/>
    <w:rsid w:val="00751F00"/>
    <w:rsid w:val="00755C5A"/>
    <w:rsid w:val="00756380"/>
    <w:rsid w:val="00756820"/>
    <w:rsid w:val="00756D89"/>
    <w:rsid w:val="00757F13"/>
    <w:rsid w:val="007602CE"/>
    <w:rsid w:val="007611C9"/>
    <w:rsid w:val="00761A83"/>
    <w:rsid w:val="007622CD"/>
    <w:rsid w:val="00762966"/>
    <w:rsid w:val="00762BAC"/>
    <w:rsid w:val="007634F5"/>
    <w:rsid w:val="0076657F"/>
    <w:rsid w:val="00766B67"/>
    <w:rsid w:val="00766E78"/>
    <w:rsid w:val="00766FC0"/>
    <w:rsid w:val="0076740D"/>
    <w:rsid w:val="00767D87"/>
    <w:rsid w:val="00770904"/>
    <w:rsid w:val="0077305E"/>
    <w:rsid w:val="0077435B"/>
    <w:rsid w:val="0077461A"/>
    <w:rsid w:val="00774D90"/>
    <w:rsid w:val="007766D8"/>
    <w:rsid w:val="00776951"/>
    <w:rsid w:val="00781AD1"/>
    <w:rsid w:val="00784128"/>
    <w:rsid w:val="00784EC8"/>
    <w:rsid w:val="00785214"/>
    <w:rsid w:val="0079306E"/>
    <w:rsid w:val="00793541"/>
    <w:rsid w:val="007952A1"/>
    <w:rsid w:val="00797FA0"/>
    <w:rsid w:val="007A12AB"/>
    <w:rsid w:val="007A241C"/>
    <w:rsid w:val="007A2DA1"/>
    <w:rsid w:val="007A3363"/>
    <w:rsid w:val="007A51FA"/>
    <w:rsid w:val="007A5D4A"/>
    <w:rsid w:val="007A616C"/>
    <w:rsid w:val="007A6D72"/>
    <w:rsid w:val="007B04C4"/>
    <w:rsid w:val="007B3A5B"/>
    <w:rsid w:val="007B56F3"/>
    <w:rsid w:val="007B571C"/>
    <w:rsid w:val="007B5AA4"/>
    <w:rsid w:val="007B7936"/>
    <w:rsid w:val="007C025D"/>
    <w:rsid w:val="007C133F"/>
    <w:rsid w:val="007C17B8"/>
    <w:rsid w:val="007C270C"/>
    <w:rsid w:val="007C2B34"/>
    <w:rsid w:val="007C64A4"/>
    <w:rsid w:val="007C7353"/>
    <w:rsid w:val="007C7A75"/>
    <w:rsid w:val="007D0A1D"/>
    <w:rsid w:val="007D2825"/>
    <w:rsid w:val="007D344E"/>
    <w:rsid w:val="007D3D59"/>
    <w:rsid w:val="007D64C2"/>
    <w:rsid w:val="007D65CE"/>
    <w:rsid w:val="007D69F3"/>
    <w:rsid w:val="007E1913"/>
    <w:rsid w:val="007E610B"/>
    <w:rsid w:val="007E7542"/>
    <w:rsid w:val="007F3093"/>
    <w:rsid w:val="007F3160"/>
    <w:rsid w:val="007F4CDF"/>
    <w:rsid w:val="007F4EAB"/>
    <w:rsid w:val="00801F2D"/>
    <w:rsid w:val="00803FF8"/>
    <w:rsid w:val="0080454B"/>
    <w:rsid w:val="00805C36"/>
    <w:rsid w:val="00806EF6"/>
    <w:rsid w:val="00806F76"/>
    <w:rsid w:val="008072EC"/>
    <w:rsid w:val="00811950"/>
    <w:rsid w:val="0081219A"/>
    <w:rsid w:val="00812598"/>
    <w:rsid w:val="008177BC"/>
    <w:rsid w:val="00821405"/>
    <w:rsid w:val="008215E4"/>
    <w:rsid w:val="00821956"/>
    <w:rsid w:val="008234F4"/>
    <w:rsid w:val="00823598"/>
    <w:rsid w:val="00825AFE"/>
    <w:rsid w:val="00825CCE"/>
    <w:rsid w:val="00826AF6"/>
    <w:rsid w:val="0082793C"/>
    <w:rsid w:val="008319F3"/>
    <w:rsid w:val="008336AB"/>
    <w:rsid w:val="00834D08"/>
    <w:rsid w:val="0083594F"/>
    <w:rsid w:val="00836FAC"/>
    <w:rsid w:val="00837247"/>
    <w:rsid w:val="00837409"/>
    <w:rsid w:val="008452E7"/>
    <w:rsid w:val="0084751E"/>
    <w:rsid w:val="00847D2B"/>
    <w:rsid w:val="0085005C"/>
    <w:rsid w:val="00850738"/>
    <w:rsid w:val="00851290"/>
    <w:rsid w:val="008515D9"/>
    <w:rsid w:val="0085170B"/>
    <w:rsid w:val="00851C1A"/>
    <w:rsid w:val="00851D40"/>
    <w:rsid w:val="008529CE"/>
    <w:rsid w:val="008542CC"/>
    <w:rsid w:val="00854A42"/>
    <w:rsid w:val="00855962"/>
    <w:rsid w:val="00855AFD"/>
    <w:rsid w:val="0085757D"/>
    <w:rsid w:val="00863230"/>
    <w:rsid w:val="008644C4"/>
    <w:rsid w:val="008654E5"/>
    <w:rsid w:val="00866D7A"/>
    <w:rsid w:val="008703C2"/>
    <w:rsid w:val="00874C4E"/>
    <w:rsid w:val="008778B4"/>
    <w:rsid w:val="00877A39"/>
    <w:rsid w:val="00880149"/>
    <w:rsid w:val="00881A80"/>
    <w:rsid w:val="00883E91"/>
    <w:rsid w:val="008864BB"/>
    <w:rsid w:val="00886621"/>
    <w:rsid w:val="00890C91"/>
    <w:rsid w:val="00892038"/>
    <w:rsid w:val="00894787"/>
    <w:rsid w:val="0089499E"/>
    <w:rsid w:val="008967FA"/>
    <w:rsid w:val="008A26E1"/>
    <w:rsid w:val="008A3590"/>
    <w:rsid w:val="008A6921"/>
    <w:rsid w:val="008A7B94"/>
    <w:rsid w:val="008A7F56"/>
    <w:rsid w:val="008B07FD"/>
    <w:rsid w:val="008B1CA0"/>
    <w:rsid w:val="008B27DE"/>
    <w:rsid w:val="008B3679"/>
    <w:rsid w:val="008B4603"/>
    <w:rsid w:val="008B47EC"/>
    <w:rsid w:val="008B4C38"/>
    <w:rsid w:val="008B5177"/>
    <w:rsid w:val="008B54A9"/>
    <w:rsid w:val="008B5E1B"/>
    <w:rsid w:val="008B657F"/>
    <w:rsid w:val="008B7408"/>
    <w:rsid w:val="008B79EB"/>
    <w:rsid w:val="008C1EE8"/>
    <w:rsid w:val="008C2C92"/>
    <w:rsid w:val="008C4800"/>
    <w:rsid w:val="008C51AB"/>
    <w:rsid w:val="008C558F"/>
    <w:rsid w:val="008C5BB7"/>
    <w:rsid w:val="008C5D57"/>
    <w:rsid w:val="008D109E"/>
    <w:rsid w:val="008D56E6"/>
    <w:rsid w:val="008D5A4F"/>
    <w:rsid w:val="008D5C32"/>
    <w:rsid w:val="008D61C1"/>
    <w:rsid w:val="008D7AF4"/>
    <w:rsid w:val="008D7E91"/>
    <w:rsid w:val="008E016F"/>
    <w:rsid w:val="008E1B77"/>
    <w:rsid w:val="008E318E"/>
    <w:rsid w:val="008E518B"/>
    <w:rsid w:val="008E6496"/>
    <w:rsid w:val="008E684B"/>
    <w:rsid w:val="008E7E44"/>
    <w:rsid w:val="008F1DC8"/>
    <w:rsid w:val="008F4CA0"/>
    <w:rsid w:val="008F50BF"/>
    <w:rsid w:val="008F510A"/>
    <w:rsid w:val="008F5850"/>
    <w:rsid w:val="008F696B"/>
    <w:rsid w:val="008F7EFF"/>
    <w:rsid w:val="00901176"/>
    <w:rsid w:val="00903DEE"/>
    <w:rsid w:val="00904636"/>
    <w:rsid w:val="00907E62"/>
    <w:rsid w:val="00907FEA"/>
    <w:rsid w:val="009124C5"/>
    <w:rsid w:val="00913CA7"/>
    <w:rsid w:val="009157C5"/>
    <w:rsid w:val="0091716C"/>
    <w:rsid w:val="00917FF4"/>
    <w:rsid w:val="009207D8"/>
    <w:rsid w:val="00922578"/>
    <w:rsid w:val="009233F3"/>
    <w:rsid w:val="00923BA2"/>
    <w:rsid w:val="0093315D"/>
    <w:rsid w:val="0093391E"/>
    <w:rsid w:val="00933A4C"/>
    <w:rsid w:val="009357C5"/>
    <w:rsid w:val="0093784C"/>
    <w:rsid w:val="00941F42"/>
    <w:rsid w:val="009466C8"/>
    <w:rsid w:val="00946EC0"/>
    <w:rsid w:val="00947BA4"/>
    <w:rsid w:val="00947D22"/>
    <w:rsid w:val="00950108"/>
    <w:rsid w:val="00950D0E"/>
    <w:rsid w:val="00953712"/>
    <w:rsid w:val="009544A7"/>
    <w:rsid w:val="009552E9"/>
    <w:rsid w:val="009553DA"/>
    <w:rsid w:val="00955E1C"/>
    <w:rsid w:val="0095628D"/>
    <w:rsid w:val="00957A9D"/>
    <w:rsid w:val="00962836"/>
    <w:rsid w:val="00963A42"/>
    <w:rsid w:val="00966868"/>
    <w:rsid w:val="00966E70"/>
    <w:rsid w:val="009671DA"/>
    <w:rsid w:val="0096772C"/>
    <w:rsid w:val="00974F86"/>
    <w:rsid w:val="00977187"/>
    <w:rsid w:val="00981594"/>
    <w:rsid w:val="0098216F"/>
    <w:rsid w:val="00983804"/>
    <w:rsid w:val="009904CB"/>
    <w:rsid w:val="009925B6"/>
    <w:rsid w:val="00993050"/>
    <w:rsid w:val="00993EB6"/>
    <w:rsid w:val="00993FC1"/>
    <w:rsid w:val="009948A9"/>
    <w:rsid w:val="00997ADE"/>
    <w:rsid w:val="009A2A04"/>
    <w:rsid w:val="009A4081"/>
    <w:rsid w:val="009A6130"/>
    <w:rsid w:val="009A7043"/>
    <w:rsid w:val="009B081F"/>
    <w:rsid w:val="009B15CC"/>
    <w:rsid w:val="009B227B"/>
    <w:rsid w:val="009B3287"/>
    <w:rsid w:val="009B36D8"/>
    <w:rsid w:val="009B3868"/>
    <w:rsid w:val="009B5AE3"/>
    <w:rsid w:val="009B5F48"/>
    <w:rsid w:val="009B64C7"/>
    <w:rsid w:val="009C05FA"/>
    <w:rsid w:val="009C0ADE"/>
    <w:rsid w:val="009C1F10"/>
    <w:rsid w:val="009C285B"/>
    <w:rsid w:val="009C2D0B"/>
    <w:rsid w:val="009C3DAE"/>
    <w:rsid w:val="009C504A"/>
    <w:rsid w:val="009C6190"/>
    <w:rsid w:val="009C6672"/>
    <w:rsid w:val="009D2BD3"/>
    <w:rsid w:val="009D3324"/>
    <w:rsid w:val="009D3AE0"/>
    <w:rsid w:val="009D53FD"/>
    <w:rsid w:val="009D5698"/>
    <w:rsid w:val="009D6F63"/>
    <w:rsid w:val="009D776B"/>
    <w:rsid w:val="009D7AFF"/>
    <w:rsid w:val="009E06C1"/>
    <w:rsid w:val="009E2182"/>
    <w:rsid w:val="009E51E0"/>
    <w:rsid w:val="009E6287"/>
    <w:rsid w:val="009E678A"/>
    <w:rsid w:val="009E7BB6"/>
    <w:rsid w:val="009F0DBB"/>
    <w:rsid w:val="009F1A9D"/>
    <w:rsid w:val="009F48BE"/>
    <w:rsid w:val="009F4999"/>
    <w:rsid w:val="009F5365"/>
    <w:rsid w:val="009F5FC5"/>
    <w:rsid w:val="00A00370"/>
    <w:rsid w:val="00A01ACA"/>
    <w:rsid w:val="00A01F21"/>
    <w:rsid w:val="00A02F1E"/>
    <w:rsid w:val="00A03B04"/>
    <w:rsid w:val="00A0490C"/>
    <w:rsid w:val="00A05595"/>
    <w:rsid w:val="00A05BC7"/>
    <w:rsid w:val="00A0631D"/>
    <w:rsid w:val="00A116A8"/>
    <w:rsid w:val="00A11C30"/>
    <w:rsid w:val="00A16226"/>
    <w:rsid w:val="00A16BA5"/>
    <w:rsid w:val="00A17C3C"/>
    <w:rsid w:val="00A17CBE"/>
    <w:rsid w:val="00A20B08"/>
    <w:rsid w:val="00A20F09"/>
    <w:rsid w:val="00A21669"/>
    <w:rsid w:val="00A21AFD"/>
    <w:rsid w:val="00A226AC"/>
    <w:rsid w:val="00A2283F"/>
    <w:rsid w:val="00A2351E"/>
    <w:rsid w:val="00A240A2"/>
    <w:rsid w:val="00A252F2"/>
    <w:rsid w:val="00A26C10"/>
    <w:rsid w:val="00A27539"/>
    <w:rsid w:val="00A30998"/>
    <w:rsid w:val="00A30AD2"/>
    <w:rsid w:val="00A333C7"/>
    <w:rsid w:val="00A35FE8"/>
    <w:rsid w:val="00A37AB8"/>
    <w:rsid w:val="00A40638"/>
    <w:rsid w:val="00A408E3"/>
    <w:rsid w:val="00A40D0B"/>
    <w:rsid w:val="00A4160F"/>
    <w:rsid w:val="00A41C17"/>
    <w:rsid w:val="00A43467"/>
    <w:rsid w:val="00A4460E"/>
    <w:rsid w:val="00A45677"/>
    <w:rsid w:val="00A46AF5"/>
    <w:rsid w:val="00A52206"/>
    <w:rsid w:val="00A52512"/>
    <w:rsid w:val="00A52866"/>
    <w:rsid w:val="00A531BB"/>
    <w:rsid w:val="00A53333"/>
    <w:rsid w:val="00A546B4"/>
    <w:rsid w:val="00A56815"/>
    <w:rsid w:val="00A57359"/>
    <w:rsid w:val="00A578E4"/>
    <w:rsid w:val="00A604AA"/>
    <w:rsid w:val="00A627B9"/>
    <w:rsid w:val="00A628EE"/>
    <w:rsid w:val="00A62EC2"/>
    <w:rsid w:val="00A63643"/>
    <w:rsid w:val="00A63A36"/>
    <w:rsid w:val="00A661DC"/>
    <w:rsid w:val="00A70371"/>
    <w:rsid w:val="00A70731"/>
    <w:rsid w:val="00A72467"/>
    <w:rsid w:val="00A73CAC"/>
    <w:rsid w:val="00A74BF4"/>
    <w:rsid w:val="00A75121"/>
    <w:rsid w:val="00A753F8"/>
    <w:rsid w:val="00A75FE1"/>
    <w:rsid w:val="00A7689E"/>
    <w:rsid w:val="00A8111B"/>
    <w:rsid w:val="00A831E8"/>
    <w:rsid w:val="00A84110"/>
    <w:rsid w:val="00A84D00"/>
    <w:rsid w:val="00A86471"/>
    <w:rsid w:val="00A869AA"/>
    <w:rsid w:val="00A907C2"/>
    <w:rsid w:val="00A9520D"/>
    <w:rsid w:val="00A95C2D"/>
    <w:rsid w:val="00A97762"/>
    <w:rsid w:val="00AA0734"/>
    <w:rsid w:val="00AA19C5"/>
    <w:rsid w:val="00AA23A3"/>
    <w:rsid w:val="00AA39CE"/>
    <w:rsid w:val="00AA5823"/>
    <w:rsid w:val="00AA5EED"/>
    <w:rsid w:val="00AA7B89"/>
    <w:rsid w:val="00AB1246"/>
    <w:rsid w:val="00AB19FA"/>
    <w:rsid w:val="00AB2B1C"/>
    <w:rsid w:val="00AB34FA"/>
    <w:rsid w:val="00AB3764"/>
    <w:rsid w:val="00AB37DA"/>
    <w:rsid w:val="00AB6E48"/>
    <w:rsid w:val="00AC0548"/>
    <w:rsid w:val="00AC0FAD"/>
    <w:rsid w:val="00AC1853"/>
    <w:rsid w:val="00AC73A1"/>
    <w:rsid w:val="00AC741B"/>
    <w:rsid w:val="00AC7A12"/>
    <w:rsid w:val="00AD1B9A"/>
    <w:rsid w:val="00AD33FD"/>
    <w:rsid w:val="00AD40FF"/>
    <w:rsid w:val="00AD4663"/>
    <w:rsid w:val="00AD5080"/>
    <w:rsid w:val="00AD6223"/>
    <w:rsid w:val="00AD6FF2"/>
    <w:rsid w:val="00AD7AF5"/>
    <w:rsid w:val="00AE05ED"/>
    <w:rsid w:val="00AE1B7B"/>
    <w:rsid w:val="00AE20DB"/>
    <w:rsid w:val="00AE254C"/>
    <w:rsid w:val="00AE3556"/>
    <w:rsid w:val="00AE538A"/>
    <w:rsid w:val="00AE7423"/>
    <w:rsid w:val="00AF05DD"/>
    <w:rsid w:val="00AF0DEF"/>
    <w:rsid w:val="00AF0FEC"/>
    <w:rsid w:val="00AF15C4"/>
    <w:rsid w:val="00AF1779"/>
    <w:rsid w:val="00AF2A73"/>
    <w:rsid w:val="00AF377A"/>
    <w:rsid w:val="00AF3A50"/>
    <w:rsid w:val="00AF4476"/>
    <w:rsid w:val="00AF4B50"/>
    <w:rsid w:val="00AF72BA"/>
    <w:rsid w:val="00B00054"/>
    <w:rsid w:val="00B00C0A"/>
    <w:rsid w:val="00B05817"/>
    <w:rsid w:val="00B05938"/>
    <w:rsid w:val="00B05F08"/>
    <w:rsid w:val="00B06298"/>
    <w:rsid w:val="00B07BCB"/>
    <w:rsid w:val="00B07F10"/>
    <w:rsid w:val="00B11860"/>
    <w:rsid w:val="00B132BF"/>
    <w:rsid w:val="00B13707"/>
    <w:rsid w:val="00B14806"/>
    <w:rsid w:val="00B14AC9"/>
    <w:rsid w:val="00B14D9C"/>
    <w:rsid w:val="00B14DC2"/>
    <w:rsid w:val="00B1558D"/>
    <w:rsid w:val="00B15F99"/>
    <w:rsid w:val="00B16CA6"/>
    <w:rsid w:val="00B16F07"/>
    <w:rsid w:val="00B17B83"/>
    <w:rsid w:val="00B215D6"/>
    <w:rsid w:val="00B22F5A"/>
    <w:rsid w:val="00B23E82"/>
    <w:rsid w:val="00B24158"/>
    <w:rsid w:val="00B26643"/>
    <w:rsid w:val="00B303E6"/>
    <w:rsid w:val="00B30658"/>
    <w:rsid w:val="00B36AB3"/>
    <w:rsid w:val="00B374A4"/>
    <w:rsid w:val="00B40A58"/>
    <w:rsid w:val="00B459E7"/>
    <w:rsid w:val="00B4622D"/>
    <w:rsid w:val="00B47F48"/>
    <w:rsid w:val="00B51186"/>
    <w:rsid w:val="00B5231F"/>
    <w:rsid w:val="00B5324C"/>
    <w:rsid w:val="00B53938"/>
    <w:rsid w:val="00B53C7A"/>
    <w:rsid w:val="00B53DB9"/>
    <w:rsid w:val="00B549E9"/>
    <w:rsid w:val="00B555B1"/>
    <w:rsid w:val="00B55C63"/>
    <w:rsid w:val="00B5719D"/>
    <w:rsid w:val="00B607A6"/>
    <w:rsid w:val="00B610B4"/>
    <w:rsid w:val="00B61D70"/>
    <w:rsid w:val="00B6434D"/>
    <w:rsid w:val="00B643F8"/>
    <w:rsid w:val="00B6519D"/>
    <w:rsid w:val="00B65F57"/>
    <w:rsid w:val="00B66C47"/>
    <w:rsid w:val="00B67182"/>
    <w:rsid w:val="00B6760B"/>
    <w:rsid w:val="00B71AD8"/>
    <w:rsid w:val="00B727D4"/>
    <w:rsid w:val="00B7456C"/>
    <w:rsid w:val="00B75193"/>
    <w:rsid w:val="00B75B2A"/>
    <w:rsid w:val="00B75C71"/>
    <w:rsid w:val="00B75F0E"/>
    <w:rsid w:val="00B768A2"/>
    <w:rsid w:val="00B7737F"/>
    <w:rsid w:val="00B804DD"/>
    <w:rsid w:val="00B80A39"/>
    <w:rsid w:val="00B82956"/>
    <w:rsid w:val="00B82DDD"/>
    <w:rsid w:val="00B82E39"/>
    <w:rsid w:val="00B83218"/>
    <w:rsid w:val="00B837BB"/>
    <w:rsid w:val="00B8553F"/>
    <w:rsid w:val="00B86414"/>
    <w:rsid w:val="00B87A81"/>
    <w:rsid w:val="00B91457"/>
    <w:rsid w:val="00B93A10"/>
    <w:rsid w:val="00BA0180"/>
    <w:rsid w:val="00BA0402"/>
    <w:rsid w:val="00BA0C34"/>
    <w:rsid w:val="00BA1E41"/>
    <w:rsid w:val="00BA259D"/>
    <w:rsid w:val="00BA39A0"/>
    <w:rsid w:val="00BA3A31"/>
    <w:rsid w:val="00BA43EB"/>
    <w:rsid w:val="00BA5F58"/>
    <w:rsid w:val="00BA6C2B"/>
    <w:rsid w:val="00BB3D32"/>
    <w:rsid w:val="00BB57CF"/>
    <w:rsid w:val="00BB61B1"/>
    <w:rsid w:val="00BB7BCF"/>
    <w:rsid w:val="00BC088D"/>
    <w:rsid w:val="00BC5FDF"/>
    <w:rsid w:val="00BC7685"/>
    <w:rsid w:val="00BD034E"/>
    <w:rsid w:val="00BD302A"/>
    <w:rsid w:val="00BD33BB"/>
    <w:rsid w:val="00BE06CC"/>
    <w:rsid w:val="00BE1613"/>
    <w:rsid w:val="00BE326A"/>
    <w:rsid w:val="00BE3658"/>
    <w:rsid w:val="00BE3C1E"/>
    <w:rsid w:val="00BE662F"/>
    <w:rsid w:val="00BF3426"/>
    <w:rsid w:val="00BF3BA0"/>
    <w:rsid w:val="00BF45EA"/>
    <w:rsid w:val="00BF64B4"/>
    <w:rsid w:val="00C024DD"/>
    <w:rsid w:val="00C03731"/>
    <w:rsid w:val="00C042C6"/>
    <w:rsid w:val="00C046CF"/>
    <w:rsid w:val="00C05560"/>
    <w:rsid w:val="00C1092F"/>
    <w:rsid w:val="00C10CE6"/>
    <w:rsid w:val="00C125E7"/>
    <w:rsid w:val="00C12B00"/>
    <w:rsid w:val="00C15085"/>
    <w:rsid w:val="00C168B9"/>
    <w:rsid w:val="00C177D0"/>
    <w:rsid w:val="00C17ACF"/>
    <w:rsid w:val="00C17F1B"/>
    <w:rsid w:val="00C17FBA"/>
    <w:rsid w:val="00C216E6"/>
    <w:rsid w:val="00C24E99"/>
    <w:rsid w:val="00C25AA0"/>
    <w:rsid w:val="00C263B8"/>
    <w:rsid w:val="00C27E61"/>
    <w:rsid w:val="00C30AD1"/>
    <w:rsid w:val="00C311C3"/>
    <w:rsid w:val="00C31D0B"/>
    <w:rsid w:val="00C32328"/>
    <w:rsid w:val="00C33358"/>
    <w:rsid w:val="00C3352A"/>
    <w:rsid w:val="00C35CD7"/>
    <w:rsid w:val="00C404D3"/>
    <w:rsid w:val="00C40AF1"/>
    <w:rsid w:val="00C40BA5"/>
    <w:rsid w:val="00C44E8F"/>
    <w:rsid w:val="00C502EB"/>
    <w:rsid w:val="00C51333"/>
    <w:rsid w:val="00C5528C"/>
    <w:rsid w:val="00C56238"/>
    <w:rsid w:val="00C5677A"/>
    <w:rsid w:val="00C61A61"/>
    <w:rsid w:val="00C6381B"/>
    <w:rsid w:val="00C643E3"/>
    <w:rsid w:val="00C67002"/>
    <w:rsid w:val="00C6733F"/>
    <w:rsid w:val="00C67D9F"/>
    <w:rsid w:val="00C700D6"/>
    <w:rsid w:val="00C71233"/>
    <w:rsid w:val="00C72DEE"/>
    <w:rsid w:val="00C73590"/>
    <w:rsid w:val="00C74E71"/>
    <w:rsid w:val="00C755B4"/>
    <w:rsid w:val="00C770B2"/>
    <w:rsid w:val="00C80648"/>
    <w:rsid w:val="00C82720"/>
    <w:rsid w:val="00C83005"/>
    <w:rsid w:val="00C83654"/>
    <w:rsid w:val="00C86F94"/>
    <w:rsid w:val="00C90FE5"/>
    <w:rsid w:val="00C92E9C"/>
    <w:rsid w:val="00C92EE6"/>
    <w:rsid w:val="00C93DC9"/>
    <w:rsid w:val="00C94646"/>
    <w:rsid w:val="00C95361"/>
    <w:rsid w:val="00C965EF"/>
    <w:rsid w:val="00C977FE"/>
    <w:rsid w:val="00CA1190"/>
    <w:rsid w:val="00CA310F"/>
    <w:rsid w:val="00CA4229"/>
    <w:rsid w:val="00CA5782"/>
    <w:rsid w:val="00CA7E14"/>
    <w:rsid w:val="00CB057C"/>
    <w:rsid w:val="00CB256B"/>
    <w:rsid w:val="00CB27F9"/>
    <w:rsid w:val="00CB3FA7"/>
    <w:rsid w:val="00CB4B3B"/>
    <w:rsid w:val="00CB4DDA"/>
    <w:rsid w:val="00CB5648"/>
    <w:rsid w:val="00CB5DDB"/>
    <w:rsid w:val="00CB6C19"/>
    <w:rsid w:val="00CC11C6"/>
    <w:rsid w:val="00CC2237"/>
    <w:rsid w:val="00CC3AD6"/>
    <w:rsid w:val="00CC57F7"/>
    <w:rsid w:val="00CC5E67"/>
    <w:rsid w:val="00CC62D8"/>
    <w:rsid w:val="00CD1D02"/>
    <w:rsid w:val="00CD1D43"/>
    <w:rsid w:val="00CD3AC7"/>
    <w:rsid w:val="00CD5A5E"/>
    <w:rsid w:val="00CD7BE7"/>
    <w:rsid w:val="00CE100E"/>
    <w:rsid w:val="00CE1BF0"/>
    <w:rsid w:val="00CE4EB2"/>
    <w:rsid w:val="00CE51D5"/>
    <w:rsid w:val="00CE645B"/>
    <w:rsid w:val="00CE6CC7"/>
    <w:rsid w:val="00CF1A59"/>
    <w:rsid w:val="00CF1E51"/>
    <w:rsid w:val="00CF410A"/>
    <w:rsid w:val="00CF4123"/>
    <w:rsid w:val="00CF4477"/>
    <w:rsid w:val="00CF5EE3"/>
    <w:rsid w:val="00CF63CA"/>
    <w:rsid w:val="00D05FAD"/>
    <w:rsid w:val="00D067D0"/>
    <w:rsid w:val="00D07E5A"/>
    <w:rsid w:val="00D101EC"/>
    <w:rsid w:val="00D10546"/>
    <w:rsid w:val="00D11455"/>
    <w:rsid w:val="00D115EE"/>
    <w:rsid w:val="00D124BF"/>
    <w:rsid w:val="00D15CB1"/>
    <w:rsid w:val="00D16077"/>
    <w:rsid w:val="00D16598"/>
    <w:rsid w:val="00D169BB"/>
    <w:rsid w:val="00D20741"/>
    <w:rsid w:val="00D2178F"/>
    <w:rsid w:val="00D21CE0"/>
    <w:rsid w:val="00D2301A"/>
    <w:rsid w:val="00D2495B"/>
    <w:rsid w:val="00D256D1"/>
    <w:rsid w:val="00D303DE"/>
    <w:rsid w:val="00D30B1D"/>
    <w:rsid w:val="00D3102D"/>
    <w:rsid w:val="00D322CD"/>
    <w:rsid w:val="00D34C59"/>
    <w:rsid w:val="00D3555B"/>
    <w:rsid w:val="00D3558B"/>
    <w:rsid w:val="00D356F7"/>
    <w:rsid w:val="00D35949"/>
    <w:rsid w:val="00D36A8D"/>
    <w:rsid w:val="00D42BBD"/>
    <w:rsid w:val="00D42CC7"/>
    <w:rsid w:val="00D44192"/>
    <w:rsid w:val="00D467EE"/>
    <w:rsid w:val="00D46A30"/>
    <w:rsid w:val="00D479D5"/>
    <w:rsid w:val="00D52BEA"/>
    <w:rsid w:val="00D53B40"/>
    <w:rsid w:val="00D55D91"/>
    <w:rsid w:val="00D6038F"/>
    <w:rsid w:val="00D609A9"/>
    <w:rsid w:val="00D60EE9"/>
    <w:rsid w:val="00D62A48"/>
    <w:rsid w:val="00D6342B"/>
    <w:rsid w:val="00D64240"/>
    <w:rsid w:val="00D6471B"/>
    <w:rsid w:val="00D66735"/>
    <w:rsid w:val="00D7091B"/>
    <w:rsid w:val="00D70E55"/>
    <w:rsid w:val="00D72F7E"/>
    <w:rsid w:val="00D76FA9"/>
    <w:rsid w:val="00D77AFE"/>
    <w:rsid w:val="00D80230"/>
    <w:rsid w:val="00D81C65"/>
    <w:rsid w:val="00D82C1B"/>
    <w:rsid w:val="00D83DD4"/>
    <w:rsid w:val="00D849B2"/>
    <w:rsid w:val="00D84CCA"/>
    <w:rsid w:val="00D863B9"/>
    <w:rsid w:val="00D87CE9"/>
    <w:rsid w:val="00D900FC"/>
    <w:rsid w:val="00D92683"/>
    <w:rsid w:val="00D927AC"/>
    <w:rsid w:val="00D931DC"/>
    <w:rsid w:val="00D938BF"/>
    <w:rsid w:val="00D95BB2"/>
    <w:rsid w:val="00D95FDA"/>
    <w:rsid w:val="00D97141"/>
    <w:rsid w:val="00D979F3"/>
    <w:rsid w:val="00DA0CB4"/>
    <w:rsid w:val="00DA2571"/>
    <w:rsid w:val="00DA34DB"/>
    <w:rsid w:val="00DA4414"/>
    <w:rsid w:val="00DA63AC"/>
    <w:rsid w:val="00DB0A23"/>
    <w:rsid w:val="00DB0F16"/>
    <w:rsid w:val="00DB169B"/>
    <w:rsid w:val="00DB2690"/>
    <w:rsid w:val="00DB6834"/>
    <w:rsid w:val="00DC0150"/>
    <w:rsid w:val="00DC1624"/>
    <w:rsid w:val="00DC2887"/>
    <w:rsid w:val="00DC2FED"/>
    <w:rsid w:val="00DC5740"/>
    <w:rsid w:val="00DC6870"/>
    <w:rsid w:val="00DC7589"/>
    <w:rsid w:val="00DD09CE"/>
    <w:rsid w:val="00DD0AF2"/>
    <w:rsid w:val="00DD342F"/>
    <w:rsid w:val="00DD69A8"/>
    <w:rsid w:val="00DD7395"/>
    <w:rsid w:val="00DE0AF4"/>
    <w:rsid w:val="00DE36E0"/>
    <w:rsid w:val="00DE5828"/>
    <w:rsid w:val="00DE6045"/>
    <w:rsid w:val="00DE608B"/>
    <w:rsid w:val="00DE6EBB"/>
    <w:rsid w:val="00DE6F00"/>
    <w:rsid w:val="00DE71BF"/>
    <w:rsid w:val="00DE7455"/>
    <w:rsid w:val="00DE7543"/>
    <w:rsid w:val="00DF170B"/>
    <w:rsid w:val="00DF1A2A"/>
    <w:rsid w:val="00DF1DED"/>
    <w:rsid w:val="00DF5185"/>
    <w:rsid w:val="00DF581A"/>
    <w:rsid w:val="00DF6523"/>
    <w:rsid w:val="00E00090"/>
    <w:rsid w:val="00E01A78"/>
    <w:rsid w:val="00E03EDB"/>
    <w:rsid w:val="00E04D04"/>
    <w:rsid w:val="00E0586C"/>
    <w:rsid w:val="00E05CBA"/>
    <w:rsid w:val="00E107D6"/>
    <w:rsid w:val="00E14763"/>
    <w:rsid w:val="00E14CCB"/>
    <w:rsid w:val="00E155F1"/>
    <w:rsid w:val="00E16537"/>
    <w:rsid w:val="00E17AEC"/>
    <w:rsid w:val="00E20C29"/>
    <w:rsid w:val="00E224A3"/>
    <w:rsid w:val="00E2421D"/>
    <w:rsid w:val="00E244F5"/>
    <w:rsid w:val="00E265DB"/>
    <w:rsid w:val="00E37B76"/>
    <w:rsid w:val="00E510F9"/>
    <w:rsid w:val="00E543BB"/>
    <w:rsid w:val="00E54E85"/>
    <w:rsid w:val="00E553B2"/>
    <w:rsid w:val="00E556B4"/>
    <w:rsid w:val="00E56A09"/>
    <w:rsid w:val="00E57560"/>
    <w:rsid w:val="00E57B0C"/>
    <w:rsid w:val="00E60252"/>
    <w:rsid w:val="00E61377"/>
    <w:rsid w:val="00E61D02"/>
    <w:rsid w:val="00E638ED"/>
    <w:rsid w:val="00E65344"/>
    <w:rsid w:val="00E65C22"/>
    <w:rsid w:val="00E66980"/>
    <w:rsid w:val="00E70A7A"/>
    <w:rsid w:val="00E72AFF"/>
    <w:rsid w:val="00E72CC9"/>
    <w:rsid w:val="00E73001"/>
    <w:rsid w:val="00E758E9"/>
    <w:rsid w:val="00E75EDE"/>
    <w:rsid w:val="00E771E6"/>
    <w:rsid w:val="00E773FD"/>
    <w:rsid w:val="00E77EBB"/>
    <w:rsid w:val="00E80FEF"/>
    <w:rsid w:val="00E81BED"/>
    <w:rsid w:val="00E82DB5"/>
    <w:rsid w:val="00E85A32"/>
    <w:rsid w:val="00E86828"/>
    <w:rsid w:val="00E868E3"/>
    <w:rsid w:val="00E86FEA"/>
    <w:rsid w:val="00E8775D"/>
    <w:rsid w:val="00E90935"/>
    <w:rsid w:val="00E917EB"/>
    <w:rsid w:val="00E92816"/>
    <w:rsid w:val="00E92855"/>
    <w:rsid w:val="00E96982"/>
    <w:rsid w:val="00EA0318"/>
    <w:rsid w:val="00EA0CD8"/>
    <w:rsid w:val="00EA1C49"/>
    <w:rsid w:val="00EA1C69"/>
    <w:rsid w:val="00EA2A2B"/>
    <w:rsid w:val="00EA3046"/>
    <w:rsid w:val="00EA3E79"/>
    <w:rsid w:val="00EA477E"/>
    <w:rsid w:val="00EA50C7"/>
    <w:rsid w:val="00EA588E"/>
    <w:rsid w:val="00EA61C9"/>
    <w:rsid w:val="00EB0A75"/>
    <w:rsid w:val="00EB16CD"/>
    <w:rsid w:val="00EB4CA4"/>
    <w:rsid w:val="00EB6F7C"/>
    <w:rsid w:val="00EC087A"/>
    <w:rsid w:val="00EC1D57"/>
    <w:rsid w:val="00EC289A"/>
    <w:rsid w:val="00EC3BB8"/>
    <w:rsid w:val="00ED198B"/>
    <w:rsid w:val="00ED2CE5"/>
    <w:rsid w:val="00ED2EEE"/>
    <w:rsid w:val="00ED53F7"/>
    <w:rsid w:val="00ED647B"/>
    <w:rsid w:val="00ED69B9"/>
    <w:rsid w:val="00EE23D4"/>
    <w:rsid w:val="00EE3861"/>
    <w:rsid w:val="00EE4850"/>
    <w:rsid w:val="00EE6FE7"/>
    <w:rsid w:val="00EF0CE9"/>
    <w:rsid w:val="00EF151A"/>
    <w:rsid w:val="00EF1C2E"/>
    <w:rsid w:val="00EF3FFA"/>
    <w:rsid w:val="00EF5299"/>
    <w:rsid w:val="00EF7E2C"/>
    <w:rsid w:val="00F006D2"/>
    <w:rsid w:val="00F02FDA"/>
    <w:rsid w:val="00F0358A"/>
    <w:rsid w:val="00F07903"/>
    <w:rsid w:val="00F07A90"/>
    <w:rsid w:val="00F108C7"/>
    <w:rsid w:val="00F128A2"/>
    <w:rsid w:val="00F14C7D"/>
    <w:rsid w:val="00F15673"/>
    <w:rsid w:val="00F1736F"/>
    <w:rsid w:val="00F21297"/>
    <w:rsid w:val="00F232D5"/>
    <w:rsid w:val="00F27919"/>
    <w:rsid w:val="00F303A0"/>
    <w:rsid w:val="00F31518"/>
    <w:rsid w:val="00F3184F"/>
    <w:rsid w:val="00F33293"/>
    <w:rsid w:val="00F343C5"/>
    <w:rsid w:val="00F34D11"/>
    <w:rsid w:val="00F35AE3"/>
    <w:rsid w:val="00F36018"/>
    <w:rsid w:val="00F37787"/>
    <w:rsid w:val="00F40099"/>
    <w:rsid w:val="00F44BD0"/>
    <w:rsid w:val="00F45DBF"/>
    <w:rsid w:val="00F46E2A"/>
    <w:rsid w:val="00F50246"/>
    <w:rsid w:val="00F50BB3"/>
    <w:rsid w:val="00F50EF9"/>
    <w:rsid w:val="00F5149B"/>
    <w:rsid w:val="00F514CA"/>
    <w:rsid w:val="00F55333"/>
    <w:rsid w:val="00F55869"/>
    <w:rsid w:val="00F55A7F"/>
    <w:rsid w:val="00F61A67"/>
    <w:rsid w:val="00F65C77"/>
    <w:rsid w:val="00F65FBA"/>
    <w:rsid w:val="00F67975"/>
    <w:rsid w:val="00F74D8A"/>
    <w:rsid w:val="00F75F4D"/>
    <w:rsid w:val="00F766A2"/>
    <w:rsid w:val="00F77A84"/>
    <w:rsid w:val="00F8098D"/>
    <w:rsid w:val="00F812AA"/>
    <w:rsid w:val="00F82EA9"/>
    <w:rsid w:val="00F84B76"/>
    <w:rsid w:val="00F856F6"/>
    <w:rsid w:val="00F85F82"/>
    <w:rsid w:val="00F86903"/>
    <w:rsid w:val="00F86AEA"/>
    <w:rsid w:val="00F90A24"/>
    <w:rsid w:val="00F923E3"/>
    <w:rsid w:val="00F92C34"/>
    <w:rsid w:val="00F94F1F"/>
    <w:rsid w:val="00F9770B"/>
    <w:rsid w:val="00FA2DDA"/>
    <w:rsid w:val="00FA5B67"/>
    <w:rsid w:val="00FB2686"/>
    <w:rsid w:val="00FB2F1A"/>
    <w:rsid w:val="00FB3AEB"/>
    <w:rsid w:val="00FB543B"/>
    <w:rsid w:val="00FB5858"/>
    <w:rsid w:val="00FB5BEB"/>
    <w:rsid w:val="00FB6917"/>
    <w:rsid w:val="00FB705C"/>
    <w:rsid w:val="00FC3260"/>
    <w:rsid w:val="00FC333E"/>
    <w:rsid w:val="00FC391D"/>
    <w:rsid w:val="00FC3FBC"/>
    <w:rsid w:val="00FC5756"/>
    <w:rsid w:val="00FC7A61"/>
    <w:rsid w:val="00FD16B9"/>
    <w:rsid w:val="00FD29E7"/>
    <w:rsid w:val="00FD3D6A"/>
    <w:rsid w:val="00FD523D"/>
    <w:rsid w:val="00FD73CF"/>
    <w:rsid w:val="00FE1855"/>
    <w:rsid w:val="00FE21FD"/>
    <w:rsid w:val="00FE3035"/>
    <w:rsid w:val="00FE3378"/>
    <w:rsid w:val="00FE65A2"/>
    <w:rsid w:val="00FF01A9"/>
    <w:rsid w:val="00FF05E5"/>
    <w:rsid w:val="00FF0B54"/>
    <w:rsid w:val="00FF0EC4"/>
    <w:rsid w:val="00FF59B3"/>
    <w:rsid w:val="00FF78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7A97EF"/>
  <w15:chartTrackingRefBased/>
  <w15:docId w15:val="{6E52C2A9-B24D-4E5A-AF01-447E2850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18"/>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1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B3"/>
    <w:pPr>
      <w:spacing w:before="60" w:after="60"/>
      <w:jc w:val="both"/>
    </w:pPr>
    <w:rPr>
      <w:rFonts w:ascii="Arial" w:hAnsi="Arial"/>
      <w:spacing w:val="-4"/>
      <w:lang w:val="en-GB"/>
    </w:rPr>
  </w:style>
  <w:style w:type="paragraph" w:styleId="Heading1">
    <w:name w:val="heading 1"/>
    <w:aliases w:val="Chapter Heading"/>
    <w:basedOn w:val="Title"/>
    <w:next w:val="Normal"/>
    <w:link w:val="Heading1Char"/>
    <w:uiPriority w:val="9"/>
    <w:qFormat/>
    <w:rsid w:val="00EF7E2C"/>
    <w:pPr>
      <w:numPr>
        <w:numId w:val="6"/>
      </w:numPr>
      <w:jc w:val="left"/>
      <w:outlineLvl w:val="0"/>
    </w:pPr>
  </w:style>
  <w:style w:type="paragraph" w:styleId="Heading2">
    <w:name w:val="heading 2"/>
    <w:aliases w:val="Section Heading 1.1"/>
    <w:basedOn w:val="Normal"/>
    <w:next w:val="Normal"/>
    <w:link w:val="Heading2Char"/>
    <w:uiPriority w:val="9"/>
    <w:unhideWhenUsed/>
    <w:qFormat/>
    <w:rsid w:val="00EF7E2C"/>
    <w:pPr>
      <w:keepNext/>
      <w:keepLines/>
      <w:numPr>
        <w:ilvl w:val="1"/>
        <w:numId w:val="6"/>
      </w:numPr>
      <w:shd w:val="clear" w:color="auto" w:fill="BFBFBF" w:themeFill="background1" w:themeFillShade="BF"/>
      <w:spacing w:before="120" w:after="0"/>
      <w:jc w:val="left"/>
      <w:outlineLvl w:val="1"/>
    </w:pPr>
    <w:rPr>
      <w:rFonts w:eastAsiaTheme="majorEastAsia" w:cstheme="majorBidi"/>
      <w:b/>
      <w:caps/>
      <w:sz w:val="22"/>
    </w:rPr>
  </w:style>
  <w:style w:type="paragraph" w:styleId="Heading3">
    <w:name w:val="heading 3"/>
    <w:aliases w:val="Section Heading 1.1.1"/>
    <w:basedOn w:val="Normal"/>
    <w:next w:val="Normal"/>
    <w:link w:val="Heading3Char"/>
    <w:uiPriority w:val="9"/>
    <w:unhideWhenUsed/>
    <w:qFormat/>
    <w:rsid w:val="00EF7E2C"/>
    <w:pPr>
      <w:keepNext/>
      <w:keepLines/>
      <w:numPr>
        <w:ilvl w:val="2"/>
        <w:numId w:val="6"/>
      </w:numPr>
      <w:shd w:val="clear" w:color="auto" w:fill="BFBFBF" w:themeFill="background1" w:themeFillShade="BF"/>
      <w:spacing w:before="120" w:after="0"/>
      <w:ind w:left="720"/>
      <w:jc w:val="left"/>
      <w:outlineLvl w:val="2"/>
    </w:pPr>
    <w:rPr>
      <w:rFonts w:eastAsiaTheme="majorEastAsia" w:cstheme="majorBidi"/>
      <w:b/>
      <w:caps/>
      <w:sz w:val="22"/>
    </w:rPr>
  </w:style>
  <w:style w:type="paragraph" w:styleId="Heading4">
    <w:name w:val="heading 4"/>
    <w:aliases w:val="Section Heading 1.1.1.1"/>
    <w:basedOn w:val="Normal"/>
    <w:next w:val="Normal"/>
    <w:link w:val="Heading4Char"/>
    <w:uiPriority w:val="9"/>
    <w:unhideWhenUsed/>
    <w:qFormat/>
    <w:rsid w:val="00EF7E2C"/>
    <w:pPr>
      <w:keepNext/>
      <w:keepLines/>
      <w:numPr>
        <w:ilvl w:val="3"/>
        <w:numId w:val="6"/>
      </w:numPr>
      <w:shd w:val="clear" w:color="auto" w:fill="BFBFBF" w:themeFill="background1" w:themeFillShade="BF"/>
      <w:spacing w:before="120" w:after="0"/>
      <w:jc w:val="left"/>
      <w:outlineLvl w:val="3"/>
    </w:pPr>
    <w:rPr>
      <w:rFonts w:eastAsiaTheme="majorEastAsia" w:cstheme="majorBidi"/>
      <w:b/>
      <w:iCs/>
      <w:caps/>
      <w:sz w:val="22"/>
    </w:rPr>
  </w:style>
  <w:style w:type="paragraph" w:styleId="Heading5">
    <w:name w:val="heading 5"/>
    <w:aliases w:val="Subheading"/>
    <w:basedOn w:val="Normal"/>
    <w:next w:val="Normal"/>
    <w:link w:val="Heading5Char"/>
    <w:uiPriority w:val="9"/>
    <w:unhideWhenUsed/>
    <w:qFormat/>
    <w:rsid w:val="00EF7E2C"/>
    <w:pPr>
      <w:keepNext/>
      <w:spacing w:before="120" w:after="0"/>
      <w:jc w:val="left"/>
      <w:outlineLvl w:val="4"/>
    </w:pPr>
    <w:rPr>
      <w:b/>
      <w:bCs/>
      <w:caps/>
      <w:sz w:val="20"/>
    </w:rPr>
  </w:style>
  <w:style w:type="paragraph" w:styleId="Heading6">
    <w:name w:val="heading 6"/>
    <w:basedOn w:val="Normal"/>
    <w:next w:val="Normal"/>
    <w:link w:val="Heading6Char"/>
    <w:uiPriority w:val="9"/>
    <w:unhideWhenUsed/>
    <w:qFormat/>
    <w:rsid w:val="00EF7E2C"/>
    <w:pPr>
      <w:keepNext/>
      <w:spacing w:before="120" w:after="0"/>
      <w:jc w:val="left"/>
      <w:outlineLvl w:val="5"/>
    </w:pPr>
    <w:rPr>
      <w:b/>
      <w:bCs/>
    </w:rPr>
  </w:style>
  <w:style w:type="paragraph" w:styleId="Heading7">
    <w:name w:val="heading 7"/>
    <w:basedOn w:val="Normal"/>
    <w:next w:val="Normal"/>
    <w:link w:val="Heading7Char"/>
    <w:uiPriority w:val="9"/>
    <w:unhideWhenUsed/>
    <w:qFormat/>
    <w:rsid w:val="00EF7E2C"/>
    <w:pPr>
      <w:keepNext/>
      <w:spacing w:after="0"/>
      <w:jc w:val="left"/>
      <w:outlineLvl w:val="6"/>
    </w:pPr>
    <w:rPr>
      <w:u w:val="single"/>
    </w:rPr>
  </w:style>
  <w:style w:type="paragraph" w:styleId="Heading8">
    <w:name w:val="heading 8"/>
    <w:aliases w:val="Section Heading 1.1.1.1.1"/>
    <w:basedOn w:val="Normal"/>
    <w:next w:val="Normal"/>
    <w:link w:val="Heading8Char"/>
    <w:uiPriority w:val="9"/>
    <w:unhideWhenUsed/>
    <w:rsid w:val="00EF7E2C"/>
    <w:pPr>
      <w:keepNext/>
      <w:keepLines/>
      <w:numPr>
        <w:ilvl w:val="7"/>
        <w:numId w:val="7"/>
      </w:numPr>
      <w:shd w:val="clear" w:color="auto" w:fill="BFBFBF" w:themeFill="background1" w:themeFillShade="BF"/>
      <w:spacing w:before="0" w:after="0"/>
      <w:jc w:val="left"/>
      <w:outlineLvl w:val="7"/>
    </w:pPr>
    <w:rPr>
      <w:rFonts w:eastAsiaTheme="majorEastAsia" w:cs="Arial"/>
      <w:b/>
      <w:bCs/>
      <w:caps/>
      <w:color w:val="272727" w:themeColor="text1" w:themeTint="D8"/>
      <w:sz w:val="22"/>
      <w:szCs w:val="22"/>
    </w:rPr>
  </w:style>
  <w:style w:type="paragraph" w:styleId="Heading9">
    <w:name w:val="heading 9"/>
    <w:basedOn w:val="Normal"/>
    <w:next w:val="Normal"/>
    <w:link w:val="Heading9Char"/>
    <w:uiPriority w:val="9"/>
    <w:unhideWhenUsed/>
    <w:qFormat/>
    <w:rsid w:val="0037237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EF7E2C"/>
    <w:rPr>
      <w:rFonts w:ascii="Arial Black" w:eastAsiaTheme="majorEastAsia" w:hAnsi="Arial Black" w:cstheme="majorBidi"/>
      <w:spacing w:val="-10"/>
      <w:kern w:val="28"/>
      <w:sz w:val="32"/>
      <w:szCs w:val="56"/>
      <w:lang w:val="en-GB"/>
    </w:rPr>
  </w:style>
  <w:style w:type="character" w:customStyle="1" w:styleId="Heading2Char">
    <w:name w:val="Heading 2 Char"/>
    <w:aliases w:val="Section Heading 1.1 Char"/>
    <w:basedOn w:val="DefaultParagraphFont"/>
    <w:link w:val="Heading2"/>
    <w:uiPriority w:val="9"/>
    <w:rsid w:val="00EF7E2C"/>
    <w:rPr>
      <w:rFonts w:ascii="Arial" w:eastAsiaTheme="majorEastAsia" w:hAnsi="Arial" w:cstheme="majorBidi"/>
      <w:b/>
      <w:caps/>
      <w:spacing w:val="-4"/>
      <w:sz w:val="22"/>
      <w:shd w:val="clear" w:color="auto" w:fill="BFBFBF" w:themeFill="background1" w:themeFillShade="BF"/>
      <w:lang w:val="en-GB"/>
    </w:rPr>
  </w:style>
  <w:style w:type="character" w:customStyle="1" w:styleId="Heading3Char">
    <w:name w:val="Heading 3 Char"/>
    <w:aliases w:val="Section Heading 1.1.1 Char"/>
    <w:basedOn w:val="DefaultParagraphFont"/>
    <w:link w:val="Heading3"/>
    <w:uiPriority w:val="9"/>
    <w:rsid w:val="00EF7E2C"/>
    <w:rPr>
      <w:rFonts w:ascii="Arial" w:eastAsiaTheme="majorEastAsia" w:hAnsi="Arial" w:cstheme="majorBidi"/>
      <w:b/>
      <w:caps/>
      <w:spacing w:val="-4"/>
      <w:sz w:val="22"/>
      <w:shd w:val="clear" w:color="auto" w:fill="BFBFBF" w:themeFill="background1" w:themeFillShade="BF"/>
      <w:lang w:val="en-GB"/>
    </w:rPr>
  </w:style>
  <w:style w:type="character" w:customStyle="1" w:styleId="Heading4Char">
    <w:name w:val="Heading 4 Char"/>
    <w:aliases w:val="Section Heading 1.1.1.1 Char"/>
    <w:basedOn w:val="DefaultParagraphFont"/>
    <w:link w:val="Heading4"/>
    <w:uiPriority w:val="9"/>
    <w:rsid w:val="00EF7E2C"/>
    <w:rPr>
      <w:rFonts w:ascii="Arial" w:eastAsiaTheme="majorEastAsia" w:hAnsi="Arial" w:cstheme="majorBidi"/>
      <w:b/>
      <w:iCs/>
      <w:caps/>
      <w:spacing w:val="-4"/>
      <w:sz w:val="22"/>
      <w:shd w:val="clear" w:color="auto" w:fill="BFBFBF" w:themeFill="background1" w:themeFillShade="BF"/>
      <w:lang w:val="en-GB"/>
    </w:rPr>
  </w:style>
  <w:style w:type="character" w:customStyle="1" w:styleId="Heading5Char">
    <w:name w:val="Heading 5 Char"/>
    <w:aliases w:val="Subheading Char"/>
    <w:basedOn w:val="DefaultParagraphFont"/>
    <w:link w:val="Heading5"/>
    <w:uiPriority w:val="9"/>
    <w:rsid w:val="00EF7E2C"/>
    <w:rPr>
      <w:rFonts w:ascii="Arial" w:hAnsi="Arial"/>
      <w:b/>
      <w:bCs/>
      <w:caps/>
      <w:spacing w:val="-4"/>
      <w:sz w:val="20"/>
      <w:lang w:val="en-GB"/>
    </w:rPr>
  </w:style>
  <w:style w:type="character" w:customStyle="1" w:styleId="Heading6Char">
    <w:name w:val="Heading 6 Char"/>
    <w:basedOn w:val="DefaultParagraphFont"/>
    <w:link w:val="Heading6"/>
    <w:uiPriority w:val="9"/>
    <w:rsid w:val="00EF7E2C"/>
    <w:rPr>
      <w:rFonts w:ascii="Arial" w:hAnsi="Arial"/>
      <w:b/>
      <w:bCs/>
      <w:spacing w:val="-4"/>
      <w:lang w:val="en-GB"/>
    </w:rPr>
  </w:style>
  <w:style w:type="character" w:customStyle="1" w:styleId="Heading7Char">
    <w:name w:val="Heading 7 Char"/>
    <w:basedOn w:val="DefaultParagraphFont"/>
    <w:link w:val="Heading7"/>
    <w:uiPriority w:val="9"/>
    <w:rsid w:val="00EF7E2C"/>
    <w:rPr>
      <w:rFonts w:ascii="Arial" w:hAnsi="Arial"/>
      <w:spacing w:val="-4"/>
      <w:u w:val="single"/>
      <w:lang w:val="en-GB"/>
    </w:rPr>
  </w:style>
  <w:style w:type="character" w:customStyle="1" w:styleId="Heading8Char">
    <w:name w:val="Heading 8 Char"/>
    <w:aliases w:val="Section Heading 1.1.1.1.1 Char"/>
    <w:basedOn w:val="DefaultParagraphFont"/>
    <w:link w:val="Heading8"/>
    <w:uiPriority w:val="9"/>
    <w:rsid w:val="00EF7E2C"/>
    <w:rPr>
      <w:rFonts w:ascii="Arial" w:eastAsiaTheme="majorEastAsia" w:hAnsi="Arial" w:cs="Arial"/>
      <w:b/>
      <w:bCs/>
      <w:caps/>
      <w:color w:val="272727" w:themeColor="text1" w:themeTint="D8"/>
      <w:spacing w:val="-4"/>
      <w:sz w:val="22"/>
      <w:szCs w:val="22"/>
      <w:shd w:val="clear" w:color="auto" w:fill="BFBFBF" w:themeFill="background1" w:themeFillShade="BF"/>
      <w:lang w:val="en-GB"/>
    </w:rPr>
  </w:style>
  <w:style w:type="character" w:customStyle="1" w:styleId="Heading9Char">
    <w:name w:val="Heading 9 Char"/>
    <w:basedOn w:val="DefaultParagraphFont"/>
    <w:link w:val="Heading9"/>
    <w:uiPriority w:val="9"/>
    <w:rsid w:val="0037237F"/>
    <w:rPr>
      <w:rFonts w:asciiTheme="majorHAnsi" w:eastAsiaTheme="majorEastAsia" w:hAnsiTheme="majorHAnsi" w:cstheme="majorBidi"/>
      <w:i/>
      <w:iCs/>
      <w:color w:val="272727" w:themeColor="text1" w:themeTint="D8"/>
      <w:spacing w:val="-4"/>
      <w:sz w:val="21"/>
      <w:szCs w:val="21"/>
      <w:lang w:val="en-GB"/>
    </w:rPr>
  </w:style>
  <w:style w:type="paragraph" w:styleId="NoSpacing">
    <w:name w:val="No Spacing"/>
    <w:uiPriority w:val="1"/>
    <w:qFormat/>
    <w:rsid w:val="009671DA"/>
    <w:pPr>
      <w:jc w:val="both"/>
    </w:pPr>
    <w:rPr>
      <w:rFonts w:ascii="Arial" w:hAnsi="Arial"/>
      <w:spacing w:val="-4"/>
    </w:rPr>
  </w:style>
  <w:style w:type="paragraph" w:styleId="Header">
    <w:name w:val="header"/>
    <w:basedOn w:val="Normal"/>
    <w:link w:val="HeaderChar"/>
    <w:uiPriority w:val="99"/>
    <w:unhideWhenUsed/>
    <w:rsid w:val="0037237F"/>
    <w:pPr>
      <w:pBdr>
        <w:bottom w:val="single" w:sz="18" w:space="1" w:color="auto"/>
      </w:pBdr>
      <w:tabs>
        <w:tab w:val="center" w:pos="3261"/>
        <w:tab w:val="right" w:pos="6663"/>
      </w:tabs>
      <w:spacing w:before="0" w:after="0"/>
    </w:pPr>
    <w:rPr>
      <w:b/>
      <w:caps/>
      <w:sz w:val="16"/>
      <w:lang w:val="en-ZA"/>
    </w:rPr>
  </w:style>
  <w:style w:type="character" w:customStyle="1" w:styleId="HeaderChar">
    <w:name w:val="Header Char"/>
    <w:basedOn w:val="DefaultParagraphFont"/>
    <w:link w:val="Header"/>
    <w:uiPriority w:val="99"/>
    <w:rsid w:val="0037237F"/>
    <w:rPr>
      <w:rFonts w:ascii="Arial" w:hAnsi="Arial"/>
      <w:b/>
      <w:caps/>
      <w:spacing w:val="-4"/>
      <w:sz w:val="16"/>
    </w:rPr>
  </w:style>
  <w:style w:type="paragraph" w:styleId="Footer">
    <w:name w:val="footer"/>
    <w:basedOn w:val="Normal"/>
    <w:link w:val="FooterChar"/>
    <w:uiPriority w:val="99"/>
    <w:unhideWhenUsed/>
    <w:rsid w:val="0037237F"/>
    <w:pPr>
      <w:pBdr>
        <w:top w:val="single" w:sz="4" w:space="1" w:color="auto"/>
      </w:pBdr>
      <w:tabs>
        <w:tab w:val="right" w:pos="6663"/>
      </w:tabs>
      <w:spacing w:before="0" w:after="0"/>
    </w:pPr>
    <w:rPr>
      <w:lang w:val="en-ZA"/>
    </w:rPr>
  </w:style>
  <w:style w:type="character" w:customStyle="1" w:styleId="FooterChar">
    <w:name w:val="Footer Char"/>
    <w:basedOn w:val="DefaultParagraphFont"/>
    <w:link w:val="Footer"/>
    <w:uiPriority w:val="99"/>
    <w:rsid w:val="0037237F"/>
    <w:rPr>
      <w:rFonts w:ascii="Arial" w:hAnsi="Arial"/>
      <w:spacing w:val="-4"/>
    </w:rPr>
  </w:style>
  <w:style w:type="paragraph" w:styleId="Title">
    <w:name w:val="Title"/>
    <w:basedOn w:val="Normal"/>
    <w:next w:val="Normal"/>
    <w:link w:val="TitleChar"/>
    <w:uiPriority w:val="10"/>
    <w:unhideWhenUsed/>
    <w:qFormat/>
    <w:rsid w:val="0037237F"/>
    <w:pPr>
      <w:spacing w:before="0" w:after="0"/>
      <w:contextualSpacing/>
    </w:pPr>
    <w:rPr>
      <w:rFonts w:ascii="Arial Black" w:eastAsiaTheme="majorEastAsia" w:hAnsi="Arial Black" w:cstheme="majorBidi"/>
      <w:spacing w:val="-10"/>
      <w:kern w:val="28"/>
      <w:sz w:val="32"/>
      <w:szCs w:val="56"/>
    </w:rPr>
  </w:style>
  <w:style w:type="character" w:customStyle="1" w:styleId="TitleChar">
    <w:name w:val="Title Char"/>
    <w:basedOn w:val="DefaultParagraphFont"/>
    <w:link w:val="Title"/>
    <w:uiPriority w:val="10"/>
    <w:rsid w:val="0037237F"/>
    <w:rPr>
      <w:rFonts w:ascii="Arial Black" w:eastAsiaTheme="majorEastAsia" w:hAnsi="Arial Black" w:cstheme="majorBidi"/>
      <w:spacing w:val="-10"/>
      <w:kern w:val="28"/>
      <w:sz w:val="32"/>
      <w:szCs w:val="56"/>
      <w:lang w:val="en-GB"/>
    </w:rPr>
  </w:style>
  <w:style w:type="character" w:styleId="Hyperlink">
    <w:name w:val="Hyperlink"/>
    <w:basedOn w:val="DefaultParagraphFont"/>
    <w:uiPriority w:val="99"/>
    <w:rsid w:val="0037237F"/>
    <w:rPr>
      <w:color w:val="0563C1" w:themeColor="hyperlink"/>
      <w:u w:val="single"/>
    </w:rPr>
  </w:style>
  <w:style w:type="paragraph" w:styleId="TOC1">
    <w:name w:val="toc 1"/>
    <w:basedOn w:val="Normal"/>
    <w:next w:val="Normal"/>
    <w:autoRedefine/>
    <w:uiPriority w:val="39"/>
    <w:unhideWhenUsed/>
    <w:rsid w:val="0026373D"/>
    <w:pPr>
      <w:tabs>
        <w:tab w:val="left" w:pos="1276"/>
        <w:tab w:val="right" w:pos="6113"/>
      </w:tabs>
      <w:spacing w:after="100"/>
      <w:jc w:val="left"/>
    </w:pPr>
    <w:rPr>
      <w:rFonts w:eastAsiaTheme="minorEastAsia" w:cs="Arial"/>
      <w:b/>
      <w:bCs/>
      <w:caps/>
      <w:noProof/>
      <w:sz w:val="16"/>
      <w:szCs w:val="16"/>
      <w:lang w:val="en-ZA" w:eastAsia="en-ZA"/>
    </w:rPr>
  </w:style>
  <w:style w:type="paragraph" w:styleId="TOC2">
    <w:name w:val="toc 2"/>
    <w:basedOn w:val="Normal"/>
    <w:next w:val="Normal"/>
    <w:autoRedefine/>
    <w:uiPriority w:val="39"/>
    <w:unhideWhenUsed/>
    <w:rsid w:val="0026373D"/>
    <w:pPr>
      <w:tabs>
        <w:tab w:val="left" w:pos="709"/>
        <w:tab w:val="right" w:pos="6113"/>
      </w:tabs>
      <w:spacing w:after="100"/>
      <w:jc w:val="left"/>
    </w:pPr>
    <w:rPr>
      <w:noProof/>
      <w:sz w:val="16"/>
    </w:rPr>
  </w:style>
  <w:style w:type="paragraph" w:styleId="TOC3">
    <w:name w:val="toc 3"/>
    <w:basedOn w:val="Normal"/>
    <w:next w:val="Normal"/>
    <w:autoRedefine/>
    <w:uiPriority w:val="39"/>
    <w:unhideWhenUsed/>
    <w:rsid w:val="0026373D"/>
    <w:pPr>
      <w:tabs>
        <w:tab w:val="left" w:pos="1418"/>
        <w:tab w:val="right" w:pos="6113"/>
      </w:tabs>
      <w:spacing w:after="100"/>
      <w:ind w:left="709"/>
      <w:jc w:val="left"/>
    </w:pPr>
    <w:rPr>
      <w:noProof/>
      <w:sz w:val="16"/>
    </w:rPr>
  </w:style>
  <w:style w:type="table" w:styleId="TableGrid">
    <w:name w:val="Table Grid"/>
    <w:basedOn w:val="TableNormal"/>
    <w:uiPriority w:val="59"/>
    <w:rsid w:val="00372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7237F"/>
    <w:pPr>
      <w:keepNext/>
      <w:keepLines/>
      <w:numPr>
        <w:numId w:val="0"/>
      </w:numPr>
      <w:pBdr>
        <w:bottom w:val="single" w:sz="18" w:space="1" w:color="auto"/>
      </w:pBdr>
      <w:spacing w:before="240" w:after="240"/>
      <w:contextualSpacing w:val="0"/>
      <w:jc w:val="center"/>
      <w:outlineLvl w:val="9"/>
    </w:pPr>
    <w:rPr>
      <w:rFonts w:ascii="Arial" w:hAnsi="Arial" w:cs="Arial"/>
      <w:b/>
      <w:bCs/>
      <w:caps/>
      <w:spacing w:val="0"/>
      <w:kern w:val="0"/>
      <w:sz w:val="28"/>
      <w:szCs w:val="32"/>
      <w:lang w:val="en-US"/>
    </w:rPr>
  </w:style>
  <w:style w:type="table" w:customStyle="1" w:styleId="SamplePHCTable">
    <w:name w:val="Sample PHC Table"/>
    <w:basedOn w:val="TableGrid"/>
    <w:uiPriority w:val="99"/>
    <w:rsid w:val="0037237F"/>
    <w:pPr>
      <w:jc w:val="center"/>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wordWrap/>
        <w:spacing w:beforeLines="0" w:before="0" w:beforeAutospacing="0" w:afterLines="0" w:after="0" w:afterAutospacing="0"/>
        <w:jc w:val="left"/>
      </w:pPr>
      <w:rPr>
        <w:rFonts w:ascii="Arial" w:hAnsi="Arial"/>
        <w:b/>
        <w:sz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vAlign w:val="center"/>
      </w:tcPr>
    </w:tblStylePr>
    <w:tblStylePr w:type="lastRow">
      <w:pPr>
        <w:wordWrap/>
        <w:jc w:val="left"/>
      </w:pPr>
      <w:rPr>
        <w:rFonts w:ascii="Arial" w:hAnsi="Arial"/>
        <w:b w:val="0"/>
        <w:sz w:val="12"/>
      </w:rPr>
      <w:tblPr/>
      <w:tcPr>
        <w:tcBorders>
          <w:top w:val="nil"/>
          <w:left w:val="nil"/>
          <w:bottom w:val="nil"/>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37237F"/>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37237F"/>
    <w:rPr>
      <w:rFonts w:ascii="Segoe UI" w:hAnsi="Segoe UI" w:cs="Segoe UI"/>
      <w:spacing w:val="-4"/>
      <w:lang w:val="en-GB"/>
    </w:rPr>
  </w:style>
  <w:style w:type="paragraph" w:styleId="TOC9">
    <w:name w:val="toc 9"/>
    <w:aliases w:val="CH TOC 4"/>
    <w:basedOn w:val="Normal"/>
    <w:next w:val="Normal"/>
    <w:autoRedefine/>
    <w:uiPriority w:val="39"/>
    <w:unhideWhenUsed/>
    <w:rsid w:val="00FF05E5"/>
    <w:pPr>
      <w:tabs>
        <w:tab w:val="left" w:pos="2835"/>
        <w:tab w:val="right" w:pos="6113"/>
      </w:tabs>
      <w:spacing w:before="40" w:after="40"/>
      <w:ind w:left="2552" w:hanging="851"/>
      <w:jc w:val="left"/>
    </w:pPr>
    <w:rPr>
      <w:rFonts w:ascii="Arial Black" w:hAnsi="Arial Black"/>
      <w:noProof/>
      <w:sz w:val="20"/>
    </w:rPr>
  </w:style>
  <w:style w:type="paragraph" w:styleId="TOC8">
    <w:name w:val="toc 8"/>
    <w:aliases w:val="CH TOC 3"/>
    <w:basedOn w:val="Normal"/>
    <w:next w:val="Normal"/>
    <w:autoRedefine/>
    <w:uiPriority w:val="39"/>
    <w:unhideWhenUsed/>
    <w:rsid w:val="009207D8"/>
    <w:pPr>
      <w:tabs>
        <w:tab w:val="left" w:pos="2381"/>
        <w:tab w:val="right" w:pos="6113"/>
      </w:tabs>
      <w:spacing w:before="40" w:after="40"/>
      <w:ind w:left="1702" w:hanging="851"/>
      <w:jc w:val="left"/>
    </w:pPr>
    <w:rPr>
      <w:rFonts w:ascii="Arial Black" w:hAnsi="Arial Black"/>
      <w:noProof/>
      <w:sz w:val="20"/>
    </w:rPr>
  </w:style>
  <w:style w:type="character" w:styleId="CommentReference">
    <w:name w:val="annotation reference"/>
    <w:basedOn w:val="DefaultParagraphFont"/>
    <w:uiPriority w:val="99"/>
    <w:semiHidden/>
    <w:unhideWhenUsed/>
    <w:rsid w:val="0037237F"/>
    <w:rPr>
      <w:sz w:val="16"/>
      <w:szCs w:val="16"/>
    </w:rPr>
  </w:style>
  <w:style w:type="paragraph" w:styleId="CommentText">
    <w:name w:val="annotation text"/>
    <w:basedOn w:val="Normal"/>
    <w:link w:val="CommentTextChar"/>
    <w:uiPriority w:val="99"/>
    <w:unhideWhenUsed/>
    <w:rsid w:val="0037237F"/>
    <w:rPr>
      <w:sz w:val="20"/>
      <w:szCs w:val="20"/>
    </w:rPr>
  </w:style>
  <w:style w:type="character" w:customStyle="1" w:styleId="CommentTextChar">
    <w:name w:val="Comment Text Char"/>
    <w:basedOn w:val="DefaultParagraphFont"/>
    <w:link w:val="CommentText"/>
    <w:uiPriority w:val="99"/>
    <w:rsid w:val="0037237F"/>
    <w:rPr>
      <w:rFonts w:ascii="Arial" w:hAnsi="Arial"/>
      <w:spacing w:val="-4"/>
      <w:sz w:val="20"/>
      <w:szCs w:val="20"/>
      <w:lang w:val="en-GB"/>
    </w:rPr>
  </w:style>
  <w:style w:type="paragraph" w:styleId="CommentSubject">
    <w:name w:val="annotation subject"/>
    <w:basedOn w:val="CommentText"/>
    <w:next w:val="CommentText"/>
    <w:link w:val="CommentSubjectChar"/>
    <w:uiPriority w:val="99"/>
    <w:semiHidden/>
    <w:unhideWhenUsed/>
    <w:rsid w:val="0037237F"/>
    <w:rPr>
      <w:b/>
      <w:bCs/>
    </w:rPr>
  </w:style>
  <w:style w:type="character" w:customStyle="1" w:styleId="CommentSubjectChar">
    <w:name w:val="Comment Subject Char"/>
    <w:basedOn w:val="CommentTextChar"/>
    <w:link w:val="CommentSubject"/>
    <w:uiPriority w:val="99"/>
    <w:semiHidden/>
    <w:rsid w:val="0037237F"/>
    <w:rPr>
      <w:rFonts w:ascii="Arial" w:hAnsi="Arial"/>
      <w:b/>
      <w:bCs/>
      <w:spacing w:val="-4"/>
      <w:sz w:val="20"/>
      <w:szCs w:val="20"/>
      <w:lang w:val="en-GB"/>
    </w:rPr>
  </w:style>
  <w:style w:type="paragraph" w:styleId="TOC7">
    <w:name w:val="toc 7"/>
    <w:aliases w:val="CH TOC 2"/>
    <w:basedOn w:val="Normal"/>
    <w:next w:val="Normal"/>
    <w:autoRedefine/>
    <w:uiPriority w:val="39"/>
    <w:unhideWhenUsed/>
    <w:rsid w:val="0026373D"/>
    <w:pPr>
      <w:tabs>
        <w:tab w:val="left" w:pos="1531"/>
        <w:tab w:val="right" w:leader="dot" w:pos="6113"/>
      </w:tabs>
      <w:spacing w:before="40" w:after="40"/>
      <w:ind w:left="851" w:hanging="624"/>
      <w:jc w:val="left"/>
    </w:pPr>
    <w:rPr>
      <w:rFonts w:ascii="Arial Black" w:hAnsi="Arial Black"/>
      <w:noProof/>
      <w:sz w:val="20"/>
      <w:szCs w:val="20"/>
    </w:rPr>
  </w:style>
  <w:style w:type="paragraph" w:customStyle="1" w:styleId="Heading1A">
    <w:name w:val="Heading 1A"/>
    <w:aliases w:val="Chapter Sub-Heading"/>
    <w:basedOn w:val="Heading2"/>
    <w:next w:val="Normal"/>
    <w:uiPriority w:val="9"/>
    <w:qFormat/>
    <w:rsid w:val="0037237F"/>
    <w:pPr>
      <w:pageBreakBefore/>
      <w:numPr>
        <w:ilvl w:val="0"/>
        <w:numId w:val="0"/>
      </w:numPr>
      <w:ind w:left="578" w:hanging="578"/>
      <w:jc w:val="center"/>
    </w:pPr>
    <w:rPr>
      <w:sz w:val="24"/>
      <w:szCs w:val="24"/>
    </w:rPr>
  </w:style>
  <w:style w:type="paragraph" w:styleId="TOC6">
    <w:name w:val="toc 6"/>
    <w:aliases w:val="CH TOC 1A"/>
    <w:basedOn w:val="Normal"/>
    <w:next w:val="Normal"/>
    <w:autoRedefine/>
    <w:uiPriority w:val="39"/>
    <w:unhideWhenUsed/>
    <w:rsid w:val="0026373D"/>
    <w:pPr>
      <w:tabs>
        <w:tab w:val="right" w:leader="dot" w:pos="6113"/>
      </w:tabs>
      <w:spacing w:after="100"/>
      <w:jc w:val="left"/>
    </w:pPr>
    <w:rPr>
      <w:rFonts w:ascii="Arial Black" w:hAnsi="Arial Black"/>
      <w:noProof/>
      <w:sz w:val="24"/>
      <w:szCs w:val="24"/>
    </w:rPr>
  </w:style>
  <w:style w:type="paragraph" w:styleId="TOC4">
    <w:name w:val="toc 4"/>
    <w:basedOn w:val="Normal"/>
    <w:next w:val="Normal"/>
    <w:autoRedefine/>
    <w:uiPriority w:val="39"/>
    <w:unhideWhenUsed/>
    <w:rsid w:val="0026373D"/>
    <w:pPr>
      <w:tabs>
        <w:tab w:val="left" w:pos="3402"/>
        <w:tab w:val="right" w:pos="6113"/>
      </w:tabs>
      <w:spacing w:before="0" w:after="0"/>
      <w:ind w:left="3402" w:hanging="1134"/>
      <w:jc w:val="left"/>
    </w:pPr>
    <w:rPr>
      <w:rFonts w:ascii="Arial Black" w:hAnsi="Arial Black"/>
      <w:noProof/>
      <w:sz w:val="20"/>
      <w:szCs w:val="20"/>
    </w:rPr>
  </w:style>
  <w:style w:type="paragraph" w:styleId="ListParagraph">
    <w:name w:val="List Paragraph"/>
    <w:aliases w:val="Table text"/>
    <w:basedOn w:val="NoSpacing"/>
    <w:link w:val="ListParagraphChar"/>
    <w:uiPriority w:val="2"/>
    <w:qFormat/>
    <w:rsid w:val="0037237F"/>
    <w:pPr>
      <w:numPr>
        <w:numId w:val="4"/>
      </w:numPr>
      <w:contextualSpacing/>
    </w:pPr>
  </w:style>
  <w:style w:type="paragraph" w:customStyle="1" w:styleId="BulletTherapeuticclass">
    <w:name w:val="Bullet Therapeutic class"/>
    <w:basedOn w:val="NoSpacing"/>
    <w:next w:val="Normal"/>
    <w:uiPriority w:val="4"/>
    <w:qFormat/>
    <w:rsid w:val="0037237F"/>
    <w:pPr>
      <w:numPr>
        <w:numId w:val="1"/>
      </w:numPr>
    </w:pPr>
  </w:style>
  <w:style w:type="character" w:customStyle="1" w:styleId="UnresolvedMention1">
    <w:name w:val="Unresolved Mention1"/>
    <w:basedOn w:val="DefaultParagraphFont"/>
    <w:uiPriority w:val="99"/>
    <w:semiHidden/>
    <w:unhideWhenUsed/>
    <w:rsid w:val="0037237F"/>
    <w:rPr>
      <w:color w:val="605E5C"/>
      <w:shd w:val="clear" w:color="auto" w:fill="E1DFDD"/>
    </w:rPr>
  </w:style>
  <w:style w:type="character" w:styleId="FollowedHyperlink">
    <w:name w:val="FollowedHyperlink"/>
    <w:basedOn w:val="DefaultParagraphFont"/>
    <w:uiPriority w:val="99"/>
    <w:semiHidden/>
    <w:unhideWhenUsed/>
    <w:rsid w:val="0037237F"/>
    <w:rPr>
      <w:color w:val="954F72" w:themeColor="followedHyperlink"/>
      <w:u w:val="single"/>
    </w:rPr>
  </w:style>
  <w:style w:type="paragraph" w:customStyle="1" w:styleId="BulletMedicine">
    <w:name w:val="Bullet Medicine"/>
    <w:basedOn w:val="BulletTherapeuticclass"/>
    <w:next w:val="Normal"/>
    <w:uiPriority w:val="5"/>
    <w:qFormat/>
    <w:rsid w:val="005C4479"/>
  </w:style>
  <w:style w:type="paragraph" w:customStyle="1" w:styleId="BulletDirectionsInstructions">
    <w:name w:val="Bullet Directions/Instructions"/>
    <w:basedOn w:val="BulletTherapeuticclass"/>
    <w:next w:val="Normal"/>
    <w:uiPriority w:val="6"/>
    <w:qFormat/>
    <w:rsid w:val="0037237F"/>
    <w:pPr>
      <w:numPr>
        <w:numId w:val="2"/>
      </w:numPr>
    </w:pPr>
  </w:style>
  <w:style w:type="paragraph" w:customStyle="1" w:styleId="ICD10">
    <w:name w:val="ICD 10"/>
    <w:basedOn w:val="NoSpacing"/>
    <w:next w:val="Normal"/>
    <w:uiPriority w:val="9"/>
    <w:qFormat/>
    <w:rsid w:val="0037237F"/>
    <w:rPr>
      <w:sz w:val="16"/>
    </w:rPr>
  </w:style>
  <w:style w:type="paragraph" w:styleId="EndnoteText">
    <w:name w:val="endnote text"/>
    <w:basedOn w:val="Normal"/>
    <w:link w:val="EndnoteTextChar"/>
    <w:uiPriority w:val="99"/>
    <w:rsid w:val="00293547"/>
    <w:pPr>
      <w:jc w:val="left"/>
    </w:pPr>
    <w:rPr>
      <w:sz w:val="12"/>
    </w:rPr>
  </w:style>
  <w:style w:type="paragraph" w:customStyle="1" w:styleId="TableText">
    <w:name w:val="Table Text"/>
    <w:basedOn w:val="NoSpacing"/>
    <w:uiPriority w:val="3"/>
    <w:qFormat/>
    <w:rsid w:val="0037237F"/>
    <w:rPr>
      <w:sz w:val="16"/>
      <w:szCs w:val="16"/>
    </w:rPr>
  </w:style>
  <w:style w:type="character" w:customStyle="1" w:styleId="EndnoteTextChar">
    <w:name w:val="Endnote Text Char"/>
    <w:basedOn w:val="DefaultParagraphFont"/>
    <w:link w:val="EndnoteText"/>
    <w:uiPriority w:val="99"/>
    <w:rsid w:val="00293547"/>
    <w:rPr>
      <w:rFonts w:ascii="Arial" w:hAnsi="Arial"/>
      <w:spacing w:val="-4"/>
      <w:sz w:val="12"/>
      <w:lang w:val="en-GB"/>
    </w:rPr>
  </w:style>
  <w:style w:type="character" w:styleId="EndnoteReference">
    <w:name w:val="endnote reference"/>
    <w:basedOn w:val="DefaultParagraphFont"/>
    <w:uiPriority w:val="10"/>
    <w:rsid w:val="0037237F"/>
    <w:rPr>
      <w:sz w:val="12"/>
      <w:szCs w:val="12"/>
      <w:vertAlign w:val="superscript"/>
    </w:rPr>
  </w:style>
  <w:style w:type="character" w:styleId="Emphasis">
    <w:name w:val="Emphasis"/>
    <w:basedOn w:val="DefaultParagraphFont"/>
    <w:uiPriority w:val="20"/>
    <w:qFormat/>
    <w:rsid w:val="0037237F"/>
    <w:rPr>
      <w:i/>
      <w:iCs/>
    </w:rPr>
  </w:style>
  <w:style w:type="paragraph" w:customStyle="1" w:styleId="LoEText">
    <w:name w:val="LoE Text"/>
    <w:basedOn w:val="TableText"/>
    <w:uiPriority w:val="3"/>
    <w:qFormat/>
    <w:rsid w:val="0037237F"/>
    <w:pPr>
      <w:framePr w:hSpace="284" w:wrap="around" w:vAnchor="text" w:hAnchor="margin" w:xAlign="right" w:y="1"/>
      <w:suppressOverlap/>
      <w:jc w:val="right"/>
    </w:pPr>
    <w:rPr>
      <w:i/>
    </w:rPr>
  </w:style>
  <w:style w:type="paragraph" w:customStyle="1" w:styleId="Centeredbox">
    <w:name w:val="Centered box"/>
    <w:basedOn w:val="Normal"/>
    <w:uiPriority w:val="7"/>
    <w:qFormat/>
    <w:rsid w:val="00B5231F"/>
    <w:pPr>
      <w:pBdr>
        <w:top w:val="double" w:sz="4" w:space="1" w:color="auto"/>
        <w:left w:val="double" w:sz="4" w:space="4" w:color="auto"/>
        <w:bottom w:val="double" w:sz="4" w:space="1" w:color="auto"/>
        <w:right w:val="double" w:sz="4" w:space="4" w:color="auto"/>
      </w:pBdr>
      <w:spacing w:before="120" w:after="120"/>
      <w:ind w:left="113" w:right="113"/>
      <w:jc w:val="center"/>
    </w:pPr>
  </w:style>
  <w:style w:type="character" w:styleId="Strong">
    <w:name w:val="Strong"/>
    <w:basedOn w:val="DefaultParagraphFont"/>
    <w:uiPriority w:val="22"/>
    <w:qFormat/>
    <w:rsid w:val="0037237F"/>
    <w:rPr>
      <w:b/>
      <w:bCs/>
    </w:rPr>
  </w:style>
  <w:style w:type="paragraph" w:customStyle="1" w:styleId="BulletNutrition">
    <w:name w:val="Bullet Nutrition"/>
    <w:basedOn w:val="BulletMedicine"/>
    <w:uiPriority w:val="5"/>
    <w:qFormat/>
    <w:rsid w:val="0037237F"/>
    <w:pPr>
      <w:numPr>
        <w:numId w:val="3"/>
      </w:numPr>
    </w:pPr>
  </w:style>
  <w:style w:type="paragraph" w:customStyle="1" w:styleId="ListParagraphNumbered">
    <w:name w:val="List Paragraph Numbered"/>
    <w:basedOn w:val="NoSpacing"/>
    <w:uiPriority w:val="2"/>
    <w:qFormat/>
    <w:rsid w:val="00220ABE"/>
    <w:pPr>
      <w:numPr>
        <w:numId w:val="5"/>
      </w:numPr>
    </w:pPr>
  </w:style>
  <w:style w:type="character" w:customStyle="1" w:styleId="EndnoteReference8">
    <w:name w:val="Endnote Reference 8"/>
    <w:basedOn w:val="DefaultParagraphFont"/>
    <w:uiPriority w:val="10"/>
    <w:rsid w:val="008D7E91"/>
    <w:rPr>
      <w:sz w:val="16"/>
      <w:vertAlign w:val="superscript"/>
    </w:rPr>
  </w:style>
  <w:style w:type="paragraph" w:styleId="Revision">
    <w:name w:val="Revision"/>
    <w:hidden/>
    <w:uiPriority w:val="99"/>
    <w:semiHidden/>
    <w:rsid w:val="00FF01A9"/>
    <w:rPr>
      <w:rFonts w:ascii="Times New Roman" w:eastAsia="Times New Roman" w:hAnsi="Times New Roman" w:cs="Times New Roman"/>
      <w:sz w:val="24"/>
      <w:szCs w:val="24"/>
      <w:lang w:val="en-GB"/>
    </w:rPr>
  </w:style>
  <w:style w:type="paragraph" w:styleId="TOC5">
    <w:name w:val="toc 5"/>
    <w:basedOn w:val="Normal"/>
    <w:next w:val="Normal"/>
    <w:autoRedefine/>
    <w:uiPriority w:val="39"/>
    <w:rsid w:val="0026373D"/>
    <w:pPr>
      <w:spacing w:after="100"/>
      <w:ind w:left="720"/>
      <w:jc w:val="left"/>
    </w:pPr>
  </w:style>
  <w:style w:type="paragraph" w:styleId="Index1">
    <w:name w:val="index 1"/>
    <w:basedOn w:val="Normal"/>
    <w:next w:val="Normal"/>
    <w:autoRedefine/>
    <w:uiPriority w:val="99"/>
    <w:semiHidden/>
    <w:unhideWhenUsed/>
    <w:rsid w:val="00DE7455"/>
    <w:pPr>
      <w:spacing w:before="0" w:after="0"/>
      <w:ind w:left="180" w:hanging="180"/>
    </w:pPr>
  </w:style>
  <w:style w:type="paragraph" w:styleId="BodyText2">
    <w:name w:val="Body Text 2"/>
    <w:basedOn w:val="Normal"/>
    <w:link w:val="BodyText2Char"/>
    <w:semiHidden/>
    <w:rsid w:val="001261CA"/>
    <w:pPr>
      <w:spacing w:before="0" w:after="0"/>
      <w:jc w:val="center"/>
    </w:pPr>
    <w:rPr>
      <w:rFonts w:ascii="Tahoma" w:eastAsia="Times New Roman" w:hAnsi="Tahoma" w:cs="Times New Roman"/>
      <w:spacing w:val="0"/>
      <w:szCs w:val="24"/>
    </w:rPr>
  </w:style>
  <w:style w:type="character" w:customStyle="1" w:styleId="BodyText2Char">
    <w:name w:val="Body Text 2 Char"/>
    <w:basedOn w:val="DefaultParagraphFont"/>
    <w:link w:val="BodyText2"/>
    <w:semiHidden/>
    <w:rsid w:val="001261CA"/>
    <w:rPr>
      <w:rFonts w:ascii="Tahoma" w:eastAsia="Times New Roman" w:hAnsi="Tahoma" w:cs="Times New Roman"/>
      <w:szCs w:val="24"/>
      <w:lang w:val="en-GB"/>
    </w:rPr>
  </w:style>
  <w:style w:type="character" w:styleId="PlaceholderText">
    <w:name w:val="Placeholder Text"/>
    <w:basedOn w:val="DefaultParagraphFont"/>
    <w:uiPriority w:val="99"/>
    <w:semiHidden/>
    <w:rsid w:val="005B4CF7"/>
    <w:rPr>
      <w:color w:val="666666"/>
    </w:rPr>
  </w:style>
  <w:style w:type="paragraph" w:customStyle="1" w:styleId="ep4">
    <w:name w:val="ep4"/>
    <w:basedOn w:val="Normal"/>
    <w:rsid w:val="00C263B8"/>
    <w:pPr>
      <w:numPr>
        <w:numId w:val="8"/>
      </w:numPr>
      <w:spacing w:before="0" w:after="0"/>
    </w:pPr>
    <w:rPr>
      <w:rFonts w:eastAsia="Times New Roman" w:cs="Times New Roman"/>
      <w:iCs/>
      <w:spacing w:val="0"/>
      <w:szCs w:val="20"/>
      <w:lang w:val="en-ZA"/>
    </w:rPr>
  </w:style>
  <w:style w:type="table" w:customStyle="1" w:styleId="TableGrid1">
    <w:name w:val="Table Grid1"/>
    <w:basedOn w:val="TableNormal"/>
    <w:next w:val="TableGrid"/>
    <w:uiPriority w:val="59"/>
    <w:rsid w:val="00811950"/>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rsid w:val="007B04C4"/>
    <w:rPr>
      <w:color w:val="0563C1"/>
      <w:u w:val="single"/>
    </w:rPr>
  </w:style>
  <w:style w:type="paragraph" w:customStyle="1" w:styleId="Default">
    <w:name w:val="Default"/>
    <w:rsid w:val="001502E6"/>
    <w:pPr>
      <w:autoSpaceDE w:val="0"/>
      <w:autoSpaceDN w:val="0"/>
      <w:adjustRightInd w:val="0"/>
    </w:pPr>
    <w:rPr>
      <w:rFonts w:ascii="Calibri" w:hAnsi="Calibri" w:cs="Calibri"/>
      <w:color w:val="000000"/>
      <w:sz w:val="24"/>
      <w:szCs w:val="24"/>
      <w:lang w:val="en-US"/>
    </w:rPr>
  </w:style>
  <w:style w:type="table" w:customStyle="1" w:styleId="TableGrid2">
    <w:name w:val="Table Grid2"/>
    <w:basedOn w:val="TableNormal"/>
    <w:next w:val="TableGrid"/>
    <w:uiPriority w:val="59"/>
    <w:rsid w:val="008C2C92"/>
    <w:rPr>
      <w:rFonts w:ascii="Times New Roman" w:eastAsia="Times New Roman" w:hAnsi="Times New Roman"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801F2D"/>
    <w:rPr>
      <w:color w:val="605E5C"/>
      <w:shd w:val="clear" w:color="auto" w:fill="E1DFDD"/>
    </w:rPr>
  </w:style>
  <w:style w:type="character" w:customStyle="1" w:styleId="ListParagraphChar">
    <w:name w:val="List Paragraph Char"/>
    <w:aliases w:val="Table text Char"/>
    <w:basedOn w:val="DefaultParagraphFont"/>
    <w:link w:val="ListParagraph"/>
    <w:uiPriority w:val="2"/>
    <w:locked/>
    <w:rsid w:val="00605612"/>
    <w:rPr>
      <w:rFonts w:ascii="Arial" w:hAnsi="Arial"/>
      <w:spacing w:val="-4"/>
    </w:rPr>
  </w:style>
  <w:style w:type="paragraph" w:styleId="Index6">
    <w:name w:val="index 6"/>
    <w:basedOn w:val="Normal"/>
    <w:next w:val="Normal"/>
    <w:autoRedefine/>
    <w:uiPriority w:val="99"/>
    <w:semiHidden/>
    <w:unhideWhenUsed/>
    <w:rsid w:val="00605612"/>
    <w:pPr>
      <w:spacing w:before="0" w:after="0"/>
      <w:ind w:left="1080" w:hanging="180"/>
    </w:pPr>
  </w:style>
  <w:style w:type="table" w:customStyle="1" w:styleId="TableGrid3">
    <w:name w:val="Table Grid3"/>
    <w:basedOn w:val="TableNormal"/>
    <w:next w:val="TableGrid"/>
    <w:uiPriority w:val="59"/>
    <w:rsid w:val="001E4E4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35CD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3505">
      <w:bodyDiv w:val="1"/>
      <w:marLeft w:val="0"/>
      <w:marRight w:val="0"/>
      <w:marTop w:val="0"/>
      <w:marBottom w:val="0"/>
      <w:divBdr>
        <w:top w:val="none" w:sz="0" w:space="0" w:color="auto"/>
        <w:left w:val="none" w:sz="0" w:space="0" w:color="auto"/>
        <w:bottom w:val="none" w:sz="0" w:space="0" w:color="auto"/>
        <w:right w:val="none" w:sz="0" w:space="0" w:color="auto"/>
      </w:divBdr>
    </w:div>
    <w:div w:id="382801050">
      <w:bodyDiv w:val="1"/>
      <w:marLeft w:val="0"/>
      <w:marRight w:val="0"/>
      <w:marTop w:val="0"/>
      <w:marBottom w:val="0"/>
      <w:divBdr>
        <w:top w:val="none" w:sz="0" w:space="0" w:color="auto"/>
        <w:left w:val="none" w:sz="0" w:space="0" w:color="auto"/>
        <w:bottom w:val="none" w:sz="0" w:space="0" w:color="auto"/>
        <w:right w:val="none" w:sz="0" w:space="0" w:color="auto"/>
      </w:divBdr>
    </w:div>
    <w:div w:id="1067922689">
      <w:bodyDiv w:val="1"/>
      <w:marLeft w:val="0"/>
      <w:marRight w:val="0"/>
      <w:marTop w:val="0"/>
      <w:marBottom w:val="0"/>
      <w:divBdr>
        <w:top w:val="none" w:sz="0" w:space="0" w:color="auto"/>
        <w:left w:val="none" w:sz="0" w:space="0" w:color="auto"/>
        <w:bottom w:val="none" w:sz="0" w:space="0" w:color="auto"/>
        <w:right w:val="none" w:sz="0" w:space="0" w:color="auto"/>
      </w:divBdr>
    </w:div>
    <w:div w:id="1249999370">
      <w:bodyDiv w:val="1"/>
      <w:marLeft w:val="0"/>
      <w:marRight w:val="0"/>
      <w:marTop w:val="0"/>
      <w:marBottom w:val="0"/>
      <w:divBdr>
        <w:top w:val="none" w:sz="0" w:space="0" w:color="auto"/>
        <w:left w:val="none" w:sz="0" w:space="0" w:color="auto"/>
        <w:bottom w:val="none" w:sz="0" w:space="0" w:color="auto"/>
        <w:right w:val="none" w:sz="0" w:space="0" w:color="auto"/>
      </w:divBdr>
    </w:div>
    <w:div w:id="1402749776">
      <w:bodyDiv w:val="1"/>
      <w:marLeft w:val="0"/>
      <w:marRight w:val="0"/>
      <w:marTop w:val="0"/>
      <w:marBottom w:val="0"/>
      <w:divBdr>
        <w:top w:val="none" w:sz="0" w:space="0" w:color="auto"/>
        <w:left w:val="none" w:sz="0" w:space="0" w:color="auto"/>
        <w:bottom w:val="none" w:sz="0" w:space="0" w:color="auto"/>
        <w:right w:val="none" w:sz="0" w:space="0" w:color="auto"/>
      </w:divBdr>
    </w:div>
    <w:div w:id="15614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file:///C:\Users\MaropengRapetsoa\AppData\Local\Microsoft\Olk\Attachments\ooa-7d6e7f5f-e564-4253-9a4b-85596bbdbb8d\f6d092ff4fe8054884e431fb3be6744aa04314ffd66834e7ae6741f84645c335\NCAC@witshealth.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ncbi.nlm.nih.gov/pubmed/10922423" TargetMode="External"/><Relationship Id="rId18" Type="http://schemas.openxmlformats.org/officeDocument/2006/relationships/hyperlink" Target="https://www.ncbi.nlm.nih.gov/pubmed/21558486" TargetMode="External"/><Relationship Id="rId26" Type="http://schemas.openxmlformats.org/officeDocument/2006/relationships/hyperlink" Target="https://www.ncbi.nlm.nih.gov/pubmed/22844010" TargetMode="External"/><Relationship Id="rId39" Type="http://schemas.openxmlformats.org/officeDocument/2006/relationships/hyperlink" Target="http://www.health.gov.za/" TargetMode="External"/><Relationship Id="rId3" Type="http://schemas.openxmlformats.org/officeDocument/2006/relationships/hyperlink" Target="http://www.samj.org.za/index.php/samj/article/view/6658" TargetMode="External"/><Relationship Id="rId21" Type="http://schemas.openxmlformats.org/officeDocument/2006/relationships/hyperlink" Target="http://www.health.gov.za/" TargetMode="External"/><Relationship Id="rId34" Type="http://schemas.openxmlformats.org/officeDocument/2006/relationships/hyperlink" Target="https://www.ncbi.nlm.nih.gov/pubmed/19783532" TargetMode="External"/><Relationship Id="rId42" Type="http://schemas.openxmlformats.org/officeDocument/2006/relationships/hyperlink" Target="https://www.knowledgehub.org.za/content/standard-treatment-guidelines-and-essential-medicines-list" TargetMode="External"/><Relationship Id="rId47" Type="http://schemas.openxmlformats.org/officeDocument/2006/relationships/hyperlink" Target="http://www.health.gov.za/" TargetMode="External"/><Relationship Id="rId50" Type="http://schemas.openxmlformats.org/officeDocument/2006/relationships/hyperlink" Target="http://www.health.gov.za/" TargetMode="External"/><Relationship Id="rId7" Type="http://schemas.openxmlformats.org/officeDocument/2006/relationships/hyperlink" Target="https://www.ncbi.nlm.nih.gov/pubmed/31249014" TargetMode="External"/><Relationship Id="rId12" Type="http://schemas.openxmlformats.org/officeDocument/2006/relationships/hyperlink" Target="https://www.ncbi.nlm.nih.gov/pubmed/27912982" TargetMode="External"/><Relationship Id="rId17" Type="http://schemas.openxmlformats.org/officeDocument/2006/relationships/hyperlink" Target="https://www.ncbi.nlm.nih.gov/pubmed/20653496" TargetMode="External"/><Relationship Id="rId25" Type="http://schemas.openxmlformats.org/officeDocument/2006/relationships/hyperlink" Target="https://www.ncbi.nlm.nih.gov/pubmed/23807527" TargetMode="External"/><Relationship Id="rId33" Type="http://schemas.openxmlformats.org/officeDocument/2006/relationships/hyperlink" Target="https://www.ncbi.nlm.nih.gov/pubmed/31573350" TargetMode="External"/><Relationship Id="rId38" Type="http://schemas.openxmlformats.org/officeDocument/2006/relationships/hyperlink" Target="https://www.ncbi.nlm.nih.gov/pubmed/19783532" TargetMode="External"/><Relationship Id="rId46" Type="http://schemas.openxmlformats.org/officeDocument/2006/relationships/hyperlink" Target="http://www.health.gov.za/" TargetMode="External"/><Relationship Id="rId2" Type="http://schemas.openxmlformats.org/officeDocument/2006/relationships/hyperlink" Target="http://www.health.gov.za/" TargetMode="External"/><Relationship Id="rId16" Type="http://schemas.openxmlformats.org/officeDocument/2006/relationships/hyperlink" Target="http://www.ginasthma.org/" TargetMode="External"/><Relationship Id="rId20" Type="http://schemas.openxmlformats.org/officeDocument/2006/relationships/hyperlink" Target="https://www.ncbi.nlm.nih.gov/pubmed/22844010" TargetMode="External"/><Relationship Id="rId29" Type="http://schemas.openxmlformats.org/officeDocument/2006/relationships/hyperlink" Target="http://www.health.gov.za/" TargetMode="External"/><Relationship Id="rId41" Type="http://schemas.openxmlformats.org/officeDocument/2006/relationships/hyperlink" Target="https://www.knowledgehub.org.za/content/standard-treatment-guidelines-and-essential-medicines-list" TargetMode="External"/><Relationship Id="rId54" Type="http://schemas.openxmlformats.org/officeDocument/2006/relationships/hyperlink" Target="https://www.who.int/tb/publications/2019/consolidated-guidelines-drug-resistant-TB-treatment/en/" TargetMode="External"/><Relationship Id="rId1" Type="http://schemas.openxmlformats.org/officeDocument/2006/relationships/hyperlink" Target="http://www.health.gov.za/" TargetMode="External"/><Relationship Id="rId6" Type="http://schemas.openxmlformats.org/officeDocument/2006/relationships/hyperlink" Target="http://www.ginasthma.org/" TargetMode="External"/><Relationship Id="rId11" Type="http://schemas.openxmlformats.org/officeDocument/2006/relationships/hyperlink" Target="https://www.ncbi.nlm.nih.gov/pubmed/12672309" TargetMode="External"/><Relationship Id="rId24" Type="http://schemas.openxmlformats.org/officeDocument/2006/relationships/hyperlink" Target="https://www.ncbi.nlm.nih.gov/pubmed/21558486" TargetMode="External"/><Relationship Id="rId32" Type="http://schemas.openxmlformats.org/officeDocument/2006/relationships/hyperlink" Target="https://www.ncbi.nlm.nih.gov/pubmed/20102994" TargetMode="External"/><Relationship Id="rId37" Type="http://schemas.openxmlformats.org/officeDocument/2006/relationships/hyperlink" Target="https://www.ncbi.nlm.nih.gov/pubmed/31573350" TargetMode="External"/><Relationship Id="rId40" Type="http://schemas.openxmlformats.org/officeDocument/2006/relationships/hyperlink" Target="https://www.ncbi.nlm.nih.gov/pubmed/31633805" TargetMode="External"/><Relationship Id="rId45" Type="http://schemas.openxmlformats.org/officeDocument/2006/relationships/hyperlink" Target="http://www.health.gov.za/" TargetMode="External"/><Relationship Id="rId53" Type="http://schemas.openxmlformats.org/officeDocument/2006/relationships/hyperlink" Target="https://www.ncbi.nlm.nih.gov/pubmed/29595509" TargetMode="External"/><Relationship Id="rId5" Type="http://schemas.openxmlformats.org/officeDocument/2006/relationships/hyperlink" Target="http://www.health.gov.za/" TargetMode="External"/><Relationship Id="rId15" Type="http://schemas.openxmlformats.org/officeDocument/2006/relationships/hyperlink" Target="https://www.ncbi.nlm.nih.gov/pubmed/27912982" TargetMode="External"/><Relationship Id="rId23" Type="http://schemas.openxmlformats.org/officeDocument/2006/relationships/hyperlink" Target="https://www.ncbi.nlm.nih.gov/pubmed/20653496" TargetMode="External"/><Relationship Id="rId28" Type="http://schemas.openxmlformats.org/officeDocument/2006/relationships/hyperlink" Target="http://www.health.gov.za/" TargetMode="External"/><Relationship Id="rId36" Type="http://schemas.openxmlformats.org/officeDocument/2006/relationships/hyperlink" Target="https://www.ncbi.nlm.nih.gov/pubmed/20102994" TargetMode="External"/><Relationship Id="rId49" Type="http://schemas.openxmlformats.org/officeDocument/2006/relationships/hyperlink" Target="http://www.health.gov.za/" TargetMode="External"/><Relationship Id="rId10" Type="http://schemas.openxmlformats.org/officeDocument/2006/relationships/hyperlink" Target="https://www.ncbi.nlm.nih.gov/pubmed/12324675" TargetMode="External"/><Relationship Id="rId19" Type="http://schemas.openxmlformats.org/officeDocument/2006/relationships/hyperlink" Target="https://www.ncbi.nlm.nih.gov/pubmed/23807527" TargetMode="External"/><Relationship Id="rId31" Type="http://schemas.openxmlformats.org/officeDocument/2006/relationships/hyperlink" Target="https://www.ncbi.nlm.nih.gov/pubmed/21518934" TargetMode="External"/><Relationship Id="rId44" Type="http://schemas.openxmlformats.org/officeDocument/2006/relationships/hyperlink" Target="http://www.health.gov.za/" TargetMode="External"/><Relationship Id="rId52" Type="http://schemas.openxmlformats.org/officeDocument/2006/relationships/hyperlink" Target="http://www.health.gov.za/" TargetMode="External"/><Relationship Id="rId4" Type="http://schemas.openxmlformats.org/officeDocument/2006/relationships/hyperlink" Target="http://www.health.gov.za/" TargetMode="External"/><Relationship Id="rId9" Type="http://schemas.openxmlformats.org/officeDocument/2006/relationships/hyperlink" Target="https://www.ncbi.nlm.nih.gov/pubmed/10922423" TargetMode="External"/><Relationship Id="rId14" Type="http://schemas.openxmlformats.org/officeDocument/2006/relationships/hyperlink" Target="http://www.ncbi.nlm.nih.gov/pubmed/18405951" TargetMode="External"/><Relationship Id="rId22" Type="http://schemas.openxmlformats.org/officeDocument/2006/relationships/hyperlink" Target="http://www.health.gov.za/" TargetMode="External"/><Relationship Id="rId27" Type="http://schemas.openxmlformats.org/officeDocument/2006/relationships/hyperlink" Target="http://www.health.gov.za/" TargetMode="External"/><Relationship Id="rId30" Type="http://schemas.openxmlformats.org/officeDocument/2006/relationships/hyperlink" Target="http://www.health.gov.za/" TargetMode="External"/><Relationship Id="rId35" Type="http://schemas.openxmlformats.org/officeDocument/2006/relationships/hyperlink" Target="https://www.ncbi.nlm.nih.gov/pubmed/21518934" TargetMode="External"/><Relationship Id="rId43" Type="http://schemas.openxmlformats.org/officeDocument/2006/relationships/hyperlink" Target="http://www.health.gov.za/" TargetMode="External"/><Relationship Id="rId48" Type="http://schemas.openxmlformats.org/officeDocument/2006/relationships/hyperlink" Target="http://www.health.gov.za/" TargetMode="External"/><Relationship Id="rId8" Type="http://schemas.openxmlformats.org/officeDocument/2006/relationships/hyperlink" Target="https://www.ncbi.nlm.nih.gov/pubmed/17507703" TargetMode="External"/><Relationship Id="rId51" Type="http://schemas.openxmlformats.org/officeDocument/2006/relationships/hyperlink" Target="https://www.who.int/news/item/27-01-2021-who-announces-updated-definitions-of-extensively-drug-resistant-tuberculo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20EML%20revisions\Document%20build%20-%20Andre\Template\PHC%20STG%20Template_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883D54240D6C47B8BC7FCA393E6837" ma:contentTypeVersion="3" ma:contentTypeDescription="Create a new document." ma:contentTypeScope="" ma:versionID="dd6fa984b3b7eb2a2c4a626f40687305">
  <xsd:schema xmlns:xsd="http://www.w3.org/2001/XMLSchema" xmlns:xs="http://www.w3.org/2001/XMLSchema" xmlns:p="http://schemas.microsoft.com/office/2006/metadata/properties" xmlns:ns2="db2edbec-7b6a-4636-a93d-e96dc4f301eb" targetNamespace="http://schemas.microsoft.com/office/2006/metadata/properties" ma:root="true" ma:fieldsID="c911f0fbf13573087636f74098ec44f5" ns2:_="">
    <xsd:import namespace="db2edbec-7b6a-4636-a93d-e96dc4f301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edbec-7b6a-4636-a93d-e96dc4f30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4006-A24C-471B-A3B5-A095D4CE0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1958C-7231-4F20-AE17-381F6A33AE27}">
  <ds:schemaRefs>
    <ds:schemaRef ds:uri="http://schemas.microsoft.com/sharepoint/v3/contenttype/forms"/>
  </ds:schemaRefs>
</ds:datastoreItem>
</file>

<file path=customXml/itemProps3.xml><?xml version="1.0" encoding="utf-8"?>
<ds:datastoreItem xmlns:ds="http://schemas.openxmlformats.org/officeDocument/2006/customXml" ds:itemID="{82C84161-DE6E-4BE3-B485-1F97D20A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edbec-7b6a-4636-a93d-e96dc4f30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75FD4-70A0-4AB3-A18B-39C35F37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PHC STG Template_Chapter</Template>
  <TotalTime>31</TotalTime>
  <Pages>43</Pages>
  <Words>10392</Words>
  <Characters>59241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Chapter #</vt:lpstr>
    </vt:vector>
  </TitlesOfParts>
  <Company/>
  <LinksUpToDate>false</LinksUpToDate>
  <CharactersWithSpaces>69495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subject>Chapter Description</dc:subject>
  <dc:creator>andre</dc:creator>
  <cp:keywords/>
  <dc:description/>
  <cp:lastModifiedBy>Zahiera Adam</cp:lastModifiedBy>
  <cp:revision>5</cp:revision>
  <dcterms:created xsi:type="dcterms:W3CDTF">2025-12-02T08:43:00Z</dcterms:created>
  <dcterms:modified xsi:type="dcterms:W3CDTF">2025-12-02T10:40:00Z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0x010100B1883D54240D6C47B8BC7FCA393E6837</vt:lpwstr>
  </property>
</Properties>
</file>