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7E73" w14:textId="77777777" w:rsidR="00AD16D1" w:rsidRDefault="002E2612">
      <w:pPr>
        <w:pStyle w:val="Heading1"/>
        <w:spacing w:before="0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D0E7E73" wp14:editId="2D0E7E74">
            <wp:simplePos x="0" y="0"/>
            <wp:positionH relativeFrom="column">
              <wp:posOffset>5964558</wp:posOffset>
            </wp:positionH>
            <wp:positionV relativeFrom="paragraph">
              <wp:posOffset>-778511</wp:posOffset>
            </wp:positionV>
            <wp:extent cx="809628" cy="809628"/>
            <wp:effectExtent l="0" t="0" r="9522" b="9522"/>
            <wp:wrapNone/>
            <wp:docPr id="171296829" name="Picture 1" descr="Logo - NDP - Full colo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8" cy="8096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2D0E7E75" wp14:editId="2D0E7E76">
            <wp:simplePos x="0" y="0"/>
            <wp:positionH relativeFrom="column">
              <wp:posOffset>-539752</wp:posOffset>
            </wp:positionH>
            <wp:positionV relativeFrom="paragraph">
              <wp:posOffset>-736604</wp:posOffset>
            </wp:positionV>
            <wp:extent cx="1848487" cy="666753"/>
            <wp:effectExtent l="0" t="0" r="0" b="0"/>
            <wp:wrapNone/>
            <wp:docPr id="468945451" name="Picture 0" descr="DOH_HiRes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8487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D0E7E74" w14:textId="77777777" w:rsidR="00AD16D1" w:rsidRDefault="002E2612">
      <w:pPr>
        <w:pStyle w:val="Heading1"/>
        <w:spacing w:before="0" w:line="240" w:lineRule="auto"/>
        <w:jc w:val="center"/>
      </w:pPr>
      <w:r>
        <w:rPr>
          <w:rFonts w:eastAsia="Times New Roman"/>
          <w:b/>
          <w:bCs/>
          <w:color w:val="002060"/>
          <w:position w:val="8"/>
          <w:sz w:val="28"/>
          <w:szCs w:val="28"/>
        </w:rPr>
        <w:t>SOUTH AFRICAN NATIONAL DEPARTMENT OF HEALTH</w:t>
      </w:r>
    </w:p>
    <w:p w14:paraId="2D0E7E75" w14:textId="77777777" w:rsidR="00AD16D1" w:rsidRDefault="002E2612">
      <w:pPr>
        <w:pStyle w:val="Heading1"/>
        <w:spacing w:before="0" w:line="240" w:lineRule="auto"/>
        <w:jc w:val="center"/>
      </w:pPr>
      <w:r>
        <w:rPr>
          <w:b/>
          <w:bCs/>
          <w:color w:val="002060"/>
          <w:position w:val="8"/>
          <w:sz w:val="28"/>
          <w:szCs w:val="28"/>
        </w:rPr>
        <w:t>NEMLC SUMMARY REPORT ON UPDATES MADE TO THE</w:t>
      </w:r>
    </w:p>
    <w:p w14:paraId="2D0E7E76" w14:textId="77777777" w:rsidR="00AD16D1" w:rsidRDefault="002E2612">
      <w:pPr>
        <w:pStyle w:val="Heading1"/>
        <w:spacing w:before="0" w:line="240" w:lineRule="auto"/>
        <w:jc w:val="center"/>
      </w:pPr>
      <w:r>
        <w:rPr>
          <w:b/>
          <w:bCs/>
          <w:color w:val="002060"/>
          <w:position w:val="9"/>
        </w:rPr>
        <w:t>Paediatric Hospital Level</w:t>
      </w:r>
    </w:p>
    <w:p w14:paraId="2D0E7E77" w14:textId="77777777" w:rsidR="00AD16D1" w:rsidRDefault="002E2612">
      <w:pPr>
        <w:pStyle w:val="Heading1"/>
        <w:pBdr>
          <w:bottom w:val="single" w:sz="18" w:space="1" w:color="000000"/>
        </w:pBdr>
        <w:spacing w:before="0" w:line="240" w:lineRule="auto"/>
        <w:jc w:val="center"/>
      </w:pPr>
      <w:r>
        <w:rPr>
          <w:b/>
          <w:bCs/>
          <w:color w:val="7030A0"/>
          <w:position w:val="9"/>
        </w:rPr>
        <w:t>CHILD AND ADOLESCENT PSYCHIATRY</w:t>
      </w:r>
    </w:p>
    <w:p w14:paraId="2D0E7E78" w14:textId="77777777" w:rsidR="00AD16D1" w:rsidRDefault="00AD16D1">
      <w:pPr>
        <w:spacing w:after="0" w:line="240" w:lineRule="auto"/>
        <w:rPr>
          <w:color w:val="002060"/>
        </w:rPr>
      </w:pPr>
    </w:p>
    <w:p w14:paraId="2D0E7E79" w14:textId="77777777" w:rsidR="00AD16D1" w:rsidRDefault="002E2612">
      <w:pPr>
        <w:pStyle w:val="Heading2"/>
        <w:spacing w:before="0" w:line="240" w:lineRule="auto"/>
      </w:pPr>
      <w:r>
        <w:rPr>
          <w:rStyle w:val="Heading1Char"/>
          <w:position w:val="8"/>
          <w:sz w:val="28"/>
          <w:szCs w:val="28"/>
        </w:rPr>
        <w:t>Document Version</w:t>
      </w:r>
    </w:p>
    <w:tbl>
      <w:tblPr>
        <w:tblW w:w="10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820"/>
        <w:gridCol w:w="6270"/>
      </w:tblGrid>
      <w:tr w:rsidR="00AD16D1" w14:paraId="2D0E7E7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7A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b/>
                <w:bCs/>
                <w:u w:val="single"/>
              </w:rPr>
            </w:pPr>
            <w:r>
              <w:rPr>
                <w:rFonts w:eastAsia="Yu Mincho"/>
                <w:b/>
                <w:bCs/>
                <w:u w:val="single"/>
              </w:rPr>
              <w:t xml:space="preserve">Report Version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7B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b/>
                <w:bCs/>
                <w:u w:val="single"/>
              </w:rPr>
            </w:pPr>
            <w:r>
              <w:rPr>
                <w:rFonts w:eastAsia="Yu Mincho"/>
                <w:b/>
                <w:bCs/>
                <w:u w:val="single"/>
              </w:rPr>
              <w:t>Date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7C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b/>
                <w:bCs/>
                <w:u w:val="single"/>
              </w:rPr>
            </w:pPr>
            <w:r>
              <w:rPr>
                <w:rFonts w:eastAsia="Yu Mincho"/>
                <w:b/>
                <w:bCs/>
                <w:u w:val="single"/>
              </w:rPr>
              <w:t>Detail</w:t>
            </w:r>
          </w:p>
        </w:tc>
      </w:tr>
      <w:tr w:rsidR="00AD16D1" w14:paraId="2D0E7E8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7E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</w:rPr>
            </w:pPr>
            <w:r>
              <w:rPr>
                <w:rFonts w:eastAsia="Yu Mincho"/>
                <w:i/>
                <w:iCs/>
                <w:color w:val="EE0000"/>
              </w:rPr>
              <w:t>V1.0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7F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</w:rPr>
            </w:pPr>
            <w:r>
              <w:rPr>
                <w:rFonts w:eastAsia="Yu Mincho"/>
                <w:i/>
                <w:iCs/>
                <w:color w:val="EE0000"/>
              </w:rPr>
              <w:t>04/06/2026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0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</w:rPr>
            </w:pPr>
            <w:r>
              <w:rPr>
                <w:rFonts w:eastAsia="Yu Mincho"/>
                <w:i/>
                <w:iCs/>
                <w:color w:val="EE0000"/>
              </w:rPr>
              <w:t xml:space="preserve">NEMLC ratified for </w:t>
            </w:r>
            <w:r>
              <w:rPr>
                <w:rFonts w:eastAsia="Yu Mincho"/>
                <w:i/>
                <w:iCs/>
                <w:color w:val="EE0000"/>
              </w:rPr>
              <w:t>external comment</w:t>
            </w:r>
          </w:p>
        </w:tc>
      </w:tr>
    </w:tbl>
    <w:p w14:paraId="2D0E7E82" w14:textId="77777777" w:rsidR="00AD16D1" w:rsidRDefault="00AD16D1">
      <w:pPr>
        <w:spacing w:after="0" w:line="240" w:lineRule="auto"/>
        <w:jc w:val="both"/>
        <w:rPr>
          <w:rFonts w:cs="Calibri"/>
          <w:b/>
          <w:spacing w:val="-2"/>
          <w:lang w:eastAsia="ar-SA"/>
        </w:rPr>
      </w:pPr>
    </w:p>
    <w:p w14:paraId="2D0E7E83" w14:textId="77777777" w:rsidR="00AD16D1" w:rsidRDefault="002E2612">
      <w:pPr>
        <w:pStyle w:val="Heading2"/>
        <w:spacing w:before="0" w:line="240" w:lineRule="auto"/>
      </w:pPr>
      <w:r>
        <w:rPr>
          <w:rStyle w:val="Heading1Char"/>
          <w:position w:val="8"/>
          <w:sz w:val="28"/>
          <w:szCs w:val="28"/>
        </w:rPr>
        <w:t>Specific guidance products (Tick relevant and specify chapter number)</w:t>
      </w:r>
    </w:p>
    <w:tbl>
      <w:tblPr>
        <w:tblW w:w="100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7403"/>
        <w:gridCol w:w="1065"/>
        <w:gridCol w:w="1057"/>
      </w:tblGrid>
      <w:tr w:rsidR="00AD16D1" w14:paraId="2D0E7E88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4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lang w:eastAsia="ar-SA"/>
              </w:rPr>
            </w:pPr>
            <w:r>
              <w:rPr>
                <w:rFonts w:eastAsia="Yu Mincho"/>
                <w:i/>
                <w:iCs/>
                <w:lang w:eastAsia="ar-SA"/>
              </w:rPr>
              <w:t>No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5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lang w:eastAsia="ar-SA"/>
              </w:rPr>
            </w:pPr>
            <w:r>
              <w:rPr>
                <w:rFonts w:eastAsia="Yu Mincho"/>
                <w:lang w:eastAsia="ar-SA"/>
              </w:rPr>
              <w:t>Guidance Product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6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lang w:eastAsia="ar-SA"/>
              </w:rPr>
            </w:pPr>
            <w:r>
              <w:rPr>
                <w:rFonts w:eastAsia="Yu Mincho"/>
                <w:i/>
                <w:iCs/>
                <w:lang w:eastAsia="ar-SA"/>
              </w:rPr>
              <w:t>Tick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7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lang w:eastAsia="ar-SA"/>
              </w:rPr>
            </w:pPr>
            <w:r>
              <w:rPr>
                <w:rFonts w:eastAsia="Yu Mincho"/>
                <w:i/>
                <w:iCs/>
                <w:lang w:eastAsia="ar-SA"/>
              </w:rPr>
              <w:t>Number</w:t>
            </w:r>
          </w:p>
        </w:tc>
      </w:tr>
      <w:tr w:rsidR="00AD16D1" w14:paraId="2D0E7E8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9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spacing w:val="-2"/>
                <w:lang w:eastAsia="ar-SA"/>
              </w:rPr>
            </w:pPr>
            <w:r>
              <w:rPr>
                <w:rFonts w:eastAsia="Yu Mincho"/>
                <w:i/>
                <w:iCs/>
                <w:spacing w:val="-2"/>
                <w:lang w:eastAsia="ar-SA"/>
              </w:rPr>
              <w:t>1.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A" w14:textId="77777777" w:rsidR="00AD16D1" w:rsidRDefault="002E2612">
            <w:pPr>
              <w:spacing w:after="0" w:line="240" w:lineRule="auto"/>
              <w:jc w:val="both"/>
            </w:pPr>
            <w:r>
              <w:rPr>
                <w:rFonts w:eastAsia="Yu Mincho"/>
                <w:spacing w:val="-2"/>
                <w:lang w:eastAsia="ar-SA"/>
              </w:rPr>
              <w:t>Primary Health Care Level STGs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B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  <w:lang w:eastAsia="ar-SA"/>
              </w:rPr>
            </w:pPr>
            <w:r>
              <w:rPr>
                <w:rFonts w:eastAsia="Yu Mincho"/>
                <w:i/>
                <w:iCs/>
                <w:color w:val="EE0000"/>
                <w:lang w:eastAsia="ar-SA"/>
              </w:rPr>
              <w:t>n/a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C" w14:textId="77777777" w:rsidR="00AD16D1" w:rsidRDefault="00AD16D1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  <w:lang w:eastAsia="ar-SA"/>
              </w:rPr>
            </w:pPr>
          </w:p>
        </w:tc>
      </w:tr>
      <w:tr w:rsidR="00AD16D1" w14:paraId="2D0E7E9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E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spacing w:val="-2"/>
                <w:lang w:eastAsia="ar-SA"/>
              </w:rPr>
            </w:pPr>
            <w:r>
              <w:rPr>
                <w:rFonts w:eastAsia="Yu Mincho"/>
                <w:i/>
                <w:iCs/>
                <w:spacing w:val="-2"/>
                <w:lang w:eastAsia="ar-SA"/>
              </w:rPr>
              <w:t>2.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8F" w14:textId="77777777" w:rsidR="00AD16D1" w:rsidRDefault="002E2612">
            <w:pPr>
              <w:spacing w:after="0" w:line="240" w:lineRule="auto"/>
              <w:jc w:val="both"/>
            </w:pPr>
            <w:r>
              <w:rPr>
                <w:rFonts w:eastAsia="Yu Mincho"/>
                <w:spacing w:val="-2"/>
                <w:lang w:eastAsia="ar-SA"/>
              </w:rPr>
              <w:t xml:space="preserve">Adult Hospital Level STGs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0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  <w:lang w:eastAsia="ar-SA"/>
              </w:rPr>
            </w:pPr>
            <w:r>
              <w:rPr>
                <w:rFonts w:eastAsia="Yu Mincho"/>
                <w:i/>
                <w:iCs/>
                <w:color w:val="EE0000"/>
                <w:lang w:eastAsia="ar-SA"/>
              </w:rPr>
              <w:t>n/a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1" w14:textId="77777777" w:rsidR="00AD16D1" w:rsidRDefault="00AD16D1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  <w:lang w:eastAsia="ar-SA"/>
              </w:rPr>
            </w:pPr>
          </w:p>
        </w:tc>
      </w:tr>
      <w:tr w:rsidR="00AD16D1" w14:paraId="2D0E7E9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3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spacing w:val="-2"/>
                <w:lang w:eastAsia="ar-SA"/>
              </w:rPr>
            </w:pPr>
            <w:r>
              <w:rPr>
                <w:rFonts w:eastAsia="Yu Mincho"/>
                <w:i/>
                <w:iCs/>
                <w:spacing w:val="-2"/>
                <w:lang w:eastAsia="ar-SA"/>
              </w:rPr>
              <w:t>3.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4" w14:textId="77777777" w:rsidR="00AD16D1" w:rsidRDefault="002E2612">
            <w:pPr>
              <w:spacing w:after="0" w:line="240" w:lineRule="auto"/>
              <w:jc w:val="both"/>
            </w:pPr>
            <w:r>
              <w:rPr>
                <w:rFonts w:eastAsia="Yu Mincho"/>
                <w:spacing w:val="-2"/>
                <w:lang w:eastAsia="ar-SA"/>
              </w:rPr>
              <w:t xml:space="preserve">Paediatric Hospital Level STGs – Child and </w:t>
            </w:r>
            <w:r>
              <w:rPr>
                <w:rFonts w:eastAsia="Yu Mincho"/>
                <w:spacing w:val="-2"/>
                <w:lang w:eastAsia="ar-SA"/>
              </w:rPr>
              <w:t>Adolescent Psychiatry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5" w14:textId="77777777" w:rsidR="00AD16D1" w:rsidRDefault="002E2612">
            <w:pPr>
              <w:spacing w:after="0" w:line="240" w:lineRule="auto"/>
              <w:jc w:val="both"/>
            </w:pPr>
            <w:r>
              <w:rPr>
                <w:rFonts w:ascii="Wingdings 2" w:eastAsia="Yu Mincho" w:hAnsi="Wingdings 2"/>
                <w:i/>
                <w:iCs/>
                <w:color w:val="EE0000"/>
                <w:lang w:eastAsia="ar-SA"/>
              </w:rPr>
              <w:t>P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6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  <w:lang w:eastAsia="ar-SA"/>
              </w:rPr>
            </w:pPr>
            <w:r>
              <w:rPr>
                <w:rFonts w:eastAsia="Yu Mincho"/>
                <w:i/>
                <w:iCs/>
                <w:color w:val="EE0000"/>
                <w:lang w:eastAsia="ar-SA"/>
              </w:rPr>
              <w:t>14</w:t>
            </w:r>
          </w:p>
        </w:tc>
      </w:tr>
      <w:tr w:rsidR="00AD16D1" w14:paraId="2D0E7E9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8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spacing w:val="-2"/>
                <w:lang w:eastAsia="ar-SA"/>
              </w:rPr>
            </w:pPr>
            <w:r>
              <w:rPr>
                <w:rFonts w:eastAsia="Yu Mincho"/>
                <w:i/>
                <w:iCs/>
                <w:spacing w:val="-2"/>
                <w:lang w:eastAsia="ar-SA"/>
              </w:rPr>
              <w:t>4.</w:t>
            </w:r>
          </w:p>
        </w:tc>
        <w:tc>
          <w:tcPr>
            <w:tcW w:w="7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9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spacing w:val="-2"/>
                <w:lang w:eastAsia="ar-SA"/>
              </w:rPr>
            </w:pPr>
            <w:r>
              <w:rPr>
                <w:rFonts w:eastAsia="Yu Mincho"/>
                <w:spacing w:val="-2"/>
                <w:lang w:eastAsia="ar-SA"/>
              </w:rPr>
              <w:t>Tertiary and Quaternary EML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A" w14:textId="77777777" w:rsidR="00AD16D1" w:rsidRDefault="002E2612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  <w:lang w:eastAsia="ar-SA"/>
              </w:rPr>
            </w:pPr>
            <w:r>
              <w:rPr>
                <w:rFonts w:eastAsia="Yu Mincho"/>
                <w:i/>
                <w:iCs/>
                <w:color w:val="EE0000"/>
                <w:lang w:eastAsia="ar-SA"/>
              </w:rPr>
              <w:t>n/a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9B" w14:textId="77777777" w:rsidR="00AD16D1" w:rsidRDefault="00AD16D1">
            <w:pPr>
              <w:spacing w:after="0" w:line="240" w:lineRule="auto"/>
              <w:jc w:val="both"/>
              <w:rPr>
                <w:rFonts w:eastAsia="Yu Mincho"/>
                <w:i/>
                <w:iCs/>
                <w:color w:val="EE0000"/>
                <w:lang w:eastAsia="ar-SA"/>
              </w:rPr>
            </w:pPr>
          </w:p>
        </w:tc>
      </w:tr>
    </w:tbl>
    <w:p w14:paraId="2D0E7E9D" w14:textId="77777777" w:rsidR="00AD16D1" w:rsidRDefault="00AD16D1">
      <w:pPr>
        <w:spacing w:after="0" w:line="240" w:lineRule="auto"/>
        <w:jc w:val="both"/>
        <w:rPr>
          <w:rFonts w:cs="Calibri"/>
          <w:b/>
          <w:spacing w:val="-2"/>
          <w:lang w:eastAsia="ar-SA"/>
        </w:rPr>
      </w:pPr>
    </w:p>
    <w:p w14:paraId="2D0E7E9E" w14:textId="77777777" w:rsidR="00AD16D1" w:rsidRDefault="002E2612">
      <w:pPr>
        <w:pStyle w:val="Heading2"/>
        <w:spacing w:before="0" w:line="240" w:lineRule="auto"/>
      </w:pPr>
      <w:r>
        <w:rPr>
          <w:position w:val="8"/>
        </w:rPr>
        <w:t>Medicine Amendments</w:t>
      </w:r>
    </w:p>
    <w:p w14:paraId="2D0E7E9F" w14:textId="77777777" w:rsidR="00AD16D1" w:rsidRDefault="002E2612">
      <w:pPr>
        <w:spacing w:after="0" w:line="240" w:lineRule="auto"/>
        <w:jc w:val="both"/>
      </w:pPr>
      <w:r>
        <w:rPr>
          <w:spacing w:val="-2"/>
          <w:position w:val="6"/>
          <w:lang w:eastAsia="ar-SA"/>
        </w:rPr>
        <w:t xml:space="preserve">Medicine amendment recommendations, with supporting evidence and rationale are listed below. If appropriate can include non-medicine amendments (for example if item </w:t>
      </w:r>
      <w:r>
        <w:rPr>
          <w:spacing w:val="-2"/>
          <w:position w:val="6"/>
          <w:lang w:eastAsia="ar-SA"/>
        </w:rPr>
        <w:t xml:space="preserve">has a large impact on how medicine is accessed) and stipulated reference price. Kindly review the medicine amendments in the context of the respective standard treatment guideline (STG). </w:t>
      </w:r>
    </w:p>
    <w:tbl>
      <w:tblPr>
        <w:tblW w:w="101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5"/>
        <w:gridCol w:w="960"/>
        <w:gridCol w:w="795"/>
        <w:gridCol w:w="1050"/>
        <w:gridCol w:w="615"/>
        <w:gridCol w:w="1815"/>
        <w:gridCol w:w="1320"/>
        <w:gridCol w:w="1852"/>
      </w:tblGrid>
      <w:tr w:rsidR="00AD16D1" w14:paraId="2D0E7EA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0" w14:textId="77777777" w:rsidR="00AD16D1" w:rsidRDefault="002E2612">
            <w:pPr>
              <w:spacing w:after="0" w:line="240" w:lineRule="auto"/>
              <w:rPr>
                <w:b/>
                <w:bCs/>
                <w:lang w:eastAsia="en-ZA"/>
              </w:rPr>
            </w:pPr>
            <w:r>
              <w:rPr>
                <w:b/>
                <w:bCs/>
                <w:lang w:eastAsia="en-ZA"/>
              </w:rPr>
              <w:t>STG/SECTION</w:t>
            </w:r>
          </w:p>
        </w:tc>
        <w:tc>
          <w:tcPr>
            <w:tcW w:w="3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1" w14:textId="77777777" w:rsidR="00AD16D1" w:rsidRDefault="002E2612">
            <w:pPr>
              <w:spacing w:after="0" w:line="240" w:lineRule="auto"/>
              <w:rPr>
                <w:rFonts w:cs="Calibri"/>
                <w:b/>
                <w:bCs/>
                <w:lang w:eastAsia="en-ZA"/>
              </w:rPr>
            </w:pPr>
            <w:r>
              <w:rPr>
                <w:rFonts w:cs="Calibri"/>
                <w:b/>
                <w:bCs/>
                <w:lang w:eastAsia="en-ZA"/>
              </w:rPr>
              <w:t xml:space="preserve">GUIDANCE PRODUCTS </w:t>
            </w:r>
          </w:p>
          <w:p w14:paraId="2D0E7EA2" w14:textId="77777777" w:rsidR="00AD16D1" w:rsidRDefault="002E2612">
            <w:pPr>
              <w:spacing w:after="0" w:line="240" w:lineRule="auto"/>
            </w:pPr>
            <w:r>
              <w:rPr>
                <w:rFonts w:cs="Calibri"/>
                <w:b/>
                <w:bCs/>
                <w:lang w:eastAsia="en-ZA"/>
              </w:rPr>
              <w:t>(Tick relevant)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3" w14:textId="77777777" w:rsidR="00AD16D1" w:rsidRDefault="002E2612">
            <w:pPr>
              <w:spacing w:after="0" w:line="240" w:lineRule="auto"/>
            </w:pPr>
            <w:r>
              <w:rPr>
                <w:b/>
                <w:bCs/>
                <w:lang w:eastAsia="en-ZA"/>
              </w:rPr>
              <w:t xml:space="preserve">MEDICINE </w:t>
            </w:r>
            <w:r>
              <w:rPr>
                <w:b/>
                <w:bCs/>
              </w:rPr>
              <w:t xml:space="preserve">/ </w:t>
            </w:r>
            <w:r>
              <w:rPr>
                <w:b/>
                <w:bCs/>
              </w:rPr>
              <w:t>MANAGEMENT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4" w14:textId="77777777" w:rsidR="00AD16D1" w:rsidRDefault="002E2612">
            <w:pPr>
              <w:spacing w:after="0" w:line="240" w:lineRule="auto"/>
              <w:rPr>
                <w:b/>
                <w:bCs/>
                <w:lang w:eastAsia="en-ZA"/>
              </w:rPr>
            </w:pPr>
            <w:r>
              <w:rPr>
                <w:b/>
                <w:bCs/>
                <w:lang w:eastAsia="en-ZA"/>
              </w:rPr>
              <w:t>ADDED / DELETED / AMENDED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5" w14:textId="77777777" w:rsidR="00AD16D1" w:rsidRDefault="002E2612">
            <w:pPr>
              <w:spacing w:after="0" w:line="240" w:lineRule="auto"/>
              <w:rPr>
                <w:b/>
                <w:bCs/>
                <w:sz w:val="20"/>
                <w:szCs w:val="20"/>
                <w:lang w:eastAsia="en-ZA"/>
              </w:rPr>
            </w:pPr>
            <w:r>
              <w:rPr>
                <w:b/>
                <w:bCs/>
                <w:sz w:val="20"/>
                <w:szCs w:val="20"/>
                <w:lang w:eastAsia="en-ZA"/>
              </w:rPr>
              <w:t xml:space="preserve">TI* CONSIDERATIONS (if applicable)  </w:t>
            </w:r>
          </w:p>
        </w:tc>
      </w:tr>
      <w:tr w:rsidR="00AD16D1" w14:paraId="2D0E7E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8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7" w14:textId="77777777" w:rsidR="00AD16D1" w:rsidRDefault="00AD16D1">
            <w:pPr>
              <w:widowControl w:val="0"/>
              <w:autoSpaceDE w:val="0"/>
              <w:spacing w:after="0" w:line="240" w:lineRule="auto"/>
              <w:jc w:val="both"/>
              <w:rPr>
                <w:rFonts w:cs="Calibri"/>
                <w:b/>
                <w:color w:val="EE0000"/>
                <w:spacing w:val="-4"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8" w14:textId="77777777" w:rsidR="00AD16D1" w:rsidRDefault="002E2612">
            <w:pPr>
              <w:spacing w:after="0" w:line="240" w:lineRule="auto"/>
              <w:rPr>
                <w:spacing w:val="2"/>
                <w:sz w:val="18"/>
                <w:szCs w:val="18"/>
                <w:lang w:eastAsia="en-ZA"/>
              </w:rPr>
            </w:pPr>
            <w:r>
              <w:rPr>
                <w:spacing w:val="2"/>
                <w:sz w:val="18"/>
                <w:szCs w:val="18"/>
                <w:lang w:eastAsia="en-ZA"/>
              </w:rPr>
              <w:t>PHC STGs &amp; EML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9" w14:textId="77777777" w:rsidR="00AD16D1" w:rsidRDefault="002E2612">
            <w:pPr>
              <w:spacing w:after="0" w:line="240" w:lineRule="auto"/>
              <w:rPr>
                <w:spacing w:val="2"/>
                <w:sz w:val="18"/>
                <w:szCs w:val="18"/>
                <w:lang w:eastAsia="en-ZA"/>
              </w:rPr>
            </w:pPr>
            <w:r>
              <w:rPr>
                <w:spacing w:val="2"/>
                <w:sz w:val="18"/>
                <w:szCs w:val="18"/>
                <w:lang w:eastAsia="en-ZA"/>
              </w:rPr>
              <w:t>AH STG &amp; EML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A" w14:textId="77777777" w:rsidR="00AD16D1" w:rsidRDefault="002E2612">
            <w:pPr>
              <w:spacing w:after="0" w:line="240" w:lineRule="auto"/>
              <w:rPr>
                <w:spacing w:val="2"/>
                <w:sz w:val="18"/>
                <w:szCs w:val="18"/>
                <w:lang w:eastAsia="en-ZA"/>
              </w:rPr>
            </w:pPr>
            <w:proofErr w:type="spellStart"/>
            <w:r>
              <w:rPr>
                <w:spacing w:val="2"/>
                <w:sz w:val="18"/>
                <w:szCs w:val="18"/>
                <w:lang w:eastAsia="en-ZA"/>
              </w:rPr>
              <w:t>PaedH</w:t>
            </w:r>
            <w:proofErr w:type="spellEnd"/>
            <w:r>
              <w:rPr>
                <w:spacing w:val="2"/>
                <w:sz w:val="18"/>
                <w:szCs w:val="18"/>
                <w:lang w:eastAsia="en-ZA"/>
              </w:rPr>
              <w:t xml:space="preserve"> STG &amp; EML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B" w14:textId="77777777" w:rsidR="00AD16D1" w:rsidRDefault="002E2612">
            <w:pPr>
              <w:spacing w:after="0" w:line="240" w:lineRule="auto"/>
              <w:rPr>
                <w:spacing w:val="2"/>
                <w:sz w:val="18"/>
                <w:szCs w:val="18"/>
                <w:lang w:eastAsia="en-ZA"/>
              </w:rPr>
            </w:pPr>
            <w:r>
              <w:rPr>
                <w:spacing w:val="2"/>
                <w:sz w:val="18"/>
                <w:szCs w:val="18"/>
                <w:lang w:eastAsia="en-ZA"/>
              </w:rPr>
              <w:t>TQ EML</w:t>
            </w: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C" w14:textId="77777777" w:rsidR="00AD16D1" w:rsidRDefault="00AD16D1">
            <w:pPr>
              <w:spacing w:after="0" w:line="240" w:lineRule="auto"/>
              <w:jc w:val="both"/>
              <w:rPr>
                <w:rFonts w:cs="Calibri"/>
                <w:color w:val="EE0000"/>
                <w:spacing w:val="2"/>
                <w:sz w:val="18"/>
                <w:szCs w:val="18"/>
                <w:lang w:eastAsia="en-ZA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D" w14:textId="77777777" w:rsidR="00AD16D1" w:rsidRDefault="00AD16D1">
            <w:pPr>
              <w:spacing w:after="0" w:line="240" w:lineRule="auto"/>
              <w:jc w:val="both"/>
              <w:rPr>
                <w:rFonts w:cs="Calibri"/>
                <w:bCs/>
                <w:color w:val="EE0000"/>
                <w:spacing w:val="2"/>
                <w:sz w:val="18"/>
                <w:szCs w:val="18"/>
                <w:lang w:eastAsia="en-ZA"/>
              </w:rPr>
            </w:pPr>
          </w:p>
        </w:tc>
        <w:tc>
          <w:tcPr>
            <w:tcW w:w="1852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AE" w14:textId="77777777" w:rsidR="00AD16D1" w:rsidRDefault="00AD16D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D16D1" w14:paraId="2D0E7EB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19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0" w14:textId="77777777" w:rsidR="00AD16D1" w:rsidRDefault="002E2612">
            <w:pPr>
              <w:spacing w:after="0" w:line="240" w:lineRule="auto"/>
              <w:jc w:val="both"/>
              <w:rPr>
                <w:i/>
                <w:iCs/>
                <w:color w:val="EE0000"/>
                <w:sz w:val="18"/>
                <w:szCs w:val="18"/>
                <w:lang w:val="en-GB"/>
              </w:rPr>
            </w:pPr>
            <w:r>
              <w:rPr>
                <w:i/>
                <w:iCs/>
                <w:color w:val="EE0000"/>
                <w:sz w:val="18"/>
                <w:szCs w:val="18"/>
                <w:lang w:val="en-GB"/>
              </w:rPr>
              <w:t>Report Version v1.0</w:t>
            </w:r>
          </w:p>
        </w:tc>
      </w:tr>
      <w:tr w:rsidR="00AD16D1" w14:paraId="2D0E7EB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2" w14:textId="77777777" w:rsidR="00AD16D1" w:rsidRDefault="00AD16D1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3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4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5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6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7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8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9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</w:tr>
      <w:tr w:rsidR="00AD16D1" w14:paraId="2D0E7EC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B" w14:textId="77777777" w:rsidR="00AD16D1" w:rsidRDefault="002E2612">
            <w:pPr>
              <w:spacing w:after="0" w:line="240" w:lineRule="auto"/>
              <w:jc w:val="both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14.3 Attention Deficit Hyperactivity Disorder (ADHD)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C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BD" w14:textId="77777777" w:rsidR="00AD16D1" w:rsidRDefault="00AD16D1">
            <w:pPr>
              <w:spacing w:after="0" w:line="240" w:lineRule="auto"/>
              <w:jc w:val="both"/>
              <w:rPr>
                <w:sz w:val="18"/>
                <w:szCs w:val="18"/>
                <w:lang w:eastAsia="en-ZA"/>
              </w:rPr>
            </w:pP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7EBE" w14:textId="77777777" w:rsidR="00AD16D1" w:rsidRDefault="002E2612">
            <w:pPr>
              <w:spacing w:after="0" w:line="240" w:lineRule="auto"/>
              <w:jc w:val="center"/>
            </w:pPr>
            <w:r>
              <w:rPr>
                <w:rFonts w:ascii="Wingdings 2" w:hAnsi="Wingdings 2"/>
                <w:sz w:val="18"/>
                <w:szCs w:val="18"/>
                <w:lang w:eastAsia="en-ZA"/>
              </w:rPr>
              <w:t>P</w:t>
            </w: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7EBF" w14:textId="77777777" w:rsidR="00AD16D1" w:rsidRDefault="00AD16D1">
            <w:pPr>
              <w:spacing w:after="0" w:line="240" w:lineRule="auto"/>
              <w:jc w:val="center"/>
              <w:rPr>
                <w:sz w:val="18"/>
                <w:szCs w:val="18"/>
                <w:lang w:eastAsia="en-ZA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7EC0" w14:textId="77777777" w:rsidR="00AD16D1" w:rsidRDefault="002E2612">
            <w:pPr>
              <w:spacing w:after="0" w:line="240" w:lineRule="auto"/>
              <w:jc w:val="center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Methylphenidate oral – modified release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7EC1" w14:textId="77777777" w:rsidR="00AD16D1" w:rsidRDefault="002E2612">
            <w:pPr>
              <w:spacing w:after="0" w:line="240" w:lineRule="auto"/>
              <w:jc w:val="center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ADDED</w:t>
            </w:r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E7EC2" w14:textId="77777777" w:rsidR="00AD16D1" w:rsidRDefault="002E2612">
            <w:pPr>
              <w:spacing w:after="0" w:line="240" w:lineRule="auto"/>
              <w:jc w:val="center"/>
              <w:rPr>
                <w:sz w:val="18"/>
                <w:szCs w:val="18"/>
                <w:lang w:eastAsia="en-ZA"/>
              </w:rPr>
            </w:pPr>
            <w:r>
              <w:rPr>
                <w:sz w:val="18"/>
                <w:szCs w:val="18"/>
                <w:lang w:eastAsia="en-ZA"/>
              </w:rPr>
              <w:t>n/a</w:t>
            </w:r>
          </w:p>
        </w:tc>
      </w:tr>
    </w:tbl>
    <w:p w14:paraId="2D0E7EC4" w14:textId="77777777" w:rsidR="00AD16D1" w:rsidRDefault="002E2612">
      <w:pPr>
        <w:spacing w:after="0" w:line="240" w:lineRule="auto"/>
      </w:pPr>
      <w:r>
        <w:rPr>
          <w:position w:val="6"/>
        </w:rPr>
        <w:t>*</w:t>
      </w:r>
      <w:r>
        <w:rPr>
          <w:position w:val="6"/>
          <w:sz w:val="20"/>
          <w:szCs w:val="20"/>
        </w:rPr>
        <w:t>Therapeutic Interchange</w:t>
      </w:r>
    </w:p>
    <w:p w14:paraId="2D0E7EC5" w14:textId="77777777" w:rsidR="00AD16D1" w:rsidRDefault="00AD16D1">
      <w:pPr>
        <w:spacing w:after="0" w:line="240" w:lineRule="auto"/>
        <w:rPr>
          <w:sz w:val="20"/>
          <w:szCs w:val="20"/>
        </w:rPr>
      </w:pPr>
    </w:p>
    <w:p w14:paraId="2D0E7EC6" w14:textId="77777777" w:rsidR="00AD16D1" w:rsidRDefault="002E2612">
      <w:pPr>
        <w:pStyle w:val="Heading2"/>
        <w:spacing w:before="0" w:line="240" w:lineRule="auto"/>
      </w:pPr>
      <w:r>
        <w:rPr>
          <w:i/>
          <w:iCs/>
          <w:color w:val="FF0000"/>
          <w:position w:val="8"/>
        </w:rPr>
        <w:t>Report V1.0</w:t>
      </w:r>
    </w:p>
    <w:p w14:paraId="2D0E7EC7" w14:textId="77777777" w:rsidR="00AD16D1" w:rsidRDefault="00AD16D1">
      <w:pPr>
        <w:pStyle w:val="Heading3"/>
        <w:spacing w:before="0" w:line="240" w:lineRule="auto"/>
        <w:rPr>
          <w:sz w:val="10"/>
          <w:szCs w:val="10"/>
        </w:rPr>
      </w:pPr>
    </w:p>
    <w:p w14:paraId="2D0E7EC8" w14:textId="77777777" w:rsidR="00AD16D1" w:rsidRDefault="002E2612">
      <w:pPr>
        <w:pStyle w:val="Heading3"/>
        <w:spacing w:before="0" w:line="240" w:lineRule="auto"/>
      </w:pPr>
      <w:r>
        <w:rPr>
          <w:position w:val="7"/>
        </w:rPr>
        <w:t>STANDARD TREATMENT GUIDELINE:</w:t>
      </w:r>
    </w:p>
    <w:p w14:paraId="2D0E7EC9" w14:textId="77777777" w:rsidR="00AD16D1" w:rsidRDefault="002E2612">
      <w:pPr>
        <w:spacing w:after="0" w:line="240" w:lineRule="auto"/>
      </w:pPr>
      <w:r>
        <w:rPr>
          <w:b/>
          <w:bCs/>
          <w:caps/>
          <w:position w:val="6"/>
        </w:rPr>
        <w:t xml:space="preserve">Paediatric Hospital Level; Chapter 14 Child </w:t>
      </w:r>
      <w:r>
        <w:rPr>
          <w:b/>
          <w:bCs/>
          <w:caps/>
          <w:position w:val="6"/>
        </w:rPr>
        <w:t>and Adolescent Psychiatry</w:t>
      </w:r>
    </w:p>
    <w:p w14:paraId="2D0E7ECA" w14:textId="77777777" w:rsidR="00AD16D1" w:rsidRDefault="00AD16D1">
      <w:pPr>
        <w:spacing w:after="0" w:line="240" w:lineRule="auto"/>
        <w:rPr>
          <w:b/>
          <w:bCs/>
          <w:caps/>
        </w:rPr>
      </w:pPr>
    </w:p>
    <w:p w14:paraId="2D0E7ECB" w14:textId="77777777" w:rsidR="00AD16D1" w:rsidRDefault="002E2612">
      <w:pPr>
        <w:pStyle w:val="Heading3"/>
        <w:spacing w:before="0" w:line="240" w:lineRule="auto"/>
      </w:pPr>
      <w:r>
        <w:rPr>
          <w:position w:val="7"/>
        </w:rPr>
        <w:t>SECTION –</w:t>
      </w:r>
      <w:r>
        <w:rPr>
          <w:color w:val="44546A"/>
          <w:position w:val="7"/>
        </w:rPr>
        <w:t xml:space="preserve"> Specific number for relevant guidance product/s:</w:t>
      </w:r>
    </w:p>
    <w:p w14:paraId="2D0E7ECC" w14:textId="77777777" w:rsidR="00AD16D1" w:rsidRDefault="002E2612">
      <w:pPr>
        <w:spacing w:after="0" w:line="240" w:lineRule="auto"/>
      </w:pPr>
      <w:r>
        <w:rPr>
          <w:b/>
          <w:bCs/>
          <w:caps/>
          <w:position w:val="6"/>
          <w:sz w:val="24"/>
          <w:szCs w:val="24"/>
          <w:u w:val="single"/>
        </w:rPr>
        <w:t>14: Common Medications Used in Psychiatry and their side effects</w:t>
      </w:r>
    </w:p>
    <w:p w14:paraId="2D0E7ECD" w14:textId="77777777" w:rsidR="00AD16D1" w:rsidRDefault="002E2612">
      <w:pPr>
        <w:spacing w:after="0" w:line="240" w:lineRule="auto"/>
      </w:pPr>
      <w:r>
        <w:rPr>
          <w:position w:val="6"/>
        </w:rPr>
        <w:t>Selective serotonin re-uptake inhibitors (SSRIs) (e.g. fluoxetine)</w:t>
      </w:r>
    </w:p>
    <w:p w14:paraId="2D0E7ECE" w14:textId="77777777" w:rsidR="00AD16D1" w:rsidRDefault="002E2612">
      <w:pPr>
        <w:spacing w:after="0" w:line="240" w:lineRule="auto"/>
      </w:pPr>
      <w:r>
        <w:rPr>
          <w:position w:val="6"/>
        </w:rPr>
        <w:t xml:space="preserve">Additional precautions updated to </w:t>
      </w:r>
      <w:r>
        <w:rPr>
          <w:position w:val="6"/>
        </w:rPr>
        <w:t xml:space="preserve">include other </w:t>
      </w:r>
      <w:proofErr w:type="spellStart"/>
      <w:r>
        <w:rPr>
          <w:position w:val="6"/>
        </w:rPr>
        <w:t>serotinergic</w:t>
      </w:r>
      <w:proofErr w:type="spellEnd"/>
      <w:r>
        <w:rPr>
          <w:position w:val="6"/>
        </w:rPr>
        <w:t xml:space="preserve"> agents.</w:t>
      </w:r>
    </w:p>
    <w:p w14:paraId="2D0E7ECF" w14:textId="77777777" w:rsidR="00AD16D1" w:rsidRDefault="00AD16D1">
      <w:pPr>
        <w:spacing w:after="0" w:line="240" w:lineRule="auto"/>
      </w:pPr>
    </w:p>
    <w:p w14:paraId="2D0E7ED0" w14:textId="77777777" w:rsidR="00AD16D1" w:rsidRDefault="00AD16D1">
      <w:pPr>
        <w:spacing w:after="0" w:line="240" w:lineRule="auto"/>
      </w:pPr>
    </w:p>
    <w:p w14:paraId="2D0E7ED1" w14:textId="77777777" w:rsidR="00AD16D1" w:rsidRDefault="002E2612">
      <w:pPr>
        <w:spacing w:after="0" w:line="240" w:lineRule="auto"/>
      </w:pPr>
      <w:r>
        <w:rPr>
          <w:position w:val="6"/>
        </w:rPr>
        <w:lastRenderedPageBreak/>
        <w:t>The text was updated as follows:</w:t>
      </w:r>
    </w:p>
    <w:tbl>
      <w:tblPr>
        <w:tblW w:w="10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0"/>
      </w:tblGrid>
      <w:tr w:rsidR="00AD16D1" w14:paraId="2D0E7ED8" w14:textId="77777777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D2" w14:textId="77777777" w:rsidR="00AD16D1" w:rsidRDefault="002E2612">
            <w:pPr>
              <w:pStyle w:val="Body1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Special precautions/investigations/monitoring</w:t>
            </w:r>
          </w:p>
          <w:p w14:paraId="2D0E7ED3" w14:textId="77777777" w:rsidR="00AD16D1" w:rsidRDefault="002E2612">
            <w:pPr>
              <w:pStyle w:val="Body1"/>
              <w:numPr>
                <w:ilvl w:val="0"/>
                <w:numId w:val="6"/>
              </w:numPr>
              <w:ind w:hanging="360"/>
              <w:jc w:val="both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Adverse events may be dose related; reduce where indicated.</w:t>
            </w:r>
          </w:p>
          <w:p w14:paraId="2D0E7ED4" w14:textId="77777777" w:rsidR="00AD16D1" w:rsidRDefault="002E2612">
            <w:pPr>
              <w:pStyle w:val="Body1"/>
              <w:numPr>
                <w:ilvl w:val="0"/>
                <w:numId w:val="6"/>
              </w:numPr>
              <w:ind w:hanging="360"/>
              <w:jc w:val="both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Monitor for:</w:t>
            </w:r>
          </w:p>
          <w:p w14:paraId="2D0E7ED5" w14:textId="77777777" w:rsidR="00AD16D1" w:rsidRDefault="002E2612">
            <w:pPr>
              <w:pStyle w:val="Body1"/>
              <w:numPr>
                <w:ilvl w:val="0"/>
                <w:numId w:val="7"/>
              </w:numPr>
              <w:tabs>
                <w:tab w:val="left" w:pos="360"/>
              </w:tabs>
              <w:ind w:left="720" w:hanging="360"/>
              <w:jc w:val="both"/>
              <w:outlineLvl w:val="9"/>
            </w:pPr>
            <w:r>
              <w:rPr>
                <w:rFonts w:ascii="Arial" w:hAnsi="Arial" w:cs="Arial"/>
                <w:position w:val="5"/>
                <w:sz w:val="18"/>
                <w:szCs w:val="18"/>
              </w:rPr>
              <w:t>suicidal ideation/agitation,</w:t>
            </w:r>
          </w:p>
          <w:p w14:paraId="2D0E7ED6" w14:textId="77777777" w:rsidR="00AD16D1" w:rsidRDefault="002E2612">
            <w:pPr>
              <w:pStyle w:val="Body1"/>
              <w:numPr>
                <w:ilvl w:val="0"/>
                <w:numId w:val="7"/>
              </w:numPr>
              <w:tabs>
                <w:tab w:val="left" w:pos="360"/>
              </w:tabs>
              <w:ind w:left="720" w:hanging="360"/>
              <w:jc w:val="both"/>
              <w:outlineLvl w:val="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‘manic switch’ (SSRIs may precipitate mania), and</w:t>
            </w:r>
          </w:p>
          <w:p w14:paraId="2D0E7ED7" w14:textId="77777777" w:rsidR="00AD16D1" w:rsidRDefault="002E2612">
            <w:pPr>
              <w:pStyle w:val="Body1"/>
              <w:numPr>
                <w:ilvl w:val="0"/>
                <w:numId w:val="7"/>
              </w:numPr>
              <w:tabs>
                <w:tab w:val="left" w:pos="360"/>
              </w:tabs>
              <w:ind w:left="720" w:hanging="360"/>
              <w:jc w:val="both"/>
              <w:outlineLvl w:val="9"/>
            </w:pPr>
            <w:r>
              <w:rPr>
                <w:rFonts w:ascii="Arial" w:hAnsi="Arial" w:cs="Arial"/>
                <w:sz w:val="18"/>
                <w:szCs w:val="18"/>
              </w:rPr>
              <w:t xml:space="preserve">serotonin syndrome symptoms (high dosages of SSRIs or the simultaneous use of two SSRIs in cross tapering,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or other serotonergic agents such as ondansetron, tramadol and linezolid).</w:t>
            </w:r>
          </w:p>
        </w:tc>
      </w:tr>
    </w:tbl>
    <w:p w14:paraId="2D0E7ED9" w14:textId="77777777" w:rsidR="00AD16D1" w:rsidRDefault="00AD16D1">
      <w:pPr>
        <w:spacing w:after="0" w:line="240" w:lineRule="auto"/>
      </w:pPr>
    </w:p>
    <w:p w14:paraId="2D0E7EDA" w14:textId="77777777" w:rsidR="00AD16D1" w:rsidRDefault="002E2612">
      <w:pPr>
        <w:pStyle w:val="Heading3"/>
        <w:spacing w:before="0" w:line="240" w:lineRule="auto"/>
      </w:pPr>
      <w:r>
        <w:rPr>
          <w:rFonts w:ascii="Calibri" w:eastAsia="Calibri" w:hAnsi="Calibri" w:cs="Arial"/>
          <w:b/>
          <w:bCs/>
          <w:color w:val="auto"/>
          <w:position w:val="6"/>
          <w:u w:val="single"/>
        </w:rPr>
        <w:t xml:space="preserve">14.3 </w:t>
      </w:r>
      <w:r>
        <w:rPr>
          <w:rFonts w:ascii="Calibri" w:eastAsia="Calibri" w:hAnsi="Calibri" w:cs="Arial"/>
          <w:b/>
          <w:bCs/>
          <w:caps/>
          <w:color w:val="auto"/>
          <w:position w:val="6"/>
          <w:u w:val="single"/>
        </w:rPr>
        <w:t>attention deficit hyperactivity disorder</w:t>
      </w:r>
      <w:r>
        <w:rPr>
          <w:rFonts w:ascii="Calibri" w:eastAsia="Calibri" w:hAnsi="Calibri" w:cs="Arial"/>
          <w:b/>
          <w:bCs/>
          <w:color w:val="auto"/>
          <w:position w:val="6"/>
          <w:u w:val="single"/>
        </w:rPr>
        <w:t xml:space="preserve"> (ADHD)</w:t>
      </w:r>
    </w:p>
    <w:p w14:paraId="2D0E7EDB" w14:textId="77777777" w:rsidR="00AD16D1" w:rsidRDefault="002E2612">
      <w:pPr>
        <w:spacing w:after="0" w:line="240" w:lineRule="auto"/>
      </w:pPr>
      <w:r>
        <w:rPr>
          <w:position w:val="6"/>
          <w:u w:val="single"/>
        </w:rPr>
        <w:t>Methylphenidate modified release tablets</w:t>
      </w:r>
      <w:r>
        <w:rPr>
          <w:position w:val="6"/>
        </w:rPr>
        <w:t xml:space="preserve"> – Added</w:t>
      </w:r>
    </w:p>
    <w:p w14:paraId="2D0E7EDC" w14:textId="77777777" w:rsidR="00AD16D1" w:rsidRDefault="002E2612">
      <w:pPr>
        <w:spacing w:after="0" w:line="240" w:lineRule="auto"/>
        <w:contextualSpacing/>
        <w:jc w:val="both"/>
        <w:textAlignment w:val="auto"/>
      </w:pPr>
      <w:r>
        <w:rPr>
          <w:rFonts w:cs="Calibri"/>
          <w:position w:val="6"/>
          <w:lang w:val="en-US"/>
        </w:rPr>
        <w:t>Historically methylphenidate long-acting or modified-release formulations were not</w:t>
      </w:r>
      <w:r>
        <w:rPr>
          <w:position w:val="6"/>
        </w:rPr>
        <w:t xml:space="preserve"> included on the Essential Medicines List (EML), with the recommendation that they would only be considered if the pricing was similar to immediate-acting methylphenidate (thus always advertised on tender with a reference price of within 15%).</w:t>
      </w:r>
    </w:p>
    <w:p w14:paraId="2D0E7EDD" w14:textId="77777777" w:rsidR="00AD16D1" w:rsidRDefault="00AD16D1">
      <w:pPr>
        <w:spacing w:after="0" w:line="240" w:lineRule="auto"/>
        <w:contextualSpacing/>
        <w:jc w:val="both"/>
        <w:textAlignment w:val="auto"/>
      </w:pPr>
    </w:p>
    <w:p w14:paraId="2D0E7EDE" w14:textId="77777777" w:rsidR="00AD16D1" w:rsidRDefault="002E2612">
      <w:pPr>
        <w:spacing w:after="0" w:line="240" w:lineRule="auto"/>
        <w:contextualSpacing/>
        <w:jc w:val="both"/>
        <w:textAlignment w:val="auto"/>
      </w:pPr>
      <w:r>
        <w:rPr>
          <w:position w:val="6"/>
        </w:rPr>
        <w:t>With the new HP09-2026SD tender</w:t>
      </w:r>
      <w:r>
        <w:rPr>
          <w:rStyle w:val="FootnoteReference"/>
        </w:rPr>
        <w:footnoteReference w:id="1"/>
      </w:r>
      <w:r>
        <w:rPr>
          <w:position w:val="6"/>
        </w:rPr>
        <w:t xml:space="preserve">, methylphenidate modified-release formulation has met the reference price and is now considered EML.  </w:t>
      </w:r>
    </w:p>
    <w:p w14:paraId="2D0E7EDF" w14:textId="77777777" w:rsidR="00AD16D1" w:rsidRDefault="00AD16D1">
      <w:pPr>
        <w:spacing w:after="0" w:line="240" w:lineRule="auto"/>
        <w:contextualSpacing/>
        <w:jc w:val="both"/>
        <w:textAlignment w:val="auto"/>
      </w:pPr>
    </w:p>
    <w:p w14:paraId="2D0E7EE0" w14:textId="77777777" w:rsidR="00AD16D1" w:rsidRDefault="002E2612">
      <w:pPr>
        <w:spacing w:after="0" w:line="240" w:lineRule="auto"/>
        <w:contextualSpacing/>
        <w:jc w:val="both"/>
        <w:textAlignment w:val="auto"/>
      </w:pPr>
      <w:r>
        <w:rPr>
          <w:position w:val="6"/>
        </w:rPr>
        <w:t>This formulation was thus added to the ADHD section, with dosing guidance, as well as conversion guidance from immediate to modified release formulation.</w:t>
      </w:r>
    </w:p>
    <w:p w14:paraId="2D0E7EE1" w14:textId="77777777" w:rsidR="00AD16D1" w:rsidRDefault="00AD16D1">
      <w:pPr>
        <w:spacing w:after="0" w:line="240" w:lineRule="auto"/>
        <w:contextualSpacing/>
        <w:jc w:val="both"/>
        <w:textAlignment w:val="auto"/>
        <w:rPr>
          <w:shd w:val="clear" w:color="auto" w:fill="FFFF00"/>
        </w:rPr>
      </w:pPr>
    </w:p>
    <w:p w14:paraId="2D0E7EE2" w14:textId="77777777" w:rsidR="00AD16D1" w:rsidRDefault="002E2612">
      <w:pPr>
        <w:spacing w:after="0" w:line="240" w:lineRule="auto"/>
        <w:contextualSpacing/>
        <w:jc w:val="both"/>
        <w:textAlignment w:val="auto"/>
      </w:pPr>
      <w:r>
        <w:rPr>
          <w:position w:val="6"/>
        </w:rPr>
        <w:t>The text was updated as follows:</w:t>
      </w:r>
    </w:p>
    <w:tbl>
      <w:tblPr>
        <w:tblW w:w="100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70"/>
      </w:tblGrid>
      <w:tr w:rsidR="00AD16D1" w14:paraId="2D0E7F36" w14:textId="77777777">
        <w:tblPrEx>
          <w:tblCellMar>
            <w:top w:w="0" w:type="dxa"/>
            <w:bottom w:w="0" w:type="dxa"/>
          </w:tblCellMar>
        </w:tblPrEx>
        <w:tc>
          <w:tcPr>
            <w:tcW w:w="10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7EE3" w14:textId="77777777" w:rsidR="00AD16D1" w:rsidRDefault="002E2612">
            <w:pPr>
              <w:pStyle w:val="Body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GENERAL AND SUPPORTIVE MEASURES </w:t>
            </w:r>
          </w:p>
          <w:p w14:paraId="2D0E7EE4" w14:textId="77777777" w:rsidR="00AD16D1" w:rsidRDefault="002E2612">
            <w:pPr>
              <w:spacing w:after="0" w:line="240" w:lineRule="auto"/>
              <w:jc w:val="both"/>
              <w:outlineLvl w:val="0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 xml:space="preserve">Identify and treat co-morbidities such as depressive disorders early, as this may prevent the onset of substance misuse (to ‘self-medicate’) and other risk-taking behaviours </w:t>
            </w:r>
            <w:r>
              <w:rPr>
                <w:rFonts w:ascii="Arial" w:eastAsia="Arial Unicode MS" w:hAnsi="Arial"/>
                <w:color w:val="000000"/>
                <w:sz w:val="18"/>
              </w:rPr>
              <w:t>during adolescence.</w:t>
            </w:r>
          </w:p>
          <w:p w14:paraId="2D0E7EE5" w14:textId="77777777" w:rsidR="00AD16D1" w:rsidRDefault="00AD16D1">
            <w:pPr>
              <w:pStyle w:val="Body1"/>
              <w:ind w:left="360" w:hanging="360"/>
              <w:jc w:val="both"/>
              <w:rPr>
                <w:rFonts w:ascii="Arial" w:hAnsi="Arial" w:cs="Arial"/>
                <w:sz w:val="18"/>
              </w:rPr>
            </w:pPr>
          </w:p>
          <w:p w14:paraId="2D0E7EE6" w14:textId="77777777" w:rsidR="00AD16D1" w:rsidRDefault="002E2612">
            <w:pPr>
              <w:pStyle w:val="Body1"/>
              <w:numPr>
                <w:ilvl w:val="0"/>
                <w:numId w:val="8"/>
              </w:numPr>
              <w:ind w:left="360"/>
              <w:jc w:val="both"/>
              <w:outlineLvl w:val="9"/>
            </w:pPr>
            <w:r>
              <w:rPr>
                <w:rFonts w:ascii="Arial" w:hAnsi="Arial" w:cs="Arial"/>
                <w:position w:val="5"/>
                <w:sz w:val="18"/>
              </w:rPr>
              <w:t>Parent counselling:</w:t>
            </w:r>
          </w:p>
          <w:p w14:paraId="2D0E7EE7" w14:textId="77777777" w:rsidR="00AD16D1" w:rsidRDefault="002E2612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Arial" w:eastAsia="Arial Unicode MS" w:hAnsi="Arial"/>
                <w:color w:val="000000"/>
                <w:position w:val="5"/>
                <w:sz w:val="18"/>
              </w:rPr>
              <w:t>Rules and limit-setting.</w:t>
            </w:r>
          </w:p>
          <w:p w14:paraId="2D0E7EE8" w14:textId="77777777" w:rsidR="00AD16D1" w:rsidRDefault="002E2612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Positive reinforcement of pro-social behaviour.</w:t>
            </w:r>
          </w:p>
          <w:p w14:paraId="2D0E7EE9" w14:textId="77777777" w:rsidR="00AD16D1" w:rsidRDefault="002E2612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Arial" w:eastAsia="Arial Unicode MS" w:hAnsi="Arial"/>
                <w:color w:val="000000"/>
                <w:sz w:val="18"/>
              </w:rPr>
              <w:t>Consistent routine.</w:t>
            </w:r>
          </w:p>
          <w:p w14:paraId="2D0E7EEA" w14:textId="77777777" w:rsidR="00AD16D1" w:rsidRDefault="002E2612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Arial" w:eastAsia="Arial Unicode MS" w:hAnsi="Arial"/>
                <w:color w:val="000000"/>
                <w:sz w:val="18"/>
              </w:rPr>
              <w:t>Restrictive diets and OTC medications are of no proven value.</w:t>
            </w:r>
          </w:p>
          <w:p w14:paraId="2D0E7EEB" w14:textId="77777777" w:rsidR="00AD16D1" w:rsidRDefault="002E2612">
            <w:pPr>
              <w:pStyle w:val="Body1"/>
              <w:numPr>
                <w:ilvl w:val="0"/>
                <w:numId w:val="8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Behaviour-based interventions:</w:t>
            </w:r>
          </w:p>
          <w:p w14:paraId="2D0E7EEC" w14:textId="77777777" w:rsidR="00AD16D1" w:rsidRDefault="002E2612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textAlignment w:val="auto"/>
            </w:pPr>
            <w:r>
              <w:rPr>
                <w:rFonts w:ascii="Arial" w:eastAsia="Arial Unicode MS" w:hAnsi="Arial"/>
                <w:color w:val="000000"/>
                <w:position w:val="5"/>
                <w:sz w:val="18"/>
              </w:rPr>
              <w:t xml:space="preserve">Reward positive </w:t>
            </w:r>
            <w:r>
              <w:rPr>
                <w:rFonts w:ascii="Arial" w:eastAsia="Arial Unicode MS" w:hAnsi="Arial"/>
                <w:color w:val="000000"/>
                <w:position w:val="5"/>
                <w:sz w:val="18"/>
              </w:rPr>
              <w:t>behaviour.</w:t>
            </w:r>
          </w:p>
          <w:p w14:paraId="2D0E7EED" w14:textId="77777777" w:rsidR="00AD16D1" w:rsidRDefault="002E2612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Improve social awareness and adjustment.</w:t>
            </w:r>
          </w:p>
          <w:p w14:paraId="2D0E7EEE" w14:textId="77777777" w:rsidR="00AD16D1" w:rsidRDefault="002E2612">
            <w:pPr>
              <w:pStyle w:val="Body1"/>
              <w:numPr>
                <w:ilvl w:val="0"/>
                <w:numId w:val="8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Social skills groups.</w:t>
            </w:r>
          </w:p>
          <w:p w14:paraId="2D0E7EEF" w14:textId="77777777" w:rsidR="00AD16D1" w:rsidRDefault="002E2612">
            <w:pPr>
              <w:pStyle w:val="Body1"/>
              <w:numPr>
                <w:ilvl w:val="0"/>
                <w:numId w:val="8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Identify learning difficulties and refer to educational support services.</w:t>
            </w:r>
          </w:p>
          <w:p w14:paraId="2D0E7EF0" w14:textId="77777777" w:rsidR="00AD16D1" w:rsidRDefault="002E2612">
            <w:pPr>
              <w:pStyle w:val="Body1"/>
              <w:numPr>
                <w:ilvl w:val="0"/>
                <w:numId w:val="8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Encourage a balanced diet, good nutrition and exercise.</w:t>
            </w:r>
          </w:p>
          <w:p w14:paraId="2D0E7EF1" w14:textId="77777777" w:rsidR="00AD16D1" w:rsidRDefault="00AD16D1">
            <w:pPr>
              <w:spacing w:after="0" w:line="240" w:lineRule="auto"/>
              <w:jc w:val="both"/>
              <w:outlineLvl w:val="0"/>
              <w:rPr>
                <w:rFonts w:ascii="Arial" w:eastAsia="Arial Unicode MS" w:hAnsi="Arial"/>
                <w:color w:val="000000"/>
                <w:sz w:val="18"/>
              </w:rPr>
            </w:pPr>
          </w:p>
          <w:p w14:paraId="2D0E7EF2" w14:textId="77777777" w:rsidR="00AD16D1" w:rsidRDefault="002E2612">
            <w:pPr>
              <w:pStyle w:val="Body1"/>
              <w:jc w:val="both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lang w:val="en-US"/>
              </w:rPr>
              <w:t>MEDICATION TREATMENT</w:t>
            </w:r>
          </w:p>
          <w:p w14:paraId="2D0E7EF3" w14:textId="77777777" w:rsidR="00AD16D1" w:rsidRDefault="002E2612">
            <w:pPr>
              <w:pStyle w:val="Body1"/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For children under the age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of six years:</w:t>
            </w:r>
          </w:p>
          <w:p w14:paraId="2D0E7EF4" w14:textId="77777777" w:rsidR="00AD16D1" w:rsidRDefault="002E2612">
            <w:pPr>
              <w:spacing w:after="0" w:line="240" w:lineRule="auto"/>
              <w:jc w:val="both"/>
              <w:outlineLvl w:val="0"/>
            </w:pPr>
            <w:r>
              <w:rPr>
                <w:rFonts w:ascii="Arial" w:eastAsia="Arial Unicode MS" w:hAnsi="Arial"/>
                <w:color w:val="000000"/>
                <w:sz w:val="18"/>
              </w:rPr>
              <w:t xml:space="preserve">Refer for diagnostic assessment by a </w:t>
            </w:r>
            <w:r>
              <w:rPr>
                <w:rFonts w:ascii="Arial" w:eastAsia="Arial Unicode MS" w:hAnsi="Arial"/>
                <w:strike/>
                <w:color w:val="000000"/>
                <w:sz w:val="18"/>
              </w:rPr>
              <w:t xml:space="preserve">child and adolescent </w:t>
            </w:r>
            <w:r>
              <w:rPr>
                <w:rFonts w:ascii="Arial" w:eastAsia="Arial Unicode MS" w:hAnsi="Arial"/>
                <w:color w:val="000000"/>
                <w:sz w:val="18"/>
              </w:rPr>
              <w:t>psychiatrist or paediatrician.</w:t>
            </w:r>
          </w:p>
          <w:p w14:paraId="2D0E7EF5" w14:textId="77777777" w:rsidR="00AD16D1" w:rsidRDefault="00AD16D1">
            <w:pPr>
              <w:spacing w:after="0" w:line="240" w:lineRule="auto"/>
              <w:ind w:left="113" w:hanging="113"/>
              <w:jc w:val="both"/>
              <w:outlineLvl w:val="0"/>
              <w:rPr>
                <w:rFonts w:ascii="Arial" w:eastAsia="Arial Unicode MS" w:hAnsi="Arial"/>
                <w:color w:val="000000"/>
                <w:sz w:val="18"/>
              </w:rPr>
            </w:pPr>
          </w:p>
          <w:p w14:paraId="2D0E7EF6" w14:textId="77777777" w:rsidR="00AD16D1" w:rsidRDefault="002E2612">
            <w:pPr>
              <w:pStyle w:val="Body1"/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For children over the age of six years:</w:t>
            </w:r>
          </w:p>
          <w:p w14:paraId="2D0E7EF7" w14:textId="77777777" w:rsidR="00AD16D1" w:rsidRDefault="002E2612">
            <w:pPr>
              <w:pStyle w:val="Body1"/>
              <w:numPr>
                <w:ilvl w:val="0"/>
                <w:numId w:val="11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Initiate treatment using the short-acting methylphenidate formulation until effective dosage achieved. </w:t>
            </w:r>
          </w:p>
          <w:p w14:paraId="2D0E7EF8" w14:textId="77777777" w:rsidR="00AD16D1" w:rsidRDefault="002E2612">
            <w:pPr>
              <w:pStyle w:val="Body1"/>
              <w:numPr>
                <w:ilvl w:val="0"/>
                <w:numId w:val="11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Conversion to long-acting methylphenidate formulations can be considered where multiple daily dosing is impractical, or adherence is problematic.  Conversion is on a dose equivalence basis.</w:t>
            </w:r>
          </w:p>
          <w:p w14:paraId="2D0E7EF9" w14:textId="77777777" w:rsidR="00AD16D1" w:rsidRDefault="002E2612">
            <w:pPr>
              <w:pStyle w:val="Body1"/>
              <w:numPr>
                <w:ilvl w:val="0"/>
                <w:numId w:val="11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Reduce the dose or withdraw methylphenidate if a paradoxical increase in symptoms occurs.</w:t>
            </w:r>
          </w:p>
          <w:p w14:paraId="2D0E7EFA" w14:textId="77777777" w:rsidR="00AD16D1" w:rsidRDefault="002E2612">
            <w:pPr>
              <w:pStyle w:val="Body1"/>
              <w:numPr>
                <w:ilvl w:val="0"/>
                <w:numId w:val="11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lastRenderedPageBreak/>
              <w:t>The first dose of the day should be taken after breakfast as methylphenidate reduces appetite.</w:t>
            </w:r>
          </w:p>
          <w:p w14:paraId="2D0E7EFB" w14:textId="77777777" w:rsidR="00AD16D1" w:rsidRDefault="002E2612">
            <w:pPr>
              <w:pStyle w:val="Body1"/>
              <w:numPr>
                <w:ilvl w:val="0"/>
                <w:numId w:val="11"/>
              </w:numPr>
              <w:ind w:left="360"/>
              <w:jc w:val="both"/>
              <w:outlineLvl w:val="9"/>
            </w:pPr>
            <w:r>
              <w:rPr>
                <w:rFonts w:ascii="Arial" w:hAnsi="Arial" w:cs="Arial"/>
                <w:sz w:val="18"/>
                <w:u w:val="single"/>
              </w:rPr>
              <w:t xml:space="preserve">Monitor symptom response using an ADHD rating scale (e.g., the parent and teacher rated Vanderbilt assessment scale available at </w:t>
            </w:r>
            <w:hyperlink r:id="rId9" w:history="1">
              <w:r>
                <w:rPr>
                  <w:rStyle w:val="Hyperlink"/>
                  <w:rFonts w:ascii="Arial" w:hAnsi="Arial" w:cs="Arial"/>
                  <w:sz w:val="18"/>
                </w:rPr>
                <w:t>https://nichq.org/wp-content/uploads/2024/09/NICHQ-Vanderbilt-Assessment-Scales.pdf</w:t>
              </w:r>
            </w:hyperlink>
            <w:r>
              <w:rPr>
                <w:rFonts w:ascii="Arial" w:hAnsi="Arial" w:cs="Arial"/>
                <w:sz w:val="18"/>
                <w:u w:val="single"/>
              </w:rPr>
              <w:t>)</w:t>
            </w:r>
          </w:p>
          <w:p w14:paraId="2D0E7EFC" w14:textId="77777777" w:rsidR="00AD16D1" w:rsidRDefault="002E2612">
            <w:pPr>
              <w:pStyle w:val="Body1"/>
              <w:numPr>
                <w:ilvl w:val="0"/>
                <w:numId w:val="11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Monitor BP, pulse, height and weight (using a growth chart) before and after each dose adjustment, monthly for the first 2 months, 3-monthly for the first year and 6-monthly thereafter. </w:t>
            </w:r>
          </w:p>
          <w:p w14:paraId="2D0E7EFD" w14:textId="77777777" w:rsidR="00AD16D1" w:rsidRDefault="00AD16D1">
            <w:pPr>
              <w:pStyle w:val="Body1"/>
              <w:jc w:val="both"/>
              <w:rPr>
                <w:rFonts w:ascii="Arial" w:hAnsi="Arial" w:cs="Arial"/>
                <w:sz w:val="18"/>
              </w:rPr>
            </w:pPr>
          </w:p>
          <w:p w14:paraId="2D0E7EFE" w14:textId="77777777" w:rsidR="00AD16D1" w:rsidRDefault="002E2612">
            <w:pPr>
              <w:pStyle w:val="Body1"/>
              <w:numPr>
                <w:ilvl w:val="0"/>
                <w:numId w:val="12"/>
              </w:numPr>
              <w:ind w:left="360"/>
              <w:jc w:val="both"/>
              <w:outlineLvl w:val="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Methylphenidate, short-acting, oral, 1 mg/kg/day.</w:t>
            </w:r>
          </w:p>
          <w:p w14:paraId="2D0E7EFF" w14:textId="77777777" w:rsidR="00AD16D1" w:rsidRDefault="002E2612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ind w:left="72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 xml:space="preserve">Initial dose: 5 mg, 2–3 times daily, at breakfast, </w:t>
            </w:r>
            <w:r>
              <w:rPr>
                <w:rFonts w:ascii="Arial" w:eastAsia="Arial Unicode MS" w:hAnsi="Arial"/>
                <w:color w:val="000000"/>
                <w:sz w:val="18"/>
              </w:rPr>
              <w:t>lunch and no later than 14h30 (approximately every 3 to 3½ hours).</w:t>
            </w:r>
          </w:p>
          <w:p w14:paraId="2D0E7F00" w14:textId="77777777" w:rsidR="00AD16D1" w:rsidRDefault="002E2612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ind w:left="72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Increase the dose at weekly intervals by 5–10 mg until symptoms are controlled. Use the lowest effective dose.</w:t>
            </w:r>
          </w:p>
          <w:p w14:paraId="2D0E7F01" w14:textId="77777777" w:rsidR="00AD16D1" w:rsidRDefault="002E2612">
            <w:pPr>
              <w:numPr>
                <w:ilvl w:val="1"/>
                <w:numId w:val="8"/>
              </w:numPr>
              <w:suppressAutoHyphens w:val="0"/>
              <w:spacing w:after="0" w:line="240" w:lineRule="auto"/>
              <w:ind w:left="720"/>
              <w:jc w:val="both"/>
              <w:textAlignment w:val="auto"/>
            </w:pPr>
            <w:r>
              <w:rPr>
                <w:rFonts w:ascii="Arial" w:eastAsia="Arial Unicode MS" w:hAnsi="Arial"/>
                <w:color w:val="000000"/>
                <w:sz w:val="18"/>
              </w:rPr>
              <w:t xml:space="preserve">Recommended maximum daily dose: </w:t>
            </w:r>
            <w:r>
              <w:rPr>
                <w:rFonts w:ascii="Arial" w:eastAsia="Arial Unicode MS" w:hAnsi="Arial"/>
                <w:color w:val="000000"/>
                <w:sz w:val="18"/>
                <w:u w:val="single"/>
              </w:rPr>
              <w:t>2 mg/kg/day up</w:t>
            </w:r>
            <w:r>
              <w:rPr>
                <w:rFonts w:ascii="Arial" w:eastAsia="Arial Unicode MS" w:hAnsi="Arial"/>
                <w:color w:val="000000"/>
                <w:sz w:val="18"/>
              </w:rPr>
              <w:t xml:space="preserve"> to 60 </w:t>
            </w:r>
            <w:r>
              <w:rPr>
                <w:rFonts w:ascii="Arial" w:eastAsia="Arial Unicode MS" w:hAnsi="Arial"/>
                <w:color w:val="000000"/>
                <w:sz w:val="18"/>
                <w:u w:val="single"/>
              </w:rPr>
              <w:t>mg a day</w:t>
            </w:r>
            <w:r>
              <w:rPr>
                <w:rFonts w:ascii="Arial" w:eastAsia="Arial Unicode MS" w:hAnsi="Arial"/>
                <w:color w:val="000000"/>
                <w:sz w:val="18"/>
              </w:rPr>
              <w:t xml:space="preserve"> (adult </w:t>
            </w:r>
            <w:r>
              <w:rPr>
                <w:rFonts w:ascii="Arial" w:eastAsia="Arial Unicode MS" w:hAnsi="Arial"/>
                <w:color w:val="000000"/>
                <w:sz w:val="18"/>
              </w:rPr>
              <w:t>dose)</w:t>
            </w:r>
            <w:r>
              <w:rPr>
                <w:rFonts w:ascii="Arial" w:eastAsia="Arial Unicode MS" w:hAnsi="Arial"/>
                <w:strike/>
                <w:color w:val="000000"/>
                <w:sz w:val="18"/>
              </w:rPr>
              <w:t>/maximum of 2 mg/kg/day</w:t>
            </w:r>
            <w:r>
              <w:rPr>
                <w:rFonts w:ascii="Arial" w:eastAsia="Arial Unicode MS" w:hAnsi="Arial"/>
                <w:color w:val="000000"/>
                <w:sz w:val="18"/>
              </w:rPr>
              <w:t>. Any dose greater than 60 mg/day should be prescribed by a child psychiatrist or paediatrician.</w:t>
            </w:r>
          </w:p>
          <w:tbl>
            <w:tblPr>
              <w:tblW w:w="710" w:type="dxa"/>
              <w:tblInd w:w="539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"/>
            </w:tblGrid>
            <w:tr w:rsidR="00AD16D1" w14:paraId="2D0E7F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10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2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</w:pPr>
                  <w:proofErr w:type="spellStart"/>
                  <w:r>
                    <w:rPr>
                      <w:rFonts w:ascii="Arial" w:eastAsia="Arial Unicode MS" w:hAnsi="Arial"/>
                      <w:i/>
                      <w:color w:val="000000"/>
                      <w:sz w:val="14"/>
                    </w:rPr>
                    <w:t>LoE</w:t>
                  </w:r>
                  <w:proofErr w:type="spellEnd"/>
                  <w:r>
                    <w:rPr>
                      <w:rFonts w:ascii="Arial" w:eastAsia="Arial Unicode MS" w:hAnsi="Arial"/>
                      <w:i/>
                      <w:color w:val="000000"/>
                      <w:sz w:val="14"/>
                    </w:rPr>
                    <w:t xml:space="preserve"> III</w:t>
                  </w:r>
                  <w:r>
                    <w:rPr>
                      <w:rStyle w:val="EndnoteReference"/>
                      <w:rFonts w:ascii="Arial" w:eastAsia="Arial Unicode MS" w:hAnsi="Arial"/>
                      <w:i/>
                      <w:color w:val="000000"/>
                      <w:sz w:val="14"/>
                    </w:rPr>
                    <w:endnoteReference w:id="1"/>
                  </w:r>
                </w:p>
              </w:tc>
            </w:tr>
          </w:tbl>
          <w:p w14:paraId="2D0E7F04" w14:textId="77777777" w:rsidR="00AD16D1" w:rsidRDefault="002E2612">
            <w:pPr>
              <w:pStyle w:val="ListParagraph"/>
              <w:numPr>
                <w:ilvl w:val="0"/>
                <w:numId w:val="13"/>
              </w:numPr>
              <w:suppressAutoHyphens w:val="0"/>
              <w:spacing w:after="0" w:line="240" w:lineRule="auto"/>
              <w:ind w:left="360"/>
              <w:contextualSpacing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  <w:u w:val="single"/>
              </w:rPr>
            </w:pPr>
            <w:r>
              <w:rPr>
                <w:rFonts w:ascii="Arial" w:eastAsia="Arial Unicode MS" w:hAnsi="Arial"/>
                <w:color w:val="000000"/>
                <w:sz w:val="18"/>
                <w:u w:val="single"/>
              </w:rPr>
              <w:t>Methylphenidate, modified-release, oral:</w:t>
            </w:r>
          </w:p>
          <w:p w14:paraId="2D0E7F05" w14:textId="77777777" w:rsidR="00AD16D1" w:rsidRDefault="002E2612">
            <w:pPr>
              <w:pStyle w:val="ListParagraph"/>
              <w:numPr>
                <w:ilvl w:val="1"/>
                <w:numId w:val="13"/>
              </w:numPr>
              <w:suppressAutoHyphens w:val="0"/>
              <w:spacing w:after="0" w:line="240" w:lineRule="auto"/>
              <w:ind w:left="720"/>
              <w:contextualSpacing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  <w:u w:val="single"/>
              </w:rPr>
            </w:pPr>
            <w:r>
              <w:rPr>
                <w:rFonts w:ascii="Arial" w:eastAsia="Arial Unicode MS" w:hAnsi="Arial"/>
                <w:color w:val="000000"/>
                <w:sz w:val="18"/>
                <w:u w:val="single"/>
              </w:rPr>
              <w:t>Once titration to effective daily dosage achieved, convert on a dose equivalent basis to modified-release formulation, i.e.</w:t>
            </w:r>
          </w:p>
          <w:tbl>
            <w:tblPr>
              <w:tblW w:w="5385" w:type="dxa"/>
              <w:tblInd w:w="720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15"/>
              <w:gridCol w:w="2870"/>
            </w:tblGrid>
            <w:tr w:rsidR="00AD16D1" w14:paraId="2D0E7F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6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b/>
                      <w:bCs/>
                      <w:color w:val="000000"/>
                      <w:sz w:val="16"/>
                      <w:u w:val="single"/>
                    </w:rPr>
                  </w:pPr>
                  <w:r>
                    <w:rPr>
                      <w:rFonts w:ascii="Arial" w:eastAsia="Arial Unicode MS" w:hAnsi="Arial"/>
                      <w:b/>
                      <w:bCs/>
                      <w:color w:val="000000"/>
                      <w:sz w:val="16"/>
                      <w:u w:val="single"/>
                    </w:rPr>
                    <w:t xml:space="preserve">Short-acting </w:t>
                  </w:r>
                  <w:r>
                    <w:rPr>
                      <w:rFonts w:ascii="Arial" w:eastAsia="Arial Unicode MS" w:hAnsi="Arial"/>
                      <w:b/>
                      <w:bCs/>
                      <w:color w:val="000000"/>
                      <w:sz w:val="16"/>
                      <w:u w:val="single"/>
                    </w:rPr>
                    <w:t>formulation dose</w:t>
                  </w:r>
                </w:p>
              </w:tc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7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b/>
                      <w:bCs/>
                      <w:color w:val="000000"/>
                      <w:sz w:val="16"/>
                      <w:u w:val="single"/>
                    </w:rPr>
                  </w:pPr>
                  <w:r>
                    <w:rPr>
                      <w:rFonts w:ascii="Arial" w:eastAsia="Arial Unicode MS" w:hAnsi="Arial"/>
                      <w:b/>
                      <w:bCs/>
                      <w:color w:val="000000"/>
                      <w:sz w:val="16"/>
                      <w:u w:val="single"/>
                    </w:rPr>
                    <w:t>Modified-release formulation dose</w:t>
                  </w:r>
                </w:p>
              </w:tc>
            </w:tr>
            <w:tr w:rsidR="00AD16D1" w14:paraId="2D0E7F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9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</w:pPr>
                  <w:r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  <w:t>15 - 20 mg total daily dose</w:t>
                  </w:r>
                </w:p>
              </w:tc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A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</w:pPr>
                  <w:r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  <w:t>18 mg once daily</w:t>
                  </w:r>
                </w:p>
              </w:tc>
            </w:tr>
            <w:tr w:rsidR="00AD16D1" w14:paraId="2D0E7F0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C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</w:pPr>
                  <w:r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  <w:t>30 mg total daily dose</w:t>
                  </w:r>
                </w:p>
              </w:tc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D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</w:pPr>
                  <w:r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  <w:t>27 mg once daily</w:t>
                  </w:r>
                </w:p>
              </w:tc>
            </w:tr>
            <w:tr w:rsidR="00AD16D1" w14:paraId="2D0E7F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0F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</w:pPr>
                  <w:r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  <w:t>40 - 45 mg total daily dose</w:t>
                  </w:r>
                </w:p>
              </w:tc>
              <w:tc>
                <w:tcPr>
                  <w:tcW w:w="28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10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</w:pPr>
                  <w:r>
                    <w:rPr>
                      <w:rFonts w:ascii="Arial" w:eastAsia="Arial Unicode MS" w:hAnsi="Arial"/>
                      <w:color w:val="000000"/>
                      <w:sz w:val="18"/>
                      <w:u w:val="single"/>
                    </w:rPr>
                    <w:t>36 mg once daily</w:t>
                  </w:r>
                </w:p>
              </w:tc>
            </w:tr>
          </w:tbl>
          <w:p w14:paraId="2D0E7F12" w14:textId="77777777" w:rsidR="00AD16D1" w:rsidRDefault="00AD16D1">
            <w:pPr>
              <w:spacing w:after="0" w:line="240" w:lineRule="auto"/>
              <w:rPr>
                <w:sz w:val="2"/>
                <w:szCs w:val="2"/>
              </w:rPr>
            </w:pPr>
          </w:p>
          <w:tbl>
            <w:tblPr>
              <w:tblW w:w="5425" w:type="dxa"/>
              <w:tblInd w:w="725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65"/>
              <w:gridCol w:w="820"/>
              <w:gridCol w:w="40"/>
            </w:tblGrid>
            <w:tr w:rsidR="00AD16D1" w14:paraId="2D0E7F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0"/>
              </w:trPr>
              <w:tc>
                <w:tcPr>
                  <w:tcW w:w="4565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0E7F13" w14:textId="77777777" w:rsidR="00AD16D1" w:rsidRDefault="002E2612">
                  <w:pPr>
                    <w:spacing w:after="0" w:line="240" w:lineRule="auto"/>
                    <w:jc w:val="both"/>
                    <w:textAlignment w:val="auto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                                                  </w:t>
                  </w:r>
                </w:p>
              </w:tc>
              <w:tc>
                <w:tcPr>
                  <w:tcW w:w="820" w:type="dxa"/>
                  <w:tcBorders>
                    <w:top w:val="double" w:sz="4" w:space="0" w:color="000000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E7F14" w14:textId="77777777" w:rsidR="00AD16D1" w:rsidRDefault="002E2612">
                  <w:pPr>
                    <w:spacing w:after="0" w:line="240" w:lineRule="auto"/>
                    <w:jc w:val="center"/>
                    <w:textAlignment w:val="auto"/>
                    <w:outlineLvl w:val="0"/>
                  </w:pPr>
                  <w:proofErr w:type="spellStart"/>
                  <w:r>
                    <w:rPr>
                      <w:rFonts w:ascii="Arial" w:eastAsia="Arial Unicode MS" w:hAnsi="Arial"/>
                      <w:i/>
                      <w:color w:val="000000"/>
                      <w:sz w:val="14"/>
                    </w:rPr>
                    <w:t>LoE</w:t>
                  </w:r>
                  <w:proofErr w:type="spellEnd"/>
                  <w:r>
                    <w:rPr>
                      <w:rFonts w:ascii="Arial" w:eastAsia="Arial Unicode MS" w:hAnsi="Arial"/>
                      <w:i/>
                      <w:color w:val="000000"/>
                      <w:sz w:val="14"/>
                    </w:rPr>
                    <w:t xml:space="preserve"> III</w:t>
                  </w:r>
                  <w:r>
                    <w:rPr>
                      <w:rFonts w:ascii="Arial" w:hAnsi="Arial"/>
                      <w:sz w:val="14"/>
                      <w:szCs w:val="14"/>
                      <w:vertAlign w:val="superscript"/>
                    </w:rPr>
                    <w:endnoteReference w:id="2"/>
                  </w:r>
                </w:p>
              </w:tc>
              <w:tc>
                <w:tcPr>
                  <w:tcW w:w="4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0E7F15" w14:textId="77777777" w:rsidR="00AD16D1" w:rsidRDefault="00AD16D1">
                  <w:pPr>
                    <w:spacing w:after="0" w:line="240" w:lineRule="auto"/>
                    <w:jc w:val="both"/>
                    <w:textAlignment w:val="auto"/>
                  </w:pPr>
                </w:p>
              </w:tc>
            </w:tr>
          </w:tbl>
          <w:p w14:paraId="2D0E7F17" w14:textId="77777777" w:rsidR="00AD16D1" w:rsidRDefault="002E2612">
            <w:pPr>
              <w:spacing w:after="0" w:line="240" w:lineRule="auto"/>
              <w:jc w:val="both"/>
              <w:outlineLvl w:val="0"/>
              <w:rPr>
                <w:rFonts w:ascii="Arial" w:eastAsia="Arial Unicode MS" w:hAnsi="Arial"/>
                <w:b/>
                <w:color w:val="000000"/>
                <w:sz w:val="18"/>
              </w:rPr>
            </w:pPr>
            <w:r>
              <w:rPr>
                <w:rFonts w:ascii="Arial" w:eastAsia="Arial Unicode MS" w:hAnsi="Arial"/>
                <w:b/>
                <w:color w:val="000000"/>
                <w:sz w:val="18"/>
              </w:rPr>
              <w:t xml:space="preserve">Contraindications to </w:t>
            </w:r>
            <w:r>
              <w:rPr>
                <w:rFonts w:ascii="Arial" w:eastAsia="Arial Unicode MS" w:hAnsi="Arial"/>
                <w:b/>
                <w:color w:val="000000"/>
                <w:sz w:val="18"/>
              </w:rPr>
              <w:t>methylphenidate</w:t>
            </w:r>
          </w:p>
          <w:p w14:paraId="2D0E7F18" w14:textId="77777777" w:rsidR="00AD16D1" w:rsidRDefault="002E2612">
            <w:pPr>
              <w:pStyle w:val="Body1"/>
              <w:jc w:val="both"/>
            </w:pPr>
            <w:r>
              <w:rPr>
                <w:rFonts w:ascii="Arial" w:hAnsi="Arial" w:cs="Arial"/>
                <w:sz w:val="18"/>
              </w:rPr>
              <w:t>Absolute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2D0E7F19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Hyperthyroidism</w:t>
            </w:r>
          </w:p>
          <w:p w14:paraId="2D0E7F1A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Glaucoma</w:t>
            </w:r>
          </w:p>
          <w:p w14:paraId="2D0E7F1B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Concomitant mono-amine oxidase inhibitor therapy.</w:t>
            </w:r>
          </w:p>
          <w:p w14:paraId="2D0E7F1C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There is no absolute contraindication to the concomitant use of methylphenidate with antiepileptic drugs (AEDs) or antiretroviral therapy (ART). </w:t>
            </w:r>
            <w:r>
              <w:rPr>
                <w:rFonts w:cs="Arial"/>
                <w:sz w:val="18"/>
                <w:szCs w:val="18"/>
              </w:rPr>
              <w:t>However, exercise caution with the prescribed dosages, be aware of potential drug-drug interactions and monitor for adverse effects.</w:t>
            </w:r>
          </w:p>
          <w:p w14:paraId="2D0E7F1D" w14:textId="77777777" w:rsidR="00AD16D1" w:rsidRDefault="002E2612">
            <w:pPr>
              <w:pStyle w:val="Body1"/>
              <w:jc w:val="both"/>
            </w:pPr>
            <w:r>
              <w:rPr>
                <w:rFonts w:ascii="Arial" w:hAnsi="Arial" w:cs="Arial"/>
                <w:sz w:val="18"/>
              </w:rPr>
              <w:t>Relative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2D0E7F1E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Hypertension</w:t>
            </w:r>
          </w:p>
          <w:p w14:paraId="2D0E7F1F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Cardiac abnormality – needs ECG and cardiology assessment.</w:t>
            </w:r>
          </w:p>
          <w:p w14:paraId="2D0E7F20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Anxiety</w:t>
            </w:r>
          </w:p>
          <w:p w14:paraId="2D0E7F21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Agitation</w:t>
            </w:r>
          </w:p>
          <w:p w14:paraId="2D0E7F22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Epilepsy</w:t>
            </w:r>
          </w:p>
          <w:p w14:paraId="2D0E7F23" w14:textId="77777777" w:rsidR="00AD16D1" w:rsidRDefault="002E2612">
            <w:pPr>
              <w:pStyle w:val="ep4"/>
              <w:numPr>
                <w:ilvl w:val="0"/>
                <w:numId w:val="14"/>
              </w:numPr>
              <w:suppressAutoHyphens w:val="0"/>
              <w:jc w:val="both"/>
              <w:textAlignment w:val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Tics</w:t>
            </w:r>
          </w:p>
          <w:p w14:paraId="2D0E7F24" w14:textId="77777777" w:rsidR="00AD16D1" w:rsidRDefault="00AD16D1">
            <w:pPr>
              <w:pStyle w:val="Body1"/>
              <w:jc w:val="both"/>
              <w:rPr>
                <w:rFonts w:ascii="Arial" w:hAnsi="Arial" w:cs="Arial"/>
                <w:color w:val="5F497A"/>
                <w:sz w:val="18"/>
              </w:rPr>
            </w:pPr>
          </w:p>
          <w:p w14:paraId="2D0E7F25" w14:textId="77777777" w:rsidR="00AD16D1" w:rsidRDefault="002E2612">
            <w:pPr>
              <w:pStyle w:val="Body1"/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Discontinuation of treatment</w:t>
            </w:r>
          </w:p>
          <w:p w14:paraId="2D0E7F26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If no objective improvement of symptoms has been observed, e.g. using an ADHD rating scale, after appropriate dosage adjustments over a two-month period, discontinue treatment and refer to a specialist.</w:t>
            </w:r>
          </w:p>
          <w:p w14:paraId="2D0E7F27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  <w:u w:val="single"/>
              </w:rPr>
            </w:pPr>
            <w:r>
              <w:rPr>
                <w:rFonts w:ascii="Arial" w:eastAsia="Arial Unicode MS" w:hAnsi="Arial"/>
                <w:color w:val="000000"/>
                <w:sz w:val="18"/>
                <w:u w:val="single"/>
              </w:rPr>
              <w:t>Treatment can be withdrawn abruptly, with no need to taper dosages.</w:t>
            </w:r>
          </w:p>
          <w:p w14:paraId="2D0E7F28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To establish whether on-going treatment is indicated in a child on long-term stimulant therapy, trial periods off treatment should be part of the management plan.</w:t>
            </w:r>
          </w:p>
          <w:p w14:paraId="2D0E7F29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Indications for a trial off treatment:</w:t>
            </w:r>
          </w:p>
          <w:p w14:paraId="2D0E7F2A" w14:textId="77777777" w:rsidR="00AD16D1" w:rsidRDefault="002E2612">
            <w:pPr>
              <w:pStyle w:val="Body1"/>
              <w:numPr>
                <w:ilvl w:val="0"/>
                <w:numId w:val="15"/>
              </w:numPr>
              <w:jc w:val="both"/>
              <w:outlineLvl w:val="9"/>
              <w:rPr>
                <w:rFonts w:ascii="Arial" w:hAnsi="Arial" w:cs="Arial"/>
                <w:sz w:val="18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24"/>
                <w:lang w:val="en-US" w:eastAsia="en-US"/>
              </w:rPr>
              <w:t xml:space="preserve">treatment </w:t>
            </w:r>
            <w:r>
              <w:rPr>
                <w:rFonts w:ascii="Arial" w:hAnsi="Arial" w:cs="Arial"/>
                <w:sz w:val="18"/>
                <w:szCs w:val="24"/>
                <w:lang w:val="en-US" w:eastAsia="en-US"/>
              </w:rPr>
              <w:t>duration in excess of 2–3 years,</w:t>
            </w:r>
          </w:p>
          <w:p w14:paraId="2D0E7F2B" w14:textId="77777777" w:rsidR="00AD16D1" w:rsidRDefault="002E2612">
            <w:pPr>
              <w:pStyle w:val="Body1"/>
              <w:numPr>
                <w:ilvl w:val="0"/>
                <w:numId w:val="15"/>
              </w:numPr>
              <w:jc w:val="both"/>
              <w:outlineLvl w:val="9"/>
              <w:rPr>
                <w:rFonts w:ascii="Arial" w:hAnsi="Arial" w:cs="Arial"/>
                <w:sz w:val="18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24"/>
                <w:lang w:val="en-US" w:eastAsia="en-US"/>
              </w:rPr>
              <w:t>adolescent age (particularly late adolescence), and</w:t>
            </w:r>
          </w:p>
          <w:p w14:paraId="2D0E7F2C" w14:textId="77777777" w:rsidR="00AD16D1" w:rsidRDefault="002E2612">
            <w:pPr>
              <w:pStyle w:val="Body1"/>
              <w:numPr>
                <w:ilvl w:val="0"/>
                <w:numId w:val="15"/>
              </w:numPr>
              <w:jc w:val="both"/>
              <w:outlineLvl w:val="9"/>
              <w:rPr>
                <w:rFonts w:ascii="Arial" w:hAnsi="Arial" w:cs="Arial"/>
                <w:sz w:val="18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24"/>
                <w:lang w:val="en-US" w:eastAsia="en-US"/>
              </w:rPr>
              <w:t>a substantial reduction in core ADHD symptoms, evident in more than one setting.</w:t>
            </w:r>
          </w:p>
          <w:p w14:paraId="2D0E7F2D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Trials off treatment should be planned at times least disruptive to the child’s academic and social functioning, i.e. time the treatment withdrawal outside of major commitments such as examinations.</w:t>
            </w:r>
          </w:p>
          <w:p w14:paraId="2D0E7F2E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Duration of treatment withdrawal can be for one week to a month, depending on whether stability is maintained.</w:t>
            </w:r>
          </w:p>
          <w:p w14:paraId="2D0E7F2F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</w:pPr>
            <w:r>
              <w:rPr>
                <w:rFonts w:ascii="Arial" w:eastAsia="Arial Unicode MS" w:hAnsi="Arial"/>
                <w:strike/>
                <w:color w:val="000000"/>
                <w:sz w:val="18"/>
              </w:rPr>
              <w:t xml:space="preserve">Treatment can be withdrawn </w:t>
            </w:r>
            <w:r>
              <w:rPr>
                <w:rFonts w:ascii="Arial" w:eastAsia="Arial Unicode MS" w:hAnsi="Arial"/>
                <w:strike/>
                <w:color w:val="000000"/>
                <w:sz w:val="18"/>
              </w:rPr>
              <w:t>abruptly, with no need to taper dosages.</w:t>
            </w:r>
          </w:p>
          <w:p w14:paraId="2D0E7F30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Obtain feedback from teachers and parents (verbal feedback, completion of parent and teacher ADHD rating scales), before and during the trial off treatment.</w:t>
            </w:r>
          </w:p>
          <w:p w14:paraId="2D0E7F31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</w:pPr>
            <w:r>
              <w:rPr>
                <w:rFonts w:ascii="Arial" w:eastAsia="Arial Unicode MS" w:hAnsi="Arial"/>
                <w:strike/>
                <w:color w:val="000000"/>
                <w:sz w:val="18"/>
              </w:rPr>
              <w:t>Monitor 3 monthly for one year.</w:t>
            </w:r>
          </w:p>
          <w:p w14:paraId="2D0E7F32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Assess the child and document the mental state (symptoms of ADHD), before and during the trial off treatment.</w:t>
            </w:r>
          </w:p>
          <w:p w14:paraId="2D0E7F33" w14:textId="77777777" w:rsidR="00AD16D1" w:rsidRDefault="002E2612">
            <w:pPr>
              <w:numPr>
                <w:ilvl w:val="0"/>
                <w:numId w:val="5"/>
              </w:numPr>
              <w:tabs>
                <w:tab w:val="left" w:pos="480"/>
              </w:tabs>
              <w:suppressAutoHyphens w:val="0"/>
              <w:spacing w:after="0" w:line="240" w:lineRule="auto"/>
              <w:ind w:left="360" w:hanging="360"/>
              <w:jc w:val="both"/>
              <w:textAlignment w:val="auto"/>
              <w:rPr>
                <w:rFonts w:ascii="Arial" w:eastAsia="Arial Unicode MS" w:hAnsi="Arial"/>
                <w:color w:val="000000"/>
                <w:sz w:val="18"/>
              </w:rPr>
            </w:pPr>
            <w:r>
              <w:rPr>
                <w:rFonts w:ascii="Arial" w:eastAsia="Arial Unicode MS" w:hAnsi="Arial"/>
                <w:color w:val="000000"/>
                <w:sz w:val="18"/>
              </w:rPr>
              <w:t>Re-initiate treatment (at last dosage prescribed), if:</w:t>
            </w:r>
          </w:p>
          <w:p w14:paraId="2D0E7F34" w14:textId="77777777" w:rsidR="00AD16D1" w:rsidRDefault="002E2612">
            <w:pPr>
              <w:pStyle w:val="Body1"/>
              <w:numPr>
                <w:ilvl w:val="0"/>
                <w:numId w:val="16"/>
              </w:numPr>
              <w:jc w:val="both"/>
              <w:outlineLvl w:val="9"/>
              <w:rPr>
                <w:rFonts w:ascii="Arial" w:hAnsi="Arial" w:cs="Arial"/>
                <w:sz w:val="18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24"/>
                <w:lang w:val="en-US" w:eastAsia="en-US"/>
              </w:rPr>
              <w:t>there is a significant re-emergence of symptoms after one week off treatment and/or during the month off medication, or</w:t>
            </w:r>
          </w:p>
          <w:p w14:paraId="2D0E7F35" w14:textId="77777777" w:rsidR="00AD16D1" w:rsidRDefault="002E2612">
            <w:pPr>
              <w:pStyle w:val="Body1"/>
              <w:numPr>
                <w:ilvl w:val="0"/>
                <w:numId w:val="16"/>
              </w:numPr>
              <w:jc w:val="both"/>
              <w:outlineLvl w:val="9"/>
              <w:rPr>
                <w:rFonts w:ascii="Arial" w:hAnsi="Arial" w:cs="Arial"/>
                <w:sz w:val="18"/>
                <w:szCs w:val="24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24"/>
                <w:lang w:val="en-US" w:eastAsia="en-US"/>
              </w:rPr>
              <w:t>after a longer trial off medication, e.g. at 3-monthly follow up visits, there is evidence of symptom re-emergence.</w:t>
            </w:r>
          </w:p>
        </w:tc>
      </w:tr>
    </w:tbl>
    <w:p w14:paraId="2D0E7F37" w14:textId="77777777" w:rsidR="00AD16D1" w:rsidRDefault="00AD16D1">
      <w:pPr>
        <w:spacing w:after="0" w:line="240" w:lineRule="auto"/>
        <w:rPr>
          <w:sz w:val="12"/>
          <w:szCs w:val="12"/>
        </w:rPr>
      </w:pPr>
    </w:p>
    <w:sectPr w:rsidR="00AD16D1">
      <w:footerReference w:type="default" r:id="rId10"/>
      <w:footerReference w:type="first" r:id="rId11"/>
      <w:endnotePr>
        <w:numFmt w:val="decimal"/>
      </w:endnotePr>
      <w:pgSz w:w="12240" w:h="15840"/>
      <w:pgMar w:top="1440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1F9B" w14:textId="77777777" w:rsidR="002E2612" w:rsidRDefault="002E2612">
      <w:pPr>
        <w:spacing w:after="0" w:line="240" w:lineRule="auto"/>
      </w:pPr>
      <w:r>
        <w:separator/>
      </w:r>
    </w:p>
  </w:endnote>
  <w:endnote w:type="continuationSeparator" w:id="0">
    <w:p w14:paraId="5889F020" w14:textId="77777777" w:rsidR="002E2612" w:rsidRDefault="002E2612">
      <w:pPr>
        <w:spacing w:after="0" w:line="240" w:lineRule="auto"/>
      </w:pPr>
      <w:r>
        <w:continuationSeparator/>
      </w:r>
    </w:p>
  </w:endnote>
  <w:endnote w:id="1">
    <w:p w14:paraId="2D0E7E77" w14:textId="77777777" w:rsidR="00AD16D1" w:rsidRDefault="002E2612">
      <w:pPr>
        <w:pStyle w:val="EndnoteText"/>
        <w:jc w:val="both"/>
      </w:pPr>
      <w:r>
        <w:rPr>
          <w:rStyle w:val="EndnoteReference"/>
        </w:rPr>
        <w:endnoteRef/>
      </w:r>
      <w:r>
        <w:rPr>
          <w:rFonts w:cs="Calibri"/>
          <w:sz w:val="16"/>
          <w:szCs w:val="16"/>
        </w:rPr>
        <w:t xml:space="preserve"> Division of Pharmacology, Faculty of Health Sciences, University of Cape Town and Health and Medical Publishing Group. South African Medicines Formulary, 12</w:t>
      </w:r>
      <w:r>
        <w:rPr>
          <w:rFonts w:cs="Calibri"/>
          <w:sz w:val="16"/>
          <w:szCs w:val="16"/>
          <w:vertAlign w:val="superscript"/>
        </w:rPr>
        <w:t>th</w:t>
      </w:r>
      <w:r>
        <w:rPr>
          <w:rFonts w:cs="Calibri"/>
          <w:sz w:val="16"/>
          <w:szCs w:val="16"/>
        </w:rPr>
        <w:t xml:space="preserve"> Edition. 2016.</w:t>
      </w:r>
    </w:p>
    <w:p w14:paraId="2D0E7E78" w14:textId="77777777" w:rsidR="00AD16D1" w:rsidRDefault="00AD16D1"/>
    <w:p w14:paraId="2D0E7E79" w14:textId="77777777" w:rsidR="002E2612" w:rsidRDefault="002E2612"/>
  </w:endnote>
  <w:endnote w:id="2">
    <w:p w14:paraId="2D0E7E7A" w14:textId="77777777" w:rsidR="00AD16D1" w:rsidRDefault="002E2612">
      <w:pPr>
        <w:pStyle w:val="EndnoteText"/>
        <w:jc w:val="both"/>
      </w:pPr>
      <w:r>
        <w:rPr>
          <w:rStyle w:val="EndnoteReference"/>
        </w:rPr>
        <w:endnoteRef/>
      </w:r>
      <w:r>
        <w:rPr>
          <w:rFonts w:cs="Calibri"/>
          <w:sz w:val="16"/>
          <w:szCs w:val="16"/>
        </w:rPr>
        <w:t xml:space="preserve"> University of Cape Town, Faculty of Health Sciences, Division of Clinical Pharmacology. (2024). South African Medicines Formulary (SAMF). SAMF website. </w:t>
      </w:r>
      <w:hyperlink r:id="rId1" w:tooltip="https://url.za.m.mimecastprotect.com/s/FMqDCQ1mvYsNA9KmsxfpCG_uLR?domain=samf-app.com" w:history="1">
        <w:r>
          <w:rPr>
            <w:rFonts w:cs="Calibri"/>
            <w:sz w:val="16"/>
            <w:szCs w:val="16"/>
          </w:rPr>
          <w:t>https://samf-app.com</w:t>
        </w:r>
      </w:hyperlink>
    </w:p>
    <w:p w14:paraId="2D0E7E7B" w14:textId="77777777" w:rsidR="00AD16D1" w:rsidRDefault="00AD16D1"/>
    <w:p w14:paraId="2D0E7E7C" w14:textId="77777777" w:rsidR="002E2612" w:rsidRDefault="002E2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7E7F" w14:textId="77777777" w:rsidR="002E2612" w:rsidRDefault="002E2612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D0E7E80" w14:textId="77777777" w:rsidR="002E2612" w:rsidRDefault="002E2612">
    <w:pPr>
      <w:pStyle w:val="Footer"/>
      <w:rPr>
        <w:lang w:val="en-GB"/>
      </w:rPr>
    </w:pPr>
    <w:r>
      <w:rPr>
        <w:lang w:val="en-GB"/>
      </w:rPr>
      <w:t xml:space="preserve">National Department of Health              NEMLC Summary </w:t>
    </w:r>
    <w:proofErr w:type="spellStart"/>
    <w:r>
      <w:rPr>
        <w:lang w:val="en-GB"/>
      </w:rPr>
      <w:t>Report_PaedHL</w:t>
    </w:r>
    <w:proofErr w:type="spellEnd"/>
    <w:r>
      <w:rPr>
        <w:lang w:val="en-GB"/>
      </w:rPr>
      <w:t xml:space="preserve"> – Paediatric Psychiatry_4N-June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7E82" w14:textId="77777777" w:rsidR="002E2612" w:rsidRDefault="002E2612">
    <w:pPr>
      <w:pStyle w:val="Footer"/>
      <w:rPr>
        <w:lang w:val="en-GB"/>
      </w:rPr>
    </w:pPr>
    <w:r>
      <w:rPr>
        <w:lang w:val="en-GB"/>
      </w:rPr>
      <w:t xml:space="preserve">National Department of Health </w:t>
    </w:r>
    <w:r>
      <w:rPr>
        <w:lang w:val="en-GB"/>
      </w:rPr>
      <w:t xml:space="preserve">                       </w:t>
    </w:r>
    <w:r>
      <w:rPr>
        <w:lang w:val="en-GB"/>
      </w:rPr>
      <w:tab/>
      <w:t xml:space="preserve">NEMLC Summary </w:t>
    </w:r>
    <w:proofErr w:type="spellStart"/>
    <w:r>
      <w:rPr>
        <w:lang w:val="en-GB"/>
      </w:rPr>
      <w:t>Report_PaedsHL_Child</w:t>
    </w:r>
    <w:proofErr w:type="spellEnd"/>
    <w:r>
      <w:rPr>
        <w:lang w:val="en-GB"/>
      </w:rPr>
      <w:t xml:space="preserve"> and Adolescent Psychiatry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85FF" w14:textId="77777777" w:rsidR="002E2612" w:rsidRDefault="002E26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45D053" w14:textId="77777777" w:rsidR="002E2612" w:rsidRDefault="002E2612">
      <w:pPr>
        <w:spacing w:after="0" w:line="240" w:lineRule="auto"/>
      </w:pPr>
      <w:r>
        <w:continuationSeparator/>
      </w:r>
    </w:p>
  </w:footnote>
  <w:footnote w:id="1">
    <w:p w14:paraId="2D0E7E77" w14:textId="77777777" w:rsidR="00AD16D1" w:rsidRDefault="002E26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https://www.health.gov.za/wp-content/uploads/2026/04/HP09-2026SD-Contract-Circular-2-April-2026.pdf</w:t>
      </w:r>
    </w:p>
    <w:p w14:paraId="2D0E7E78" w14:textId="77777777" w:rsidR="00AD16D1" w:rsidRDefault="00AD16D1"/>
    <w:p w14:paraId="2D0E7E79" w14:textId="77777777" w:rsidR="00AD16D1" w:rsidRDefault="00AD16D1"/>
    <w:p w14:paraId="2D0E7E7A" w14:textId="77777777" w:rsidR="002E2612" w:rsidRDefault="002E26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076"/>
    <w:multiLevelType w:val="multilevel"/>
    <w:tmpl w:val="7CBE0090"/>
    <w:lvl w:ilvl="0">
      <w:numFmt w:val="bullet"/>
      <w:lvlText w:val="&gt;"/>
      <w:lvlJc w:val="left"/>
      <w:pPr>
        <w:ind w:left="720" w:hanging="360"/>
      </w:pPr>
      <w:rPr>
        <w:rFonts w:ascii="Arial" w:hAnsi="Arial"/>
        <w:position w:val="0"/>
        <w:vertAlign w:val="baseline"/>
      </w:rPr>
    </w:lvl>
    <w:lvl w:ilvl="1">
      <w:numFmt w:val="bullet"/>
      <w:lvlText w:val="&gt;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8217F5B"/>
    <w:multiLevelType w:val="multilevel"/>
    <w:tmpl w:val="4B22E7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A51685"/>
    <w:multiLevelType w:val="multilevel"/>
    <w:tmpl w:val="47DA0A16"/>
    <w:styleLink w:val="LFO41"/>
    <w:lvl w:ilvl="0">
      <w:numFmt w:val="bullet"/>
      <w:pStyle w:val="ImportWordListStyleDefinition912274588"/>
      <w:lvlText w:val="»"/>
      <w:lvlJc w:val="left"/>
      <w:pPr>
        <w:ind w:left="360" w:firstLine="36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1">
      <w:numFmt w:val="bullet"/>
      <w:lvlText w:val="o"/>
      <w:lvlJc w:val="left"/>
      <w:pPr>
        <w:ind w:left="360" w:firstLine="108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2">
      <w:numFmt w:val="bullet"/>
      <w:lvlText w:val="•"/>
      <w:lvlJc w:val="left"/>
      <w:pPr>
        <w:ind w:left="360" w:firstLine="180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3">
      <w:numFmt w:val="bullet"/>
      <w:lvlText w:val="•"/>
      <w:lvlJc w:val="left"/>
      <w:pPr>
        <w:ind w:left="360" w:firstLine="252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4">
      <w:numFmt w:val="bullet"/>
      <w:lvlText w:val="o"/>
      <w:lvlJc w:val="left"/>
      <w:pPr>
        <w:ind w:left="360" w:firstLine="324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5">
      <w:numFmt w:val="bullet"/>
      <w:lvlText w:val="•"/>
      <w:lvlJc w:val="left"/>
      <w:pPr>
        <w:ind w:left="360" w:firstLine="396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6">
      <w:numFmt w:val="bullet"/>
      <w:lvlText w:val="•"/>
      <w:lvlJc w:val="left"/>
      <w:pPr>
        <w:ind w:left="360" w:firstLine="468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7">
      <w:numFmt w:val="bullet"/>
      <w:lvlText w:val="o"/>
      <w:lvlJc w:val="left"/>
      <w:pPr>
        <w:ind w:left="360" w:firstLine="540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  <w:lvl w:ilvl="8">
      <w:numFmt w:val="bullet"/>
      <w:lvlText w:val="•"/>
      <w:lvlJc w:val="left"/>
      <w:pPr>
        <w:ind w:left="360" w:firstLine="6120"/>
      </w:pPr>
      <w:rPr>
        <w:rFonts w:ascii="Times New Roman" w:eastAsia="Arial Unicode MS" w:hAnsi="Times New Roman" w:cs="Times New Roman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 w:color="000000"/>
        <w:vertAlign w:val="baseline"/>
        <w:em w:val="none"/>
      </w:rPr>
    </w:lvl>
  </w:abstractNum>
  <w:abstractNum w:abstractNumId="3" w15:restartNumberingAfterBreak="0">
    <w:nsid w:val="1B8B4FBE"/>
    <w:multiLevelType w:val="multilevel"/>
    <w:tmpl w:val="E8D61F06"/>
    <w:lvl w:ilvl="0">
      <w:numFmt w:val="bullet"/>
      <w:lvlText w:val="»"/>
      <w:lvlJc w:val="left"/>
      <w:pPr>
        <w:ind w:left="720" w:hanging="360"/>
      </w:pPr>
      <w:rPr>
        <w:rFonts w:ascii="Arial" w:hAnsi="Arial" w:cs="Times New Roman"/>
        <w:position w:val="0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157E2C"/>
    <w:multiLevelType w:val="multilevel"/>
    <w:tmpl w:val="4ECA1590"/>
    <w:styleLink w:val="LFO3"/>
    <w:lvl w:ilvl="0">
      <w:numFmt w:val="bullet"/>
      <w:pStyle w:val="ep4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2F3ECB"/>
    <w:multiLevelType w:val="multilevel"/>
    <w:tmpl w:val="48705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C2341E3"/>
    <w:multiLevelType w:val="multilevel"/>
    <w:tmpl w:val="D38AF598"/>
    <w:styleLink w:val="LFO15"/>
    <w:lvl w:ilvl="0">
      <w:numFmt w:val="bullet"/>
      <w:pStyle w:val="ImportWordListStyleDefinition908347629"/>
      <w:lvlText w:val="»"/>
      <w:lvlJc w:val="left"/>
      <w:pPr>
        <w:ind w:left="360" w:firstLine="0"/>
      </w:pPr>
      <w:rPr>
        <w:position w:val="0"/>
        <w:vertAlign w:val="baseline"/>
      </w:rPr>
    </w:lvl>
    <w:lvl w:ilvl="1">
      <w:numFmt w:val="bullet"/>
      <w:lvlText w:val="o"/>
      <w:lvlJc w:val="left"/>
      <w:pPr>
        <w:ind w:left="360" w:firstLine="720"/>
      </w:pPr>
      <w:rPr>
        <w:position w:val="0"/>
        <w:vertAlign w:val="baseline"/>
      </w:rPr>
    </w:lvl>
    <w:lvl w:ilvl="2">
      <w:numFmt w:val="bullet"/>
      <w:lvlText w:val="•"/>
      <w:lvlJc w:val="left"/>
      <w:pPr>
        <w:ind w:left="360" w:firstLine="1440"/>
      </w:pPr>
      <w:rPr>
        <w:position w:val="0"/>
        <w:vertAlign w:val="baseline"/>
      </w:rPr>
    </w:lvl>
    <w:lvl w:ilvl="3">
      <w:numFmt w:val="bullet"/>
      <w:lvlText w:val="•"/>
      <w:lvlJc w:val="left"/>
      <w:pPr>
        <w:ind w:left="360" w:firstLine="2160"/>
      </w:pPr>
      <w:rPr>
        <w:position w:val="0"/>
        <w:vertAlign w:val="baseline"/>
      </w:rPr>
    </w:lvl>
    <w:lvl w:ilvl="4">
      <w:numFmt w:val="bullet"/>
      <w:lvlText w:val="o"/>
      <w:lvlJc w:val="left"/>
      <w:pPr>
        <w:ind w:left="360" w:firstLine="2880"/>
      </w:pPr>
      <w:rPr>
        <w:position w:val="0"/>
        <w:vertAlign w:val="baseline"/>
      </w:rPr>
    </w:lvl>
    <w:lvl w:ilvl="5">
      <w:numFmt w:val="bullet"/>
      <w:lvlText w:val="•"/>
      <w:lvlJc w:val="left"/>
      <w:pPr>
        <w:ind w:left="360" w:firstLine="3600"/>
      </w:pPr>
      <w:rPr>
        <w:position w:val="0"/>
        <w:vertAlign w:val="baseline"/>
      </w:rPr>
    </w:lvl>
    <w:lvl w:ilvl="6">
      <w:numFmt w:val="bullet"/>
      <w:lvlText w:val="•"/>
      <w:lvlJc w:val="left"/>
      <w:pPr>
        <w:ind w:left="360" w:firstLine="4320"/>
      </w:pPr>
      <w:rPr>
        <w:position w:val="0"/>
        <w:vertAlign w:val="baseline"/>
      </w:rPr>
    </w:lvl>
    <w:lvl w:ilvl="7">
      <w:numFmt w:val="bullet"/>
      <w:lvlText w:val="o"/>
      <w:lvlJc w:val="left"/>
      <w:pPr>
        <w:ind w:left="360" w:firstLine="5040"/>
      </w:pPr>
      <w:rPr>
        <w:position w:val="0"/>
        <w:vertAlign w:val="baseline"/>
      </w:rPr>
    </w:lvl>
    <w:lvl w:ilvl="8">
      <w:numFmt w:val="bullet"/>
      <w:lvlText w:val="•"/>
      <w:lvlJc w:val="left"/>
      <w:pPr>
        <w:ind w:left="360" w:firstLine="5760"/>
      </w:pPr>
      <w:rPr>
        <w:position w:val="0"/>
        <w:vertAlign w:val="baseline"/>
      </w:rPr>
    </w:lvl>
  </w:abstractNum>
  <w:abstractNum w:abstractNumId="7" w15:restartNumberingAfterBreak="0">
    <w:nsid w:val="4A235C85"/>
    <w:multiLevelType w:val="multilevel"/>
    <w:tmpl w:val="47C853D0"/>
    <w:lvl w:ilvl="0">
      <w:numFmt w:val="bullet"/>
      <w:lvlText w:val="»"/>
      <w:lvlJc w:val="left"/>
      <w:pPr>
        <w:ind w:left="36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4CC853AF"/>
    <w:multiLevelType w:val="multilevel"/>
    <w:tmpl w:val="4CAE2A4A"/>
    <w:lvl w:ilvl="0">
      <w:numFmt w:val="bullet"/>
      <w:lvlText w:val="&gt;"/>
      <w:lvlJc w:val="left"/>
      <w:pPr>
        <w:ind w:left="360" w:firstLine="0"/>
      </w:pPr>
      <w:rPr>
        <w:rFonts w:ascii="Arial" w:hAnsi="Arial"/>
        <w:position w:val="0"/>
        <w:vertAlign w:val="baseline"/>
      </w:rPr>
    </w:lvl>
    <w:lvl w:ilvl="1">
      <w:numFmt w:val="bullet"/>
      <w:lvlText w:val="o"/>
      <w:lvlJc w:val="left"/>
      <w:pPr>
        <w:ind w:left="360" w:firstLine="720"/>
      </w:pPr>
      <w:rPr>
        <w:position w:val="0"/>
        <w:vertAlign w:val="baseline"/>
      </w:rPr>
    </w:lvl>
    <w:lvl w:ilvl="2">
      <w:numFmt w:val="bullet"/>
      <w:lvlText w:val="•"/>
      <w:lvlJc w:val="left"/>
      <w:pPr>
        <w:ind w:left="360" w:firstLine="1440"/>
      </w:pPr>
      <w:rPr>
        <w:position w:val="0"/>
        <w:vertAlign w:val="baseline"/>
      </w:rPr>
    </w:lvl>
    <w:lvl w:ilvl="3">
      <w:numFmt w:val="bullet"/>
      <w:lvlText w:val="•"/>
      <w:lvlJc w:val="left"/>
      <w:pPr>
        <w:ind w:left="360" w:firstLine="2160"/>
      </w:pPr>
      <w:rPr>
        <w:position w:val="0"/>
        <w:vertAlign w:val="baseline"/>
      </w:rPr>
    </w:lvl>
    <w:lvl w:ilvl="4">
      <w:numFmt w:val="bullet"/>
      <w:lvlText w:val="o"/>
      <w:lvlJc w:val="left"/>
      <w:pPr>
        <w:ind w:left="360" w:firstLine="2880"/>
      </w:pPr>
      <w:rPr>
        <w:position w:val="0"/>
        <w:vertAlign w:val="baseline"/>
      </w:rPr>
    </w:lvl>
    <w:lvl w:ilvl="5">
      <w:numFmt w:val="bullet"/>
      <w:lvlText w:val="•"/>
      <w:lvlJc w:val="left"/>
      <w:pPr>
        <w:ind w:left="360" w:firstLine="3600"/>
      </w:pPr>
      <w:rPr>
        <w:position w:val="0"/>
        <w:vertAlign w:val="baseline"/>
      </w:rPr>
    </w:lvl>
    <w:lvl w:ilvl="6">
      <w:numFmt w:val="bullet"/>
      <w:lvlText w:val="•"/>
      <w:lvlJc w:val="left"/>
      <w:pPr>
        <w:ind w:left="360" w:firstLine="4320"/>
      </w:pPr>
      <w:rPr>
        <w:position w:val="0"/>
        <w:vertAlign w:val="baseline"/>
      </w:rPr>
    </w:lvl>
    <w:lvl w:ilvl="7">
      <w:numFmt w:val="bullet"/>
      <w:lvlText w:val="o"/>
      <w:lvlJc w:val="left"/>
      <w:pPr>
        <w:ind w:left="360" w:firstLine="5040"/>
      </w:pPr>
      <w:rPr>
        <w:position w:val="0"/>
        <w:vertAlign w:val="baseline"/>
      </w:rPr>
    </w:lvl>
    <w:lvl w:ilvl="8">
      <w:numFmt w:val="bullet"/>
      <w:lvlText w:val="•"/>
      <w:lvlJc w:val="left"/>
      <w:pPr>
        <w:ind w:left="360" w:firstLine="5760"/>
      </w:pPr>
      <w:rPr>
        <w:position w:val="0"/>
        <w:vertAlign w:val="baseline"/>
      </w:rPr>
    </w:lvl>
  </w:abstractNum>
  <w:abstractNum w:abstractNumId="9" w15:restartNumberingAfterBreak="0">
    <w:nsid w:val="4E3623FF"/>
    <w:multiLevelType w:val="multilevel"/>
    <w:tmpl w:val="36C0E366"/>
    <w:styleLink w:val="LFO6"/>
    <w:lvl w:ilvl="0">
      <w:numFmt w:val="bullet"/>
      <w:pStyle w:val="List6"/>
      <w:lvlText w:val="»"/>
      <w:lvlJc w:val="left"/>
      <w:pPr>
        <w:ind w:left="480" w:firstLine="0"/>
      </w:pPr>
      <w:rPr>
        <w:position w:val="0"/>
        <w:vertAlign w:val="baseline"/>
      </w:rPr>
    </w:lvl>
    <w:lvl w:ilvl="1">
      <w:numFmt w:val="bullet"/>
      <w:lvlText w:val="»"/>
      <w:lvlJc w:val="left"/>
      <w:pPr>
        <w:ind w:left="360" w:firstLine="720"/>
      </w:pPr>
      <w:rPr>
        <w:position w:val="0"/>
        <w:vertAlign w:val="baseline"/>
      </w:rPr>
    </w:lvl>
    <w:lvl w:ilvl="2">
      <w:numFmt w:val="bullet"/>
      <w:lvlText w:val="•"/>
      <w:lvlJc w:val="left"/>
      <w:pPr>
        <w:ind w:left="360" w:firstLine="1440"/>
      </w:pPr>
      <w:rPr>
        <w:position w:val="0"/>
        <w:vertAlign w:val="baseline"/>
      </w:rPr>
    </w:lvl>
    <w:lvl w:ilvl="3">
      <w:numFmt w:val="bullet"/>
      <w:lvlText w:val="-"/>
      <w:lvlJc w:val="left"/>
      <w:pPr>
        <w:ind w:left="360" w:firstLine="2160"/>
      </w:pPr>
      <w:rPr>
        <w:position w:val="0"/>
        <w:vertAlign w:val="baseline"/>
      </w:rPr>
    </w:lvl>
    <w:lvl w:ilvl="4">
      <w:numFmt w:val="bullet"/>
      <w:lvlText w:val="o"/>
      <w:lvlJc w:val="left"/>
      <w:pPr>
        <w:ind w:left="360" w:firstLine="2880"/>
      </w:pPr>
      <w:rPr>
        <w:position w:val="0"/>
        <w:vertAlign w:val="baseline"/>
      </w:rPr>
    </w:lvl>
    <w:lvl w:ilvl="5">
      <w:numFmt w:val="bullet"/>
      <w:lvlText w:val="•"/>
      <w:lvlJc w:val="left"/>
      <w:pPr>
        <w:ind w:left="360" w:firstLine="3600"/>
      </w:pPr>
      <w:rPr>
        <w:position w:val="0"/>
        <w:vertAlign w:val="baseline"/>
      </w:rPr>
    </w:lvl>
    <w:lvl w:ilvl="6">
      <w:numFmt w:val="bullet"/>
      <w:lvlText w:val="•"/>
      <w:lvlJc w:val="left"/>
      <w:pPr>
        <w:ind w:left="360" w:firstLine="4320"/>
      </w:pPr>
      <w:rPr>
        <w:position w:val="0"/>
        <w:vertAlign w:val="baseline"/>
      </w:rPr>
    </w:lvl>
    <w:lvl w:ilvl="7">
      <w:numFmt w:val="bullet"/>
      <w:lvlText w:val="o"/>
      <w:lvlJc w:val="left"/>
      <w:pPr>
        <w:ind w:left="360" w:firstLine="5040"/>
      </w:pPr>
      <w:rPr>
        <w:position w:val="0"/>
        <w:vertAlign w:val="baseline"/>
      </w:rPr>
    </w:lvl>
    <w:lvl w:ilvl="8">
      <w:numFmt w:val="bullet"/>
      <w:lvlText w:val="•"/>
      <w:lvlJc w:val="left"/>
      <w:pPr>
        <w:ind w:left="360" w:firstLine="5760"/>
      </w:pPr>
      <w:rPr>
        <w:position w:val="0"/>
        <w:vertAlign w:val="baseline"/>
      </w:rPr>
    </w:lvl>
  </w:abstractNum>
  <w:abstractNum w:abstractNumId="10" w15:restartNumberingAfterBreak="0">
    <w:nsid w:val="5A8C7A9B"/>
    <w:multiLevelType w:val="multilevel"/>
    <w:tmpl w:val="D00614C0"/>
    <w:lvl w:ilvl="0">
      <w:numFmt w:val="bullet"/>
      <w:lvlText w:val="»"/>
      <w:lvlJc w:val="left"/>
      <w:pPr>
        <w:ind w:left="720" w:hanging="360"/>
      </w:pPr>
      <w:rPr>
        <w:rFonts w:ascii="Aptos" w:hAnsi="Apto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01B47CF"/>
    <w:multiLevelType w:val="multilevel"/>
    <w:tmpl w:val="30FECF8A"/>
    <w:lvl w:ilvl="0">
      <w:numFmt w:val="bullet"/>
      <w:lvlText w:val="&gt;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21D4682"/>
    <w:multiLevelType w:val="multilevel"/>
    <w:tmpl w:val="493035D0"/>
    <w:styleLink w:val="LFO5"/>
    <w:lvl w:ilvl="0">
      <w:numFmt w:val="bullet"/>
      <w:pStyle w:val="BulletDirectionsInstructions"/>
      <w:lvlText w:val="o"/>
      <w:lvlJc w:val="left"/>
      <w:pPr>
        <w:ind w:left="567" w:hanging="283"/>
      </w:pPr>
      <w:rPr>
        <w:rFonts w:ascii="Times New Roman" w:hAnsi="Times New Roman" w:cs="Calibri"/>
        <w:sz w:val="16"/>
      </w:rPr>
    </w:lvl>
    <w:lvl w:ilvl="1">
      <w:numFmt w:val="bullet"/>
      <w:lvlText w:val="-"/>
      <w:lvlJc w:val="left"/>
      <w:pPr>
        <w:ind w:left="851" w:hanging="284"/>
      </w:pPr>
      <w:rPr>
        <w:rFonts w:ascii="Courier New" w:hAnsi="Courier New"/>
        <w:color w:val="00000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AA16A3D"/>
    <w:multiLevelType w:val="multilevel"/>
    <w:tmpl w:val="C4243472"/>
    <w:lvl w:ilvl="0">
      <w:numFmt w:val="bullet"/>
      <w:lvlText w:val="&gt;"/>
      <w:lvlJc w:val="left"/>
      <w:pPr>
        <w:ind w:left="720" w:hanging="360"/>
      </w:pPr>
      <w:rPr>
        <w:rFonts w:ascii="Arial" w:hAnsi="Arial"/>
        <w:position w:val="0"/>
        <w:vertAlign w:val="baseline"/>
      </w:rPr>
    </w:lvl>
    <w:lvl w:ilvl="1">
      <w:numFmt w:val="bullet"/>
      <w:lvlText w:val="&gt;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B5E41C0"/>
    <w:multiLevelType w:val="multilevel"/>
    <w:tmpl w:val="43DE13E4"/>
    <w:lvl w:ilvl="0">
      <w:numFmt w:val="bullet"/>
      <w:lvlText w:val="&gt;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C233B83"/>
    <w:multiLevelType w:val="multilevel"/>
    <w:tmpl w:val="C63ED436"/>
    <w:styleLink w:val="LFO4"/>
    <w:lvl w:ilvl="0">
      <w:numFmt w:val="bullet"/>
      <w:pStyle w:val="BulletMedicine"/>
      <w:lvlText w:val=""/>
      <w:lvlJc w:val="left"/>
      <w:pPr>
        <w:ind w:left="284" w:hanging="284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63900186">
    <w:abstractNumId w:val="4"/>
  </w:num>
  <w:num w:numId="2" w16cid:durableId="1339387359">
    <w:abstractNumId w:val="15"/>
  </w:num>
  <w:num w:numId="3" w16cid:durableId="1641381212">
    <w:abstractNumId w:val="12"/>
  </w:num>
  <w:num w:numId="4" w16cid:durableId="544878359">
    <w:abstractNumId w:val="2"/>
  </w:num>
  <w:num w:numId="5" w16cid:durableId="993221866">
    <w:abstractNumId w:val="9"/>
  </w:num>
  <w:num w:numId="6" w16cid:durableId="912272476">
    <w:abstractNumId w:val="6"/>
  </w:num>
  <w:num w:numId="7" w16cid:durableId="1876652990">
    <w:abstractNumId w:val="8"/>
  </w:num>
  <w:num w:numId="8" w16cid:durableId="984816111">
    <w:abstractNumId w:val="3"/>
  </w:num>
  <w:num w:numId="9" w16cid:durableId="2026590723">
    <w:abstractNumId w:val="0"/>
  </w:num>
  <w:num w:numId="10" w16cid:durableId="808667383">
    <w:abstractNumId w:val="13"/>
  </w:num>
  <w:num w:numId="11" w16cid:durableId="1220705410">
    <w:abstractNumId w:val="10"/>
  </w:num>
  <w:num w:numId="12" w16cid:durableId="1151094901">
    <w:abstractNumId w:val="1"/>
  </w:num>
  <w:num w:numId="13" w16cid:durableId="998656362">
    <w:abstractNumId w:val="5"/>
  </w:num>
  <w:num w:numId="14" w16cid:durableId="1939680924">
    <w:abstractNumId w:val="7"/>
  </w:num>
  <w:num w:numId="15" w16cid:durableId="1033457826">
    <w:abstractNumId w:val="14"/>
  </w:num>
  <w:num w:numId="16" w16cid:durableId="737433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16D1"/>
    <w:rsid w:val="002E2612"/>
    <w:rsid w:val="00821F48"/>
    <w:rsid w:val="00AD16D1"/>
    <w:rsid w:val="00B0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E7E73"/>
  <w15:docId w15:val="{4ADA88E7-C785-409E-8CBE-3A387191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Z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Yu Gothic Light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Yu Gothic Light" w:hAnsi="Calibri Light" w:cs="Times New Roman"/>
      <w:color w:val="1F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 Light" w:eastAsia="Yu Gothic Light" w:hAnsi="Calibri Light" w:cs="Times New Roman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eastAsia="Yu Mincho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EndnoteText">
    <w:name w:val="end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rPr>
      <w:sz w:val="20"/>
      <w:szCs w:val="20"/>
      <w:lang w:val="en-ZA"/>
    </w:rPr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  <w:spacing w:after="0" w:line="240" w:lineRule="auto"/>
    </w:pPr>
    <w:rPr>
      <w:lang w:val="en-ZA"/>
    </w:rPr>
  </w:style>
  <w:style w:type="paragraph" w:customStyle="1" w:styleId="xmsonormal">
    <w:name w:val="x_msonormal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rPr>
      <w:rFonts w:ascii="Calibri Light" w:eastAsia="Yu Gothic Light" w:hAnsi="Calibri Light" w:cs="Times New Roman"/>
      <w:color w:val="2E74B5"/>
      <w:sz w:val="32"/>
      <w:szCs w:val="32"/>
      <w:lang w:val="en-ZA"/>
    </w:rPr>
  </w:style>
  <w:style w:type="character" w:customStyle="1" w:styleId="Heading2Char">
    <w:name w:val="Heading 2 Char"/>
    <w:basedOn w:val="DefaultParagraphFont"/>
    <w:rPr>
      <w:rFonts w:ascii="Calibri Light" w:eastAsia="Yu Gothic Light" w:hAnsi="Calibri Light" w:cs="Times New Roman"/>
      <w:color w:val="2E74B5"/>
      <w:sz w:val="26"/>
      <w:szCs w:val="26"/>
      <w:lang w:val="en-ZA"/>
    </w:rPr>
  </w:style>
  <w:style w:type="character" w:customStyle="1" w:styleId="Heading3Char">
    <w:name w:val="Heading 3 Char"/>
    <w:basedOn w:val="DefaultParagraphFont"/>
    <w:rPr>
      <w:rFonts w:ascii="Calibri Light" w:eastAsia="Yu Gothic Light" w:hAnsi="Calibri Light" w:cs="Times New Roman"/>
      <w:color w:val="1F4D78"/>
      <w:sz w:val="24"/>
      <w:szCs w:val="24"/>
      <w:lang w:val="en-ZA"/>
    </w:rPr>
  </w:style>
  <w:style w:type="character" w:customStyle="1" w:styleId="docsum-authors">
    <w:name w:val="docsum-authors"/>
    <w:basedOn w:val="DefaultParagraphFont"/>
  </w:style>
  <w:style w:type="character" w:customStyle="1" w:styleId="docsum-journal-citation">
    <w:name w:val="docsum-journal-citation"/>
    <w:basedOn w:val="DefaultParagraphFont"/>
  </w:style>
  <w:style w:type="character" w:customStyle="1" w:styleId="citation-part">
    <w:name w:val="citation-part"/>
    <w:basedOn w:val="DefaultParagraphFont"/>
  </w:style>
  <w:style w:type="character" w:customStyle="1" w:styleId="docsum-pmid">
    <w:name w:val="docsum-pmid"/>
    <w:basedOn w:val="DefaultParagraphFont"/>
  </w:style>
  <w:style w:type="character" w:customStyle="1" w:styleId="position-number">
    <w:name w:val="position-number"/>
    <w:basedOn w:val="DefaultParagraphFont"/>
  </w:style>
  <w:style w:type="character" w:customStyle="1" w:styleId="free-resources">
    <w:name w:val="free-resources"/>
    <w:basedOn w:val="DefaultParagraphFont"/>
  </w:style>
  <w:style w:type="character" w:customStyle="1" w:styleId="publication-type">
    <w:name w:val="publication-type"/>
    <w:basedOn w:val="DefaultParagraphFont"/>
  </w:style>
  <w:style w:type="character" w:customStyle="1" w:styleId="no-abstract">
    <w:name w:val="no-abstract"/>
    <w:basedOn w:val="DefaultParagraphFont"/>
  </w:style>
  <w:style w:type="paragraph" w:customStyle="1" w:styleId="ep4">
    <w:name w:val="ep4"/>
    <w:basedOn w:val="Normal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en-ZA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en-ZA"/>
    </w:rPr>
  </w:style>
  <w:style w:type="character" w:customStyle="1" w:styleId="ListParagraphChar">
    <w:name w:val="List Paragraph Char"/>
    <w:basedOn w:val="DefaultParagraphFont"/>
    <w:rPr>
      <w:rFonts w:eastAsia="Yu Mincho"/>
      <w:lang w:val="en-ZA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customStyle="1" w:styleId="Heading4Char">
    <w:name w:val="Heading 4 Char"/>
    <w:basedOn w:val="DefaultParagraphFont"/>
    <w:rPr>
      <w:rFonts w:ascii="Calibri Light" w:eastAsia="Yu Gothic Light" w:hAnsi="Calibri Light" w:cs="Times New Roman"/>
      <w:i/>
      <w:iCs/>
      <w:color w:val="2E74B5"/>
      <w:lang w:val="en-ZA"/>
    </w:rPr>
  </w:style>
  <w:style w:type="paragraph" w:styleId="NoSpacing">
    <w:name w:val="No Spacing"/>
    <w:pPr>
      <w:suppressAutoHyphens/>
      <w:spacing w:after="0" w:line="240" w:lineRule="auto"/>
      <w:jc w:val="both"/>
    </w:pPr>
    <w:rPr>
      <w:rFonts w:ascii="Arial" w:hAnsi="Arial"/>
      <w:spacing w:val="-4"/>
      <w:sz w:val="18"/>
      <w:szCs w:val="18"/>
      <w:lang w:val="en-ZA"/>
    </w:rPr>
  </w:style>
  <w:style w:type="character" w:styleId="Strong">
    <w:name w:val="Strong"/>
    <w:basedOn w:val="DefaultParagraphFont"/>
    <w:rPr>
      <w:b/>
      <w:bCs/>
    </w:rPr>
  </w:style>
  <w:style w:type="paragraph" w:customStyle="1" w:styleId="BulletMedicine">
    <w:name w:val="Bullet Medicine"/>
    <w:basedOn w:val="Normal"/>
    <w:next w:val="Normal"/>
    <w:pPr>
      <w:numPr>
        <w:numId w:val="2"/>
      </w:numPr>
      <w:spacing w:after="0" w:line="240" w:lineRule="auto"/>
      <w:jc w:val="both"/>
    </w:pPr>
    <w:rPr>
      <w:rFonts w:ascii="Arial" w:hAnsi="Arial"/>
      <w:spacing w:val="-4"/>
      <w:sz w:val="18"/>
      <w:szCs w:val="18"/>
    </w:rPr>
  </w:style>
  <w:style w:type="paragraph" w:customStyle="1" w:styleId="BulletDirectionsInstructions">
    <w:name w:val="Bullet Directions/Instructions"/>
    <w:basedOn w:val="Normal"/>
    <w:next w:val="Normal"/>
    <w:pPr>
      <w:numPr>
        <w:numId w:val="3"/>
      </w:numPr>
      <w:spacing w:after="0" w:line="240" w:lineRule="auto"/>
    </w:pPr>
    <w:rPr>
      <w:rFonts w:ascii="Arial" w:hAnsi="Arial"/>
      <w:spacing w:val="-4"/>
      <w:sz w:val="18"/>
      <w:szCs w:val="18"/>
    </w:rPr>
  </w:style>
  <w:style w:type="paragraph" w:customStyle="1" w:styleId="Body1">
    <w:name w:val="Body 1"/>
    <w:pPr>
      <w:spacing w:after="0" w:line="240" w:lineRule="auto"/>
      <w:textAlignment w:val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lang w:val="en-ZA" w:eastAsia="en-ZA"/>
    </w:rPr>
  </w:style>
  <w:style w:type="paragraph" w:customStyle="1" w:styleId="ImportWordListStyleDefinition912274588">
    <w:name w:val="Import Word List Style Definition 912274588"/>
    <w:pPr>
      <w:numPr>
        <w:numId w:val="4"/>
      </w:numPr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paragraph" w:customStyle="1" w:styleId="List6">
    <w:name w:val="List 6"/>
    <w:basedOn w:val="Normal"/>
    <w:pPr>
      <w:numPr>
        <w:numId w:val="5"/>
      </w:numPr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en-ZA"/>
    </w:rPr>
  </w:style>
  <w:style w:type="paragraph" w:customStyle="1" w:styleId="ImportWordListStyleDefinition908347629">
    <w:name w:val="Import Word List Style Definition 908347629"/>
    <w:pPr>
      <w:numPr>
        <w:numId w:val="6"/>
      </w:numPr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val="en-ZA" w:eastAsia="en-ZA"/>
    </w:rPr>
  </w:style>
  <w:style w:type="numbering" w:customStyle="1" w:styleId="LFO3">
    <w:name w:val="LFO3"/>
    <w:basedOn w:val="NoList"/>
    <w:pPr>
      <w:numPr>
        <w:numId w:val="1"/>
      </w:numPr>
    </w:p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41">
    <w:name w:val="LFO4_1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15">
    <w:name w:val="LFO1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nichq.org/wp-content/uploads/2024/09/NICHQ-Vanderbilt-Assessment-Scales.pdf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url.za.m.mimecastprotect.com/s/FMqDCQ1mvYsNA9KmsxfpCG_uLR?domain=samf-ap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6586</Characters>
  <Application>Microsoft Office Word</Application>
  <DocSecurity>0</DocSecurity>
  <Lines>212</Lines>
  <Paragraphs>160</Paragraphs>
  <ScaleCrop>false</ScaleCrop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Olwethu Mambinja</cp:lastModifiedBy>
  <cp:revision>2</cp:revision>
  <dcterms:created xsi:type="dcterms:W3CDTF">2026-06-10T06:49:00Z</dcterms:created>
  <dcterms:modified xsi:type="dcterms:W3CDTF">2026-06-10T06:49:00Z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d8f4fe-a663-42eb-8244-932377b29b4d_Enabled">
    <vt:lpwstr>true</vt:lpwstr>
  </property>
  <property fmtid="{D5CDD505-2E9C-101B-9397-08002B2CF9AE}" pid="3" name="MSIP_Label_f9d8f4fe-a663-42eb-8244-932377b29b4d_SetDate">
    <vt:lpwstr>2024-06-19T13:52:09Z</vt:lpwstr>
  </property>
  <property fmtid="{D5CDD505-2E9C-101B-9397-08002B2CF9AE}" pid="4" name="MSIP_Label_f9d8f4fe-a663-42eb-8244-932377b29b4d_Method">
    <vt:lpwstr>Standard</vt:lpwstr>
  </property>
  <property fmtid="{D5CDD505-2E9C-101B-9397-08002B2CF9AE}" pid="5" name="MSIP_Label_f9d8f4fe-a663-42eb-8244-932377b29b4d_Name">
    <vt:lpwstr>Public</vt:lpwstr>
  </property>
  <property fmtid="{D5CDD505-2E9C-101B-9397-08002B2CF9AE}" pid="6" name="MSIP_Label_f9d8f4fe-a663-42eb-8244-932377b29b4d_SiteId">
    <vt:lpwstr>66b8ffa6-81c0-4ea6-93fb-06f390dc67f6</vt:lpwstr>
  </property>
  <property fmtid="{D5CDD505-2E9C-101B-9397-08002B2CF9AE}" pid="7" name="MSIP_Label_f9d8f4fe-a663-42eb-8244-932377b29b4d_ActionId">
    <vt:lpwstr>b4cb04a1-a1eb-4153-af3c-37541ef0eb6c</vt:lpwstr>
  </property>
  <property fmtid="{D5CDD505-2E9C-101B-9397-08002B2CF9AE}" pid="8" name="MSIP_Label_f9d8f4fe-a663-42eb-8244-932377b29b4d_ContentBits">
    <vt:lpwstr>0</vt:lpwstr>
  </property>
  <property fmtid="{D5CDD505-2E9C-101B-9397-08002B2CF9AE}" pid="9" name="GrammarlyDocumentId">
    <vt:lpwstr>5724d9ff80e969461312773f87604a201dd508ddf8b69c55d40c17a024de1e2e</vt:lpwstr>
  </property>
  <property fmtid="{D5CDD505-2E9C-101B-9397-08002B2CF9AE}" pid="10" name="ContentTypeId">
    <vt:lpwstr>0x010100B1883D54240D6C47B8BC7FCA393E6837</vt:lpwstr>
  </property>
</Properties>
</file>